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D1C4B7">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ascii="宋体" w:hAnsi="宋体" w:cs="宋体"/>
          <w:b/>
          <w:sz w:val="32"/>
          <w:szCs w:val="32"/>
        </w:rPr>
      </w:pPr>
    </w:p>
    <w:p w14:paraId="2B0A4989">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ascii="宋体" w:hAnsi="宋体" w:cs="宋体"/>
          <w:b/>
          <w:sz w:val="32"/>
          <w:szCs w:val="32"/>
        </w:rPr>
      </w:pPr>
    </w:p>
    <w:p w14:paraId="289E5F8A">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ascii="宋体" w:hAnsi="宋体" w:cs="宋体"/>
          <w:b/>
          <w:sz w:val="32"/>
          <w:szCs w:val="32"/>
        </w:rPr>
      </w:pPr>
    </w:p>
    <w:p w14:paraId="5A81DB5F">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ascii="宋体" w:hAnsi="宋体" w:cs="宋体"/>
          <w:b/>
          <w:sz w:val="32"/>
          <w:szCs w:val="32"/>
        </w:rPr>
      </w:pPr>
    </w:p>
    <w:p w14:paraId="6C0B421E">
      <w:pPr>
        <w:keepNext w:val="0"/>
        <w:keepLines w:val="0"/>
        <w:pageBreakBefore w:val="0"/>
        <w:widowControl w:val="0"/>
        <w:kinsoku/>
        <w:wordWrap/>
        <w:overflowPunct/>
        <w:topLinePunct w:val="0"/>
        <w:autoSpaceDE/>
        <w:autoSpaceDN/>
        <w:bidi w:val="0"/>
        <w:adjustRightInd/>
        <w:snapToGrid/>
        <w:spacing w:line="660" w:lineRule="exact"/>
        <w:jc w:val="center"/>
        <w:textAlignment w:val="auto"/>
        <w:outlineLvl w:val="9"/>
        <w:rPr>
          <w:rFonts w:ascii="宋体" w:hAnsi="宋体" w:cs="宋体"/>
          <w:b/>
          <w:sz w:val="32"/>
          <w:szCs w:val="32"/>
        </w:rPr>
      </w:pPr>
    </w:p>
    <w:p w14:paraId="09ABC229">
      <w:pPr>
        <w:widowControl/>
        <w:spacing w:line="480" w:lineRule="exact"/>
        <w:jc w:val="center"/>
        <w:rPr>
          <w:rFonts w:ascii="仿宋" w:hAnsi="仿宋" w:eastAsia="仿宋" w:cs="宋体"/>
          <w:bCs/>
          <w:color w:val="000000"/>
          <w:kern w:val="0"/>
          <w:sz w:val="44"/>
          <w:szCs w:val="44"/>
        </w:rPr>
      </w:pPr>
      <w:r>
        <w:rPr>
          <w:rFonts w:hint="eastAsia" w:ascii="仿宋" w:hAnsi="仿宋" w:eastAsia="仿宋"/>
          <w:spacing w:val="-10"/>
          <w:sz w:val="32"/>
          <w:szCs w:val="32"/>
        </w:rPr>
        <w:t>高环评字</w:t>
      </w:r>
      <w:r>
        <w:rPr>
          <w:rFonts w:hint="eastAsia" w:ascii="宋体" w:hAnsi="宋体" w:cs="宋体"/>
          <w:spacing w:val="-10"/>
          <w:sz w:val="32"/>
          <w:szCs w:val="32"/>
        </w:rPr>
        <w:t>〔</w:t>
      </w:r>
      <w:r>
        <w:rPr>
          <w:rFonts w:hint="eastAsia" w:ascii="仿宋" w:hAnsi="仿宋" w:eastAsia="仿宋"/>
          <w:spacing w:val="-10"/>
          <w:sz w:val="32"/>
          <w:szCs w:val="32"/>
        </w:rPr>
        <w:t>20</w:t>
      </w:r>
      <w:r>
        <w:rPr>
          <w:rFonts w:hint="eastAsia" w:ascii="仿宋" w:hAnsi="仿宋" w:eastAsia="仿宋"/>
          <w:spacing w:val="-10"/>
          <w:sz w:val="32"/>
          <w:szCs w:val="32"/>
          <w:lang w:val="en-US" w:eastAsia="zh-CN"/>
        </w:rPr>
        <w:t>26</w:t>
      </w:r>
      <w:r>
        <w:rPr>
          <w:rFonts w:hint="eastAsia" w:ascii="宋体" w:hAnsi="宋体" w:cs="宋体"/>
          <w:spacing w:val="-10"/>
          <w:sz w:val="32"/>
          <w:szCs w:val="32"/>
        </w:rPr>
        <w:t>〕</w:t>
      </w:r>
      <w:r>
        <w:rPr>
          <w:rFonts w:hint="eastAsia" w:ascii="宋体" w:hAnsi="宋体" w:cs="宋体"/>
          <w:spacing w:val="-10"/>
          <w:sz w:val="32"/>
          <w:szCs w:val="32"/>
          <w:lang w:val="en-US" w:eastAsia="zh-CN"/>
        </w:rPr>
        <w:t>19</w:t>
      </w:r>
      <w:bookmarkStart w:id="1" w:name="_GoBack"/>
      <w:bookmarkEnd w:id="1"/>
      <w:r>
        <w:rPr>
          <w:rFonts w:hint="eastAsia" w:ascii="仿宋" w:hAnsi="仿宋" w:eastAsia="仿宋"/>
          <w:spacing w:val="-10"/>
          <w:sz w:val="32"/>
          <w:szCs w:val="32"/>
        </w:rPr>
        <w:t>号</w:t>
      </w:r>
    </w:p>
    <w:p w14:paraId="564408DD">
      <w:pPr>
        <w:keepNext w:val="0"/>
        <w:keepLines w:val="0"/>
        <w:pageBreakBefore w:val="0"/>
        <w:widowControl w:val="0"/>
        <w:kinsoku/>
        <w:wordWrap/>
        <w:overflowPunct/>
        <w:topLinePunct w:val="0"/>
        <w:autoSpaceDE/>
        <w:autoSpaceDN/>
        <w:bidi w:val="0"/>
        <w:adjustRightInd/>
        <w:snapToGrid/>
        <w:spacing w:line="300" w:lineRule="exact"/>
        <w:jc w:val="both"/>
        <w:textAlignment w:val="auto"/>
        <w:outlineLvl w:val="9"/>
        <w:rPr>
          <w:rFonts w:ascii="仿宋_GB2312" w:eastAsia="仿宋_GB2312"/>
          <w:sz w:val="32"/>
          <w:szCs w:val="32"/>
        </w:rPr>
      </w:pPr>
    </w:p>
    <w:p w14:paraId="3E5CB295">
      <w:pPr>
        <w:spacing w:line="480" w:lineRule="exact"/>
        <w:jc w:val="center"/>
        <w:rPr>
          <w:rFonts w:hint="eastAsia" w:ascii="方正小标宋简体" w:hAnsi="方正小标宋简体" w:eastAsia="方正小标宋简体" w:cs="方正小标宋简体"/>
          <w:b w:val="0"/>
          <w:bCs w:val="0"/>
          <w:sz w:val="40"/>
          <w:szCs w:val="32"/>
        </w:rPr>
      </w:pPr>
      <w:r>
        <w:rPr>
          <w:rFonts w:hint="eastAsia" w:ascii="方正小标宋简体" w:hAnsi="方正小标宋简体" w:eastAsia="方正小标宋简体" w:cs="方正小标宋简体"/>
          <w:b w:val="0"/>
          <w:bCs w:val="0"/>
          <w:sz w:val="40"/>
          <w:szCs w:val="32"/>
        </w:rPr>
        <w:t>关于</w:t>
      </w:r>
      <w:r>
        <w:rPr>
          <w:rFonts w:hint="eastAsia" w:ascii="方正小标宋简体" w:hAnsi="方正小标宋简体" w:eastAsia="方正小标宋简体" w:cs="方正小标宋简体"/>
          <w:b w:val="0"/>
          <w:bCs w:val="0"/>
          <w:sz w:val="40"/>
          <w:szCs w:val="32"/>
          <w:lang w:eastAsia="zh-CN"/>
        </w:rPr>
        <w:t>高安市福鹏建材有限公司一般固废综合处置利用项目</w:t>
      </w:r>
      <w:r>
        <w:rPr>
          <w:rFonts w:hint="eastAsia" w:ascii="方正小标宋简体" w:hAnsi="方正小标宋简体" w:eastAsia="方正小标宋简体" w:cs="方正小标宋简体"/>
          <w:b w:val="0"/>
          <w:bCs w:val="0"/>
          <w:sz w:val="40"/>
          <w:szCs w:val="32"/>
        </w:rPr>
        <w:t>环境影响报告</w:t>
      </w:r>
      <w:r>
        <w:rPr>
          <w:rFonts w:hint="eastAsia" w:ascii="方正小标宋简体" w:hAnsi="方正小标宋简体" w:eastAsia="方正小标宋简体" w:cs="方正小标宋简体"/>
          <w:b w:val="0"/>
          <w:bCs w:val="0"/>
          <w:sz w:val="40"/>
          <w:szCs w:val="32"/>
          <w:lang w:eastAsia="zh-CN"/>
        </w:rPr>
        <w:t>表</w:t>
      </w:r>
      <w:r>
        <w:rPr>
          <w:rFonts w:hint="eastAsia" w:ascii="方正小标宋简体" w:hAnsi="方正小标宋简体" w:eastAsia="方正小标宋简体" w:cs="方正小标宋简体"/>
          <w:b w:val="0"/>
          <w:bCs w:val="0"/>
          <w:sz w:val="40"/>
          <w:szCs w:val="32"/>
        </w:rPr>
        <w:t>的批复</w:t>
      </w:r>
    </w:p>
    <w:p w14:paraId="14764728">
      <w:pPr>
        <w:keepNext w:val="0"/>
        <w:keepLines w:val="0"/>
        <w:pageBreakBefore w:val="0"/>
        <w:widowControl w:val="0"/>
        <w:kinsoku/>
        <w:wordWrap/>
        <w:overflowPunct/>
        <w:topLinePunct w:val="0"/>
        <w:autoSpaceDE/>
        <w:autoSpaceDN/>
        <w:bidi w:val="0"/>
        <w:spacing w:line="520" w:lineRule="exact"/>
        <w:jc w:val="both"/>
        <w:textAlignment w:val="auto"/>
        <w:rPr>
          <w:rFonts w:hint="eastAsia" w:ascii="宋体" w:hAnsi="宋体"/>
          <w:b/>
          <w:bCs/>
          <w:sz w:val="44"/>
          <w:szCs w:val="36"/>
        </w:rPr>
      </w:pPr>
    </w:p>
    <w:p w14:paraId="663929CE">
      <w:pPr>
        <w:keepNext w:val="0"/>
        <w:keepLines w:val="0"/>
        <w:pageBreakBefore w:val="0"/>
        <w:widowControl w:val="0"/>
        <w:kinsoku/>
        <w:wordWrap/>
        <w:overflowPunct/>
        <w:topLinePunct w:val="0"/>
        <w:autoSpaceDE/>
        <w:autoSpaceDN/>
        <w:bidi w:val="0"/>
        <w:spacing w:line="600" w:lineRule="exact"/>
        <w:ind w:left="0" w:leftChars="0" w:right="0"/>
        <w:jc w:val="left"/>
        <w:textAlignment w:val="auto"/>
        <w:rPr>
          <w:rFonts w:hint="eastAsia" w:ascii="国标仿宋-GB/T 2312" w:hAnsi="国标仿宋-GB/T 2312" w:eastAsia="国标仿宋-GB/T 2312" w:cs="国标仿宋-GB/T 2312"/>
          <w:sz w:val="32"/>
          <w:szCs w:val="32"/>
        </w:rPr>
      </w:pPr>
      <w:r>
        <w:rPr>
          <w:rFonts w:hint="eastAsia" w:ascii="国标仿宋-GB/T 2312" w:hAnsi="国标仿宋-GB/T 2312" w:eastAsia="国标仿宋-GB/T 2312" w:cs="国标仿宋-GB/T 2312"/>
          <w:sz w:val="32"/>
          <w:szCs w:val="32"/>
          <w:lang w:eastAsia="zh-CN"/>
        </w:rPr>
        <w:t>高安市福鹏建材有限公司</w:t>
      </w:r>
      <w:r>
        <w:rPr>
          <w:rFonts w:hint="eastAsia" w:ascii="国标仿宋-GB/T 2312" w:hAnsi="国标仿宋-GB/T 2312" w:eastAsia="国标仿宋-GB/T 2312" w:cs="国标仿宋-GB/T 2312"/>
          <w:sz w:val="32"/>
          <w:szCs w:val="32"/>
        </w:rPr>
        <w:t>：</w:t>
      </w:r>
      <w:r>
        <w:rPr>
          <w:rFonts w:hint="eastAsia" w:ascii="国标仿宋-GB/T 2312" w:hAnsi="国标仿宋-GB/T 2312" w:eastAsia="国标仿宋-GB/T 2312" w:cs="国标仿宋-GB/T 2312"/>
          <w:sz w:val="32"/>
          <w:szCs w:val="32"/>
          <w:lang w:val="en-US" w:eastAsia="zh-CN"/>
        </w:rPr>
        <w:t xml:space="preserve">                     </w:t>
      </w:r>
    </w:p>
    <w:p w14:paraId="7AAF6EF7">
      <w:pPr>
        <w:keepNext w:val="0"/>
        <w:keepLines w:val="0"/>
        <w:pageBreakBefore w:val="0"/>
        <w:widowControl w:val="0"/>
        <w:kinsoku/>
        <w:wordWrap/>
        <w:overflowPunct/>
        <w:topLinePunct w:val="0"/>
        <w:autoSpaceDE/>
        <w:autoSpaceDN/>
        <w:bidi w:val="0"/>
        <w:spacing w:line="600" w:lineRule="exact"/>
        <w:ind w:left="0" w:leftChars="0" w:right="0" w:firstLine="640" w:firstLineChars="200"/>
        <w:jc w:val="left"/>
        <w:textAlignment w:val="auto"/>
        <w:rPr>
          <w:rFonts w:hint="eastAsia" w:ascii="国标仿宋-GB/T 2312" w:hAnsi="国标仿宋-GB/T 2312" w:eastAsia="国标仿宋-GB/T 2312" w:cs="国标仿宋-GB/T 2312"/>
          <w:sz w:val="32"/>
          <w:szCs w:val="32"/>
        </w:rPr>
      </w:pPr>
      <w:r>
        <w:rPr>
          <w:rFonts w:hint="eastAsia" w:ascii="国标仿宋-GB/T 2312" w:hAnsi="国标仿宋-GB/T 2312" w:eastAsia="国标仿宋-GB/T 2312" w:cs="国标仿宋-GB/T 2312"/>
          <w:sz w:val="32"/>
          <w:szCs w:val="32"/>
          <w:lang w:eastAsia="zh-CN"/>
        </w:rPr>
        <w:t>你公司</w:t>
      </w:r>
      <w:r>
        <w:rPr>
          <w:rFonts w:hint="eastAsia" w:ascii="国标仿宋-GB/T 2312" w:hAnsi="国标仿宋-GB/T 2312" w:eastAsia="国标仿宋-GB/T 2312" w:cs="国标仿宋-GB/T 2312"/>
          <w:sz w:val="32"/>
          <w:szCs w:val="32"/>
        </w:rPr>
        <w:t>报送的《</w:t>
      </w:r>
      <w:r>
        <w:rPr>
          <w:rFonts w:hint="eastAsia" w:ascii="国标仿宋-GB/T 2312" w:hAnsi="国标仿宋-GB/T 2312" w:eastAsia="国标仿宋-GB/T 2312" w:cs="国标仿宋-GB/T 2312"/>
          <w:sz w:val="32"/>
          <w:szCs w:val="32"/>
          <w:lang w:eastAsia="zh-CN"/>
        </w:rPr>
        <w:t>高安市福鹏建材有限公司一般固废综合处置利用项目</w:t>
      </w:r>
      <w:r>
        <w:rPr>
          <w:rFonts w:hint="eastAsia" w:ascii="国标仿宋-GB/T 2312" w:hAnsi="国标仿宋-GB/T 2312" w:eastAsia="国标仿宋-GB/T 2312" w:cs="国标仿宋-GB/T 2312"/>
          <w:sz w:val="32"/>
          <w:szCs w:val="32"/>
        </w:rPr>
        <w:t>环境影响报告</w:t>
      </w:r>
      <w:r>
        <w:rPr>
          <w:rFonts w:hint="eastAsia" w:ascii="国标仿宋-GB/T 2312" w:hAnsi="国标仿宋-GB/T 2312" w:eastAsia="国标仿宋-GB/T 2312" w:cs="国标仿宋-GB/T 2312"/>
          <w:sz w:val="32"/>
          <w:szCs w:val="32"/>
          <w:lang w:eastAsia="zh-CN"/>
        </w:rPr>
        <w:t>表</w:t>
      </w:r>
      <w:r>
        <w:rPr>
          <w:rFonts w:hint="eastAsia" w:ascii="国标仿宋-GB/T 2312" w:hAnsi="国标仿宋-GB/T 2312" w:eastAsia="国标仿宋-GB/T 2312" w:cs="国标仿宋-GB/T 2312"/>
          <w:sz w:val="32"/>
          <w:szCs w:val="32"/>
        </w:rPr>
        <w:t>》（以下简称《报告</w:t>
      </w:r>
      <w:r>
        <w:rPr>
          <w:rFonts w:hint="eastAsia" w:ascii="国标仿宋-GB/T 2312" w:hAnsi="国标仿宋-GB/T 2312" w:eastAsia="国标仿宋-GB/T 2312" w:cs="国标仿宋-GB/T 2312"/>
          <w:sz w:val="32"/>
          <w:szCs w:val="32"/>
          <w:lang w:eastAsia="zh-CN"/>
        </w:rPr>
        <w:t>表</w:t>
      </w:r>
      <w:r>
        <w:rPr>
          <w:rFonts w:hint="eastAsia" w:ascii="国标仿宋-GB/T 2312" w:hAnsi="国标仿宋-GB/T 2312" w:eastAsia="国标仿宋-GB/T 2312" w:cs="国标仿宋-GB/T 2312"/>
          <w:sz w:val="32"/>
          <w:szCs w:val="32"/>
        </w:rPr>
        <w:t>》）</w:t>
      </w:r>
      <w:r>
        <w:rPr>
          <w:rFonts w:hint="eastAsia" w:ascii="国标仿宋-GB/T 2312" w:hAnsi="国标仿宋-GB/T 2312" w:eastAsia="国标仿宋-GB/T 2312" w:cs="国标仿宋-GB/T 2312"/>
          <w:color w:val="000000"/>
          <w:sz w:val="32"/>
          <w:szCs w:val="32"/>
          <w:lang w:val="en-US" w:eastAsia="zh-CN"/>
        </w:rPr>
        <w:t>以及相关资料已收悉</w:t>
      </w:r>
      <w:r>
        <w:rPr>
          <w:rFonts w:hint="eastAsia" w:ascii="国标仿宋-GB/T 2312" w:hAnsi="国标仿宋-GB/T 2312" w:eastAsia="国标仿宋-GB/T 2312" w:cs="国标仿宋-GB/T 2312"/>
          <w:sz w:val="32"/>
          <w:szCs w:val="32"/>
          <w:lang w:eastAsia="zh-CN"/>
        </w:rPr>
        <w:t>，</w:t>
      </w:r>
      <w:r>
        <w:rPr>
          <w:rFonts w:hint="eastAsia" w:ascii="国标仿宋-GB/T 2312" w:hAnsi="国标仿宋-GB/T 2312" w:eastAsia="国标仿宋-GB/T 2312" w:cs="国标仿宋-GB/T 2312"/>
          <w:sz w:val="32"/>
          <w:szCs w:val="32"/>
        </w:rPr>
        <w:t>经研究，批复如下：</w:t>
      </w:r>
    </w:p>
    <w:p w14:paraId="3AF865A7">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w:t>
      </w:r>
      <w:r>
        <w:rPr>
          <w:rFonts w:hint="eastAsia" w:ascii="黑体" w:hAnsi="黑体" w:eastAsia="黑体" w:cs="黑体"/>
          <w:b w:val="0"/>
          <w:bCs w:val="0"/>
          <w:color w:val="auto"/>
          <w:sz w:val="30"/>
          <w:szCs w:val="30"/>
        </w:rPr>
        <w:t>项目的基本情况及批复意见</w:t>
      </w:r>
    </w:p>
    <w:p w14:paraId="1277C767">
      <w:pPr>
        <w:keepNext w:val="0"/>
        <w:keepLines w:val="0"/>
        <w:pageBreakBefore w:val="0"/>
        <w:widowControl w:val="0"/>
        <w:kinsoku/>
        <w:wordWrap/>
        <w:overflowPunct/>
        <w:topLinePunct w:val="0"/>
        <w:autoSpaceDE/>
        <w:autoSpaceDN/>
        <w:bidi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lang w:val="en-GB" w:eastAsia="zh-CN"/>
        </w:rPr>
      </w:pPr>
      <w:r>
        <w:rPr>
          <w:rFonts w:hint="eastAsia" w:ascii="国标楷体-GB/T 2312" w:hAnsi="国标楷体-GB/T 2312" w:eastAsia="国标楷体-GB/T 2312" w:cs="国标楷体-GB/T 2312"/>
          <w:sz w:val="32"/>
          <w:szCs w:val="32"/>
        </w:rPr>
        <w:t>（一）项目基本情况。</w:t>
      </w:r>
      <w:bookmarkStart w:id="0" w:name="OLE_LINK2"/>
      <w:r>
        <w:rPr>
          <w:rFonts w:hint="eastAsia" w:ascii="国标仿宋-GB/T 2312" w:hAnsi="国标仿宋-GB/T 2312" w:eastAsia="国标仿宋-GB/T 2312" w:cs="国标仿宋-GB/T 2312"/>
          <w:sz w:val="32"/>
          <w:szCs w:val="32"/>
          <w:lang w:eastAsia="zh-CN"/>
        </w:rPr>
        <w:t>位于</w:t>
      </w:r>
      <w:bookmarkEnd w:id="0"/>
      <w:r>
        <w:rPr>
          <w:rFonts w:hint="eastAsia" w:ascii="国标仿宋-GB/T 2312" w:hAnsi="国标仿宋-GB/T 2312" w:eastAsia="国标仿宋-GB/T 2312" w:cs="国标仿宋-GB/T 2312"/>
          <w:sz w:val="32"/>
          <w:szCs w:val="32"/>
          <w:lang w:val="en-GB" w:eastAsia="zh-CN"/>
        </w:rPr>
        <w:t>江西省高安市太阳镇杨家村狗麻塘，已经高安市行政审批局备案同意（</w:t>
      </w:r>
      <w:r>
        <w:rPr>
          <w:rFonts w:hint="eastAsia" w:ascii="国标仿宋-GB/T 2312" w:hAnsi="国标仿宋-GB/T 2312" w:eastAsia="国标仿宋-GB/T 2312" w:cs="国标仿宋-GB/T 2312"/>
          <w:sz w:val="32"/>
          <w:szCs w:val="32"/>
          <w:lang w:val="en-US" w:eastAsia="zh-CN"/>
        </w:rPr>
        <w:t>2508-360983-04-01-218050</w:t>
      </w:r>
      <w:r>
        <w:rPr>
          <w:rFonts w:hint="eastAsia" w:ascii="国标仿宋-GB/T 2312" w:hAnsi="国标仿宋-GB/T 2312" w:eastAsia="国标仿宋-GB/T 2312" w:cs="国标仿宋-GB/T 2312"/>
          <w:sz w:val="32"/>
          <w:szCs w:val="32"/>
          <w:lang w:val="en-GB" w:eastAsia="zh-CN"/>
        </w:rPr>
        <w:t>），符合产业政策。项目中心地理坐标：东经115°</w:t>
      </w:r>
      <w:r>
        <w:rPr>
          <w:rFonts w:hint="eastAsia" w:ascii="国标仿宋-GB/T 2312" w:hAnsi="国标仿宋-GB/T 2312" w:eastAsia="国标仿宋-GB/T 2312" w:cs="国标仿宋-GB/T 2312"/>
          <w:sz w:val="32"/>
          <w:szCs w:val="32"/>
          <w:lang w:val="en-US" w:eastAsia="zh-CN"/>
        </w:rPr>
        <w:t>15</w:t>
      </w:r>
      <w:r>
        <w:rPr>
          <w:rFonts w:hint="eastAsia" w:ascii="国标仿宋-GB/T 2312" w:hAnsi="国标仿宋-GB/T 2312" w:eastAsia="国标仿宋-GB/T 2312" w:cs="国标仿宋-GB/T 2312"/>
          <w:sz w:val="32"/>
          <w:szCs w:val="32"/>
          <w:lang w:val="en-GB" w:eastAsia="zh-CN"/>
        </w:rPr>
        <w:t>′</w:t>
      </w:r>
      <w:r>
        <w:rPr>
          <w:rFonts w:hint="eastAsia" w:ascii="国标仿宋-GB/T 2312" w:hAnsi="国标仿宋-GB/T 2312" w:eastAsia="国标仿宋-GB/T 2312" w:cs="国标仿宋-GB/T 2312"/>
          <w:sz w:val="32"/>
          <w:szCs w:val="32"/>
          <w:lang w:val="en-US" w:eastAsia="zh-CN"/>
        </w:rPr>
        <w:t>43.451</w:t>
      </w:r>
      <w:r>
        <w:rPr>
          <w:rFonts w:hint="eastAsia" w:ascii="国标仿宋-GB/T 2312" w:hAnsi="国标仿宋-GB/T 2312" w:eastAsia="国标仿宋-GB/T 2312" w:cs="国标仿宋-GB/T 2312"/>
          <w:sz w:val="32"/>
          <w:szCs w:val="32"/>
          <w:lang w:val="en-GB" w:eastAsia="zh-CN"/>
        </w:rPr>
        <w:t>″，北纬28°</w:t>
      </w:r>
      <w:r>
        <w:rPr>
          <w:rFonts w:hint="eastAsia" w:ascii="国标仿宋-GB/T 2312" w:hAnsi="国标仿宋-GB/T 2312" w:eastAsia="国标仿宋-GB/T 2312" w:cs="国标仿宋-GB/T 2312"/>
          <w:sz w:val="32"/>
          <w:szCs w:val="32"/>
          <w:lang w:val="en-US" w:eastAsia="zh-CN"/>
        </w:rPr>
        <w:t>09</w:t>
      </w:r>
      <w:r>
        <w:rPr>
          <w:rFonts w:hint="eastAsia" w:ascii="国标仿宋-GB/T 2312" w:hAnsi="国标仿宋-GB/T 2312" w:eastAsia="国标仿宋-GB/T 2312" w:cs="国标仿宋-GB/T 2312"/>
          <w:sz w:val="32"/>
          <w:szCs w:val="32"/>
          <w:lang w:val="en-GB" w:eastAsia="zh-CN"/>
        </w:rPr>
        <w:t>′</w:t>
      </w:r>
      <w:r>
        <w:rPr>
          <w:rFonts w:hint="eastAsia" w:ascii="国标仿宋-GB/T 2312" w:hAnsi="国标仿宋-GB/T 2312" w:eastAsia="国标仿宋-GB/T 2312" w:cs="国标仿宋-GB/T 2312"/>
          <w:sz w:val="32"/>
          <w:szCs w:val="32"/>
          <w:lang w:val="en-US" w:eastAsia="zh-CN"/>
        </w:rPr>
        <w:t>28.403</w:t>
      </w:r>
      <w:r>
        <w:rPr>
          <w:rFonts w:hint="eastAsia" w:ascii="国标仿宋-GB/T 2312" w:hAnsi="国标仿宋-GB/T 2312" w:eastAsia="国标仿宋-GB/T 2312" w:cs="国标仿宋-GB/T 2312"/>
          <w:sz w:val="32"/>
          <w:szCs w:val="32"/>
          <w:lang w:val="en-GB" w:eastAsia="zh-CN"/>
        </w:rPr>
        <w:t>″。项目四至：东面为狗麻塘水库，南面为荒废厂房</w:t>
      </w:r>
      <w:r>
        <w:rPr>
          <w:rFonts w:hint="eastAsia" w:ascii="国标仿宋-GB/T 2312" w:hAnsi="国标仿宋-GB/T 2312" w:eastAsia="国标仿宋-GB/T 2312" w:cs="国标仿宋-GB/T 2312"/>
          <w:sz w:val="32"/>
          <w:szCs w:val="32"/>
          <w:lang w:val="en-US" w:eastAsia="zh-CN"/>
        </w:rPr>
        <w:t>，西面为高安市嘉倩材料有限公司，北面为荒废猪场。</w:t>
      </w:r>
      <w:r>
        <w:rPr>
          <w:rFonts w:hint="eastAsia" w:ascii="国标仿宋-GB/T 2312" w:hAnsi="国标仿宋-GB/T 2312" w:eastAsia="国标仿宋-GB/T 2312" w:cs="国标仿宋-GB/T 2312"/>
          <w:b w:val="0"/>
          <w:bCs w:val="0"/>
          <w:color w:val="000000"/>
          <w:sz w:val="32"/>
          <w:szCs w:val="32"/>
          <w:lang w:val="en-US" w:eastAsia="zh-CN"/>
        </w:rPr>
        <w:t>本项目不新增用地，在现有的厂房内建设，</w:t>
      </w:r>
      <w:r>
        <w:rPr>
          <w:rFonts w:hint="eastAsia" w:ascii="国标仿宋-GB/T 2312" w:hAnsi="国标仿宋-GB/T 2312" w:eastAsia="国标仿宋-GB/T 2312" w:cs="国标仿宋-GB/T 2312"/>
          <w:sz w:val="32"/>
          <w:szCs w:val="32"/>
          <w:lang w:val="en-US" w:eastAsia="zh-CN"/>
        </w:rPr>
        <w:t>总占地面积约为6666.67平方米</w:t>
      </w:r>
      <w:r>
        <w:rPr>
          <w:rFonts w:hint="eastAsia" w:ascii="国标仿宋-GB/T 2312" w:hAnsi="国标仿宋-GB/T 2312" w:eastAsia="国标仿宋-GB/T 2312" w:cs="国标仿宋-GB/T 2312"/>
          <w:sz w:val="32"/>
          <w:szCs w:val="32"/>
          <w:lang w:val="en-GB" w:eastAsia="zh-CN"/>
        </w:rPr>
        <w:t>。</w:t>
      </w:r>
    </w:p>
    <w:p w14:paraId="2DEB55F9">
      <w:pPr>
        <w:keepNext w:val="0"/>
        <w:keepLines w:val="0"/>
        <w:pageBreakBefore w:val="0"/>
        <w:widowControl w:val="0"/>
        <w:kinsoku/>
        <w:wordWrap/>
        <w:overflowPunct/>
        <w:topLinePunct w:val="0"/>
        <w:autoSpaceDE/>
        <w:autoSpaceDN/>
        <w:bidi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lang w:val="en-US" w:eastAsia="zh-CN"/>
        </w:rPr>
      </w:pPr>
      <w:r>
        <w:rPr>
          <w:rFonts w:hint="eastAsia" w:ascii="国标仿宋-GB/T 2312" w:hAnsi="国标仿宋-GB/T 2312" w:eastAsia="国标仿宋-GB/T 2312" w:cs="国标仿宋-GB/T 2312"/>
          <w:sz w:val="32"/>
          <w:szCs w:val="32"/>
          <w:lang w:val="en-US" w:eastAsia="zh-CN"/>
        </w:rPr>
        <w:t>厂区原有情况：高安市福鹏建材有限公司年产石粉5万吨建设项目于2018年7月取得原高安市环境保护局环评批复（高环评字</w:t>
      </w:r>
      <w:r>
        <w:rPr>
          <w:rFonts w:hint="eastAsia" w:ascii="国标仿宋-GB/T 2312" w:hAnsi="国标仿宋-GB/T 2312" w:eastAsia="国标仿宋-GB/T 2312" w:cs="国标仿宋-GB/T 2312"/>
          <w:b w:val="0"/>
          <w:bCs w:val="0"/>
          <w:color w:val="000000"/>
          <w:sz w:val="32"/>
          <w:szCs w:val="32"/>
          <w:lang w:val="en-US" w:eastAsia="zh-CN"/>
        </w:rPr>
        <w:t>〔2018〕</w:t>
      </w:r>
      <w:r>
        <w:rPr>
          <w:rFonts w:hint="eastAsia" w:ascii="国标仿宋-GB/T 2312" w:hAnsi="国标仿宋-GB/T 2312" w:eastAsia="国标仿宋-GB/T 2312" w:cs="国标仿宋-GB/T 2312"/>
          <w:sz w:val="32"/>
          <w:szCs w:val="32"/>
          <w:lang w:val="en-US" w:eastAsia="zh-CN"/>
        </w:rPr>
        <w:t>60号），2019年8月完成竣工环境保护自主验收。</w:t>
      </w:r>
    </w:p>
    <w:p w14:paraId="54F04906">
      <w:pPr>
        <w:keepNext w:val="0"/>
        <w:keepLines w:val="0"/>
        <w:pageBreakBefore w:val="0"/>
        <w:widowControl w:val="0"/>
        <w:kinsoku/>
        <w:wordWrap/>
        <w:overflowPunct/>
        <w:topLinePunct w:val="0"/>
        <w:autoSpaceDE/>
        <w:autoSpaceDN/>
        <w:bidi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lang w:val="en-US" w:eastAsia="zh-CN"/>
        </w:rPr>
      </w:pPr>
      <w:r>
        <w:rPr>
          <w:rFonts w:hint="eastAsia" w:ascii="国标仿宋-GB/T 2312" w:hAnsi="国标仿宋-GB/T 2312" w:eastAsia="国标仿宋-GB/T 2312" w:cs="国标仿宋-GB/T 2312"/>
          <w:sz w:val="32"/>
          <w:szCs w:val="32"/>
          <w:lang w:val="en-US" w:eastAsia="zh-CN"/>
        </w:rPr>
        <w:t>主要建设内容：项目拟在现有生产车间扩建一般固废综合处置利用生产线1条，生产车间、原材料仓库、成品仓库、办公楼、给排水供电工程、废水固废治理设施均依托现有，新建晾晒车间、废气噪声处理设施。项目以氟化钙污泥、脱硫石膏、硅质渣为原料，经原料入场、堆放、晾干、投料、破碎、磨粉、成品贮存、打包等工序得到氟化钙粉、硫酸钙粉、硅粉；项目以石灰为原料，经原料入场、堆放、投料、破碎、磨粉、贮存、打包等工序得到石灰粉。项目通过上述工序可年产氟化钙粉4500吨、硫酸钙粉500吨、硅粉500吨、石灰粉500吨。项目建成后全厂达到年产氟化钙粉4500吨、硫酸钙粉500吨、硅粉500吨、石灰粉500吨、石粉5万吨的生产规模。</w:t>
      </w:r>
    </w:p>
    <w:p w14:paraId="4559E1BB">
      <w:pPr>
        <w:keepNext w:val="0"/>
        <w:keepLines w:val="0"/>
        <w:pageBreakBefore w:val="0"/>
        <w:widowControl w:val="0"/>
        <w:kinsoku/>
        <w:wordWrap/>
        <w:overflowPunct/>
        <w:topLinePunct w:val="0"/>
        <w:autoSpaceDE/>
        <w:autoSpaceDN/>
        <w:bidi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rPr>
      </w:pPr>
      <w:r>
        <w:rPr>
          <w:rFonts w:hint="eastAsia" w:ascii="国标仿宋-GB/T 2312" w:hAnsi="国标仿宋-GB/T 2312" w:eastAsia="国标仿宋-GB/T 2312" w:cs="国标仿宋-GB/T 2312"/>
          <w:sz w:val="32"/>
          <w:szCs w:val="32"/>
        </w:rPr>
        <w:t>项目总投资</w:t>
      </w:r>
      <w:r>
        <w:rPr>
          <w:rFonts w:hint="eastAsia" w:ascii="国标仿宋-GB/T 2312" w:hAnsi="国标仿宋-GB/T 2312" w:eastAsia="国标仿宋-GB/T 2312" w:cs="国标仿宋-GB/T 2312"/>
          <w:sz w:val="32"/>
          <w:szCs w:val="32"/>
          <w:lang w:val="en-US" w:eastAsia="zh-CN"/>
        </w:rPr>
        <w:t>100</w:t>
      </w:r>
      <w:r>
        <w:rPr>
          <w:rFonts w:hint="eastAsia" w:ascii="国标仿宋-GB/T 2312" w:hAnsi="国标仿宋-GB/T 2312" w:eastAsia="国标仿宋-GB/T 2312" w:cs="国标仿宋-GB/T 2312"/>
          <w:sz w:val="32"/>
          <w:szCs w:val="32"/>
        </w:rPr>
        <w:t>万元，其中环保投资</w:t>
      </w:r>
      <w:r>
        <w:rPr>
          <w:rFonts w:hint="eastAsia" w:ascii="国标仿宋-GB/T 2312" w:hAnsi="国标仿宋-GB/T 2312" w:eastAsia="国标仿宋-GB/T 2312" w:cs="国标仿宋-GB/T 2312"/>
          <w:sz w:val="32"/>
          <w:szCs w:val="32"/>
          <w:lang w:val="en-US" w:eastAsia="zh-CN"/>
        </w:rPr>
        <w:t>31</w:t>
      </w:r>
      <w:r>
        <w:rPr>
          <w:rFonts w:hint="eastAsia" w:ascii="国标仿宋-GB/T 2312" w:hAnsi="国标仿宋-GB/T 2312" w:eastAsia="国标仿宋-GB/T 2312" w:cs="国标仿宋-GB/T 2312"/>
          <w:sz w:val="32"/>
          <w:szCs w:val="32"/>
        </w:rPr>
        <w:t>万元，占总</w:t>
      </w:r>
      <w:r>
        <w:rPr>
          <w:rFonts w:hint="eastAsia" w:ascii="国标仿宋-GB/T 2312" w:hAnsi="国标仿宋-GB/T 2312" w:eastAsia="国标仿宋-GB/T 2312" w:cs="国标仿宋-GB/T 2312"/>
          <w:sz w:val="32"/>
          <w:szCs w:val="32"/>
          <w:lang w:eastAsia="zh-CN"/>
        </w:rPr>
        <w:t>投资</w:t>
      </w:r>
      <w:r>
        <w:rPr>
          <w:rFonts w:hint="eastAsia" w:ascii="国标仿宋-GB/T 2312" w:hAnsi="国标仿宋-GB/T 2312" w:eastAsia="国标仿宋-GB/T 2312" w:cs="国标仿宋-GB/T 2312"/>
          <w:sz w:val="32"/>
          <w:szCs w:val="32"/>
          <w:lang w:val="en-US" w:eastAsia="zh-CN"/>
        </w:rPr>
        <w:t>31</w:t>
      </w:r>
      <w:r>
        <w:rPr>
          <w:rFonts w:hint="eastAsia" w:ascii="国标仿宋-GB/T 2312" w:hAnsi="国标仿宋-GB/T 2312" w:eastAsia="国标仿宋-GB/T 2312" w:cs="国标仿宋-GB/T 2312"/>
          <w:sz w:val="32"/>
          <w:szCs w:val="32"/>
        </w:rPr>
        <w:t>%。</w:t>
      </w:r>
    </w:p>
    <w:p w14:paraId="03B28FF0">
      <w:pPr>
        <w:keepNext w:val="0"/>
        <w:keepLines w:val="0"/>
        <w:pageBreakBefore w:val="0"/>
        <w:widowControl w:val="0"/>
        <w:kinsoku/>
        <w:wordWrap/>
        <w:overflowPunct/>
        <w:topLinePunct w:val="0"/>
        <w:autoSpaceDE/>
        <w:autoSpaceDN/>
        <w:bidi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kern w:val="0"/>
          <w:sz w:val="32"/>
          <w:szCs w:val="32"/>
        </w:rPr>
      </w:pPr>
      <w:r>
        <w:rPr>
          <w:rFonts w:hint="eastAsia" w:ascii="国标楷体-GB/T 2312" w:hAnsi="国标楷体-GB/T 2312" w:eastAsia="国标楷体-GB/T 2312" w:cs="国标楷体-GB/T 2312"/>
          <w:sz w:val="32"/>
          <w:szCs w:val="32"/>
        </w:rPr>
        <w:t>（二）批复意见。</w:t>
      </w:r>
      <w:r>
        <w:rPr>
          <w:rFonts w:hint="eastAsia" w:ascii="国标仿宋-GB/T 2312" w:hAnsi="国标仿宋-GB/T 2312" w:eastAsia="国标仿宋-GB/T 2312" w:cs="国标仿宋-GB/T 2312"/>
          <w:kern w:val="0"/>
          <w:sz w:val="32"/>
          <w:szCs w:val="32"/>
          <w:lang w:eastAsia="zh-CN"/>
        </w:rPr>
        <w:t>你公司</w:t>
      </w:r>
      <w:r>
        <w:rPr>
          <w:rFonts w:hint="eastAsia" w:ascii="国标仿宋-GB/T 2312" w:hAnsi="国标仿宋-GB/T 2312" w:eastAsia="国标仿宋-GB/T 2312" w:cs="国标仿宋-GB/T 2312"/>
          <w:kern w:val="0"/>
          <w:sz w:val="32"/>
          <w:szCs w:val="32"/>
        </w:rPr>
        <w:t>应全面落实环境影响报告</w:t>
      </w:r>
      <w:r>
        <w:rPr>
          <w:rFonts w:hint="eastAsia" w:ascii="国标仿宋-GB/T 2312" w:hAnsi="国标仿宋-GB/T 2312" w:eastAsia="国标仿宋-GB/T 2312" w:cs="国标仿宋-GB/T 2312"/>
          <w:kern w:val="0"/>
          <w:sz w:val="32"/>
          <w:szCs w:val="32"/>
          <w:lang w:eastAsia="zh-CN"/>
        </w:rPr>
        <w:t>表</w:t>
      </w:r>
      <w:r>
        <w:rPr>
          <w:rFonts w:hint="eastAsia" w:ascii="国标仿宋-GB/T 2312" w:hAnsi="国标仿宋-GB/T 2312" w:eastAsia="国标仿宋-GB/T 2312" w:cs="国标仿宋-GB/T 2312"/>
          <w:kern w:val="0"/>
          <w:sz w:val="32"/>
          <w:szCs w:val="32"/>
        </w:rPr>
        <w:t>提出的各项污染防治措施和风险防范措施，</w:t>
      </w:r>
      <w:r>
        <w:rPr>
          <w:rFonts w:hint="eastAsia" w:ascii="国标仿宋-GB/T 2312" w:hAnsi="国标仿宋-GB/T 2312" w:eastAsia="国标仿宋-GB/T 2312" w:cs="国标仿宋-GB/T 2312"/>
          <w:kern w:val="0"/>
          <w:sz w:val="32"/>
          <w:szCs w:val="32"/>
          <w:lang w:eastAsia="zh-CN"/>
        </w:rPr>
        <w:t>减轻</w:t>
      </w:r>
      <w:r>
        <w:rPr>
          <w:rFonts w:hint="eastAsia" w:ascii="国标仿宋-GB/T 2312" w:hAnsi="国标仿宋-GB/T 2312" w:eastAsia="国标仿宋-GB/T 2312" w:cs="国标仿宋-GB/T 2312"/>
          <w:kern w:val="0"/>
          <w:sz w:val="32"/>
          <w:szCs w:val="32"/>
        </w:rPr>
        <w:t>和控制环境不利影响。我局原则同意</w:t>
      </w:r>
      <w:r>
        <w:rPr>
          <w:rFonts w:hint="eastAsia" w:ascii="国标仿宋-GB/T 2312" w:hAnsi="国标仿宋-GB/T 2312" w:eastAsia="国标仿宋-GB/T 2312" w:cs="国标仿宋-GB/T 2312"/>
          <w:kern w:val="0"/>
          <w:sz w:val="32"/>
          <w:szCs w:val="32"/>
          <w:lang w:eastAsia="zh-CN"/>
        </w:rPr>
        <w:t>你公司</w:t>
      </w:r>
      <w:r>
        <w:rPr>
          <w:rFonts w:hint="eastAsia" w:ascii="国标仿宋-GB/T 2312" w:hAnsi="国标仿宋-GB/T 2312" w:eastAsia="国标仿宋-GB/T 2312" w:cs="国标仿宋-GB/T 2312"/>
          <w:kern w:val="0"/>
          <w:sz w:val="32"/>
          <w:szCs w:val="32"/>
        </w:rPr>
        <w:t>按报告</w:t>
      </w:r>
      <w:r>
        <w:rPr>
          <w:rFonts w:hint="eastAsia" w:ascii="国标仿宋-GB/T 2312" w:hAnsi="国标仿宋-GB/T 2312" w:eastAsia="国标仿宋-GB/T 2312" w:cs="国标仿宋-GB/T 2312"/>
          <w:kern w:val="0"/>
          <w:sz w:val="32"/>
          <w:szCs w:val="32"/>
          <w:lang w:eastAsia="zh-CN"/>
        </w:rPr>
        <w:t>表</w:t>
      </w:r>
      <w:r>
        <w:rPr>
          <w:rFonts w:hint="eastAsia" w:ascii="国标仿宋-GB/T 2312" w:hAnsi="国标仿宋-GB/T 2312" w:eastAsia="国标仿宋-GB/T 2312" w:cs="国标仿宋-GB/T 2312"/>
          <w:kern w:val="0"/>
          <w:sz w:val="32"/>
          <w:szCs w:val="32"/>
        </w:rPr>
        <w:t>中所列工程性质、规模、地点、环境保护对策措施等要求进行该项目建设。</w:t>
      </w:r>
    </w:p>
    <w:p w14:paraId="4FE842F5">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outlineLvl w:val="0"/>
        <w:rPr>
          <w:rFonts w:hint="eastAsia" w:ascii="仿宋" w:hAnsi="仿宋" w:eastAsia="仿宋" w:cs="仿宋"/>
          <w:kern w:val="0"/>
          <w:sz w:val="32"/>
          <w:szCs w:val="32"/>
        </w:rPr>
      </w:pPr>
      <w:r>
        <w:rPr>
          <w:rFonts w:hint="eastAsia" w:ascii="黑体" w:hAnsi="黑体" w:eastAsia="黑体" w:cs="黑体"/>
          <w:kern w:val="0"/>
          <w:sz w:val="32"/>
          <w:szCs w:val="32"/>
        </w:rPr>
        <w:t>二、项目建设与运行管理中应重点做好以下工作</w:t>
      </w:r>
    </w:p>
    <w:p w14:paraId="2F7EC282">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项目在工程设计、建设和生产过程中必须认真落实《报告</w:t>
      </w:r>
      <w:r>
        <w:rPr>
          <w:rFonts w:hint="eastAsia" w:ascii="仿宋" w:hAnsi="仿宋" w:eastAsia="仿宋" w:cs="仿宋"/>
          <w:sz w:val="32"/>
          <w:szCs w:val="32"/>
          <w:lang w:eastAsia="zh-CN"/>
        </w:rPr>
        <w:t>表</w:t>
      </w:r>
      <w:r>
        <w:rPr>
          <w:rFonts w:hint="eastAsia" w:ascii="仿宋" w:hAnsi="仿宋" w:eastAsia="仿宋" w:cs="仿宋"/>
          <w:sz w:val="32"/>
          <w:szCs w:val="32"/>
        </w:rPr>
        <w:t>》提出的各项环保要求</w:t>
      </w:r>
      <w:r>
        <w:rPr>
          <w:rFonts w:hint="eastAsia" w:ascii="仿宋" w:hAnsi="仿宋" w:eastAsia="仿宋" w:cs="仿宋"/>
          <w:sz w:val="32"/>
          <w:szCs w:val="32"/>
          <w:lang w:eastAsia="zh-CN"/>
        </w:rPr>
        <w:t>，</w:t>
      </w:r>
      <w:r>
        <w:rPr>
          <w:rFonts w:hint="eastAsia" w:ascii="仿宋" w:hAnsi="仿宋" w:eastAsia="仿宋" w:cs="仿宋"/>
          <w:sz w:val="32"/>
          <w:szCs w:val="32"/>
        </w:rPr>
        <w:t>并重点做好以下几项工作：</w:t>
      </w:r>
    </w:p>
    <w:p w14:paraId="61C13D16">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rPr>
      </w:pPr>
      <w:r>
        <w:rPr>
          <w:rFonts w:hint="eastAsia" w:ascii="国标楷体-GB/T 2312" w:hAnsi="国标楷体-GB/T 2312" w:eastAsia="国标楷体-GB/T 2312" w:cs="国标楷体-GB/T 2312"/>
          <w:sz w:val="32"/>
          <w:szCs w:val="32"/>
        </w:rPr>
        <w:t>（一）</w:t>
      </w:r>
      <w:r>
        <w:rPr>
          <w:rFonts w:hint="eastAsia" w:ascii="国标仿宋-GB/T 2312" w:hAnsi="国标仿宋-GB/T 2312" w:eastAsia="国标仿宋-GB/T 2312" w:cs="国标仿宋-GB/T 2312"/>
          <w:sz w:val="32"/>
          <w:szCs w:val="32"/>
        </w:rPr>
        <w:t>在设计、建设和运行中，按照“环保优先、绿色发展”目标和循环经济、清洁生产的理念，采用国内外成熟可靠、技术先进、环境友好的工艺技术方案，选用优质装备和原材料，强化各装置节能降耗措施，减少污染物的产生量和排放量。</w:t>
      </w:r>
    </w:p>
    <w:p w14:paraId="0DA63560">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lang w:val="en-US" w:eastAsia="zh-CN"/>
        </w:rPr>
      </w:pPr>
      <w:r>
        <w:rPr>
          <w:rFonts w:hint="eastAsia" w:ascii="国标楷体-GB/T 2312" w:hAnsi="国标楷体-GB/T 2312" w:eastAsia="国标楷体-GB/T 2312" w:cs="国标楷体-GB/T 2312"/>
          <w:sz w:val="32"/>
          <w:szCs w:val="32"/>
          <w:lang w:eastAsia="zh-CN"/>
        </w:rPr>
        <w:t>（二）</w:t>
      </w:r>
      <w:r>
        <w:rPr>
          <w:rFonts w:hint="eastAsia" w:ascii="国标楷体-GB/T 2312" w:hAnsi="国标楷体-GB/T 2312" w:eastAsia="国标楷体-GB/T 2312" w:cs="国标楷体-GB/T 2312"/>
          <w:sz w:val="32"/>
          <w:szCs w:val="32"/>
        </w:rPr>
        <w:t>废水污染防治要求。</w:t>
      </w:r>
      <w:r>
        <w:rPr>
          <w:rFonts w:hint="eastAsia" w:ascii="国标仿宋-GB/T 2312" w:hAnsi="国标仿宋-GB/T 2312" w:eastAsia="国标仿宋-GB/T 2312" w:cs="国标仿宋-GB/T 2312"/>
          <w:sz w:val="32"/>
          <w:szCs w:val="32"/>
        </w:rPr>
        <w:t>按照“清污分流、雨污分流、分质处理、一水多用”原则</w:t>
      </w:r>
      <w:r>
        <w:rPr>
          <w:rFonts w:hint="eastAsia" w:ascii="国标仿宋-GB/T 2312" w:hAnsi="国标仿宋-GB/T 2312" w:eastAsia="国标仿宋-GB/T 2312" w:cs="国标仿宋-GB/T 2312"/>
          <w:sz w:val="32"/>
          <w:szCs w:val="32"/>
          <w:lang w:val="en-US" w:eastAsia="zh-CN"/>
        </w:rPr>
        <w:t>建设厂区排水管网，项目废水收集一律采取明管输送，分色标识，分质、分流收集处理，认真落实环境影响报告表提出的废水处理方案。营运期生活污水依托现有化粪池处理后，定期清掏用于旱地浇灌，不外排。车辆清洗废水经沉淀池沉淀后循环使用，不外排。</w:t>
      </w:r>
    </w:p>
    <w:p w14:paraId="48281C1F">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b w:val="0"/>
          <w:bCs w:val="0"/>
          <w:sz w:val="32"/>
          <w:szCs w:val="32"/>
          <w:lang w:val="en-US" w:eastAsia="zh-CN"/>
        </w:rPr>
      </w:pPr>
      <w:r>
        <w:rPr>
          <w:rFonts w:hint="eastAsia" w:ascii="国标楷体-GB/T 2312" w:hAnsi="国标楷体-GB/T 2312" w:eastAsia="国标楷体-GB/T 2312" w:cs="国标楷体-GB/T 2312"/>
          <w:sz w:val="32"/>
          <w:szCs w:val="32"/>
          <w:lang w:eastAsia="zh-CN"/>
        </w:rPr>
        <w:t>（三）废气污染防治要求。</w:t>
      </w:r>
      <w:r>
        <w:rPr>
          <w:rFonts w:hint="eastAsia" w:ascii="国标仿宋-GB/T 2312" w:hAnsi="国标仿宋-GB/T 2312" w:eastAsia="国标仿宋-GB/T 2312" w:cs="国标仿宋-GB/T 2312"/>
          <w:b w:val="0"/>
          <w:bCs w:val="0"/>
          <w:sz w:val="32"/>
          <w:szCs w:val="32"/>
          <w:lang w:val="en-US" w:eastAsia="zh-CN"/>
        </w:rPr>
        <w:t>应采取清洁生产措施减少废气产生量。根据废气中污染物的类别和性质，采用成熟可靠工艺处理，确保废气污染物长期稳定达标排放。投料、破碎、粉磨、打包工序产生的粉尘废气经集气罩收集＋布袋除尘＋15米高排气筒达标排放；无组织废气通过采用加强厂区周边绿化、洒水抑尘、路面硬化、仓库和物料输送廊道封闭等措施减轻其对周边环境的影响，确保厂界废气达标。如无法确保废气达标，需进一步进行有组织治理。</w:t>
      </w:r>
    </w:p>
    <w:p w14:paraId="7A0DA2BA">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color w:val="000000"/>
          <w:sz w:val="32"/>
          <w:szCs w:val="36"/>
          <w:lang w:val="en-US" w:eastAsia="zh-CN"/>
        </w:rPr>
      </w:pPr>
      <w:r>
        <w:rPr>
          <w:rFonts w:hint="eastAsia" w:ascii="国标仿宋-GB/T 2312" w:hAnsi="国标仿宋-GB/T 2312" w:eastAsia="国标仿宋-GB/T 2312" w:cs="国标仿宋-GB/T 2312"/>
          <w:color w:val="000000"/>
          <w:sz w:val="32"/>
          <w:szCs w:val="36"/>
          <w:lang w:val="en-US" w:eastAsia="zh-CN"/>
        </w:rPr>
        <w:t>运营期颗粒物、氟化物排放执行《大气污染物综合排放标准》（GB16297-1996）表2中的二级标准及无组织排放监控浓度限值要求。</w:t>
      </w:r>
    </w:p>
    <w:p w14:paraId="67851876">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rPr>
      </w:pPr>
      <w:r>
        <w:rPr>
          <w:rFonts w:hint="eastAsia" w:ascii="国标楷体-GB/T 2312" w:hAnsi="国标楷体-GB/T 2312" w:eastAsia="国标楷体-GB/T 2312" w:cs="国标楷体-GB/T 2312"/>
          <w:sz w:val="32"/>
          <w:szCs w:val="32"/>
          <w:lang w:eastAsia="zh-CN"/>
        </w:rPr>
        <w:t>（四）固体废物污染防治要求。</w:t>
      </w:r>
      <w:r>
        <w:rPr>
          <w:rFonts w:hint="eastAsia" w:ascii="国标仿宋-GB/T 2312" w:hAnsi="国标仿宋-GB/T 2312" w:eastAsia="国标仿宋-GB/T 2312" w:cs="国标仿宋-GB/T 2312"/>
          <w:sz w:val="32"/>
          <w:szCs w:val="32"/>
        </w:rPr>
        <w:t>应按“资源化、减量化、无害化”处置原则，认真落实各类固体废物收集、处置和综合利用措施。</w:t>
      </w:r>
      <w:r>
        <w:rPr>
          <w:rFonts w:hint="eastAsia" w:ascii="国标仿宋-GB/T 2312" w:hAnsi="国标仿宋-GB/T 2312" w:eastAsia="国标仿宋-GB/T 2312" w:cs="国标仿宋-GB/T 2312"/>
          <w:sz w:val="32"/>
          <w:szCs w:val="32"/>
          <w:lang w:val="en-US" w:eastAsia="zh-CN"/>
        </w:rPr>
        <w:t>项目一般固废包括布袋除尘器收集粉尘、废布袋、沉淀池污泥等。</w:t>
      </w:r>
      <w:r>
        <w:rPr>
          <w:rFonts w:hint="eastAsia" w:ascii="国标仿宋-GB/T 2312" w:hAnsi="国标仿宋-GB/T 2312" w:eastAsia="国标仿宋-GB/T 2312" w:cs="国标仿宋-GB/T 2312"/>
          <w:b w:val="0"/>
          <w:bCs w:val="0"/>
          <w:color w:val="000000"/>
          <w:sz w:val="32"/>
          <w:szCs w:val="32"/>
          <w:lang w:val="en-US" w:eastAsia="zh-CN"/>
        </w:rPr>
        <w:t>一般工业固废应当合法利用或处置，生活垃圾交由环卫部门统一收转。</w:t>
      </w:r>
    </w:p>
    <w:p w14:paraId="73CD81E6">
      <w:pPr>
        <w:pStyle w:val="2"/>
        <w:keepNext w:val="0"/>
        <w:keepLines w:val="0"/>
        <w:pageBreakBefore w:val="0"/>
        <w:widowControl w:val="0"/>
        <w:kinsoku/>
        <w:wordWrap/>
        <w:overflowPunct/>
        <w:topLinePunct w:val="0"/>
        <w:autoSpaceDE/>
        <w:autoSpaceDN/>
        <w:bidi w:val="0"/>
        <w:adjustRightInd w:val="0"/>
        <w:snapToGrid w:val="0"/>
        <w:spacing w:line="600" w:lineRule="exact"/>
        <w:ind w:left="0" w:leftChars="0" w:right="0"/>
        <w:textAlignment w:val="auto"/>
        <w:rPr>
          <w:rFonts w:hint="eastAsia" w:ascii="国标仿宋-GB/T 2312" w:hAnsi="国标仿宋-GB/T 2312" w:eastAsia="国标仿宋-GB/T 2312" w:cs="国标仿宋-GB/T 2312"/>
          <w:sz w:val="32"/>
          <w:szCs w:val="32"/>
          <w:lang w:eastAsia="zh-CN"/>
        </w:rPr>
      </w:pPr>
      <w:r>
        <w:rPr>
          <w:rFonts w:hint="eastAsia" w:ascii="国标仿宋-GB/T 2312" w:hAnsi="国标仿宋-GB/T 2312" w:eastAsia="国标仿宋-GB/T 2312" w:cs="国标仿宋-GB/T 2312"/>
          <w:sz w:val="32"/>
          <w:szCs w:val="32"/>
        </w:rPr>
        <w:t>应在厂区设置足够容量的一般固废暂存库。一般工业固体废物暂存库设计、建设、运行须满足《一般工业固体废物贮存和填埋污染控制标准》(GB18599-2020)</w:t>
      </w:r>
      <w:r>
        <w:rPr>
          <w:rFonts w:hint="eastAsia" w:ascii="国标仿宋-GB/T 2312" w:hAnsi="国标仿宋-GB/T 2312" w:eastAsia="国标仿宋-GB/T 2312" w:cs="国标仿宋-GB/T 2312"/>
          <w:color w:val="0C0C0C"/>
          <w:lang w:eastAsia="zh-CN"/>
        </w:rPr>
        <w:t>。</w:t>
      </w:r>
    </w:p>
    <w:p w14:paraId="1CE2C5A7">
      <w:pPr>
        <w:keepNext w:val="0"/>
        <w:keepLines w:val="0"/>
        <w:pageBreakBefore w:val="0"/>
        <w:widowControl w:val="0"/>
        <w:numPr>
          <w:ilvl w:val="0"/>
          <w:numId w:val="0"/>
        </w:numPr>
        <w:kinsoku/>
        <w:wordWrap/>
        <w:overflowPunct/>
        <w:topLinePunct w:val="0"/>
        <w:autoSpaceDE/>
        <w:autoSpaceDN/>
        <w:bidi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rPr>
      </w:pPr>
      <w:r>
        <w:rPr>
          <w:rFonts w:hint="eastAsia" w:ascii="国标楷体-GB/T 2312" w:hAnsi="国标楷体-GB/T 2312" w:eastAsia="国标楷体-GB/T 2312" w:cs="国标楷体-GB/T 2312"/>
          <w:sz w:val="32"/>
          <w:szCs w:val="32"/>
          <w:lang w:eastAsia="zh-CN"/>
        </w:rPr>
        <w:t>（五）环境噪声污染防治要求。</w:t>
      </w:r>
      <w:r>
        <w:rPr>
          <w:rFonts w:hint="eastAsia" w:ascii="国标仿宋-GB/T 2312" w:hAnsi="国标仿宋-GB/T 2312" w:eastAsia="国标仿宋-GB/T 2312" w:cs="国标仿宋-GB/T 2312"/>
          <w:sz w:val="32"/>
          <w:szCs w:val="32"/>
        </w:rPr>
        <w:t>运营期噪声源包括</w:t>
      </w:r>
      <w:r>
        <w:rPr>
          <w:rFonts w:hint="eastAsia" w:ascii="国标仿宋-GB/T 2312" w:hAnsi="国标仿宋-GB/T 2312" w:eastAsia="国标仿宋-GB/T 2312" w:cs="国标仿宋-GB/T 2312"/>
          <w:sz w:val="32"/>
          <w:szCs w:val="32"/>
          <w:lang w:eastAsia="zh-CN"/>
        </w:rPr>
        <w:t>破碎机、磨粉机、斗式提升机、振动给料机、铲车、自动包装机、风机及其它机械设备等</w:t>
      </w:r>
      <w:r>
        <w:rPr>
          <w:rFonts w:hint="eastAsia" w:ascii="国标仿宋-GB/T 2312" w:hAnsi="国标仿宋-GB/T 2312" w:eastAsia="国标仿宋-GB/T 2312" w:cs="国标仿宋-GB/T 2312"/>
          <w:sz w:val="32"/>
          <w:szCs w:val="32"/>
        </w:rPr>
        <w:t>。</w:t>
      </w:r>
      <w:r>
        <w:rPr>
          <w:rFonts w:hint="eastAsia" w:ascii="国标仿宋-GB/T 2312" w:hAnsi="国标仿宋-GB/T 2312" w:eastAsia="国标仿宋-GB/T 2312" w:cs="国标仿宋-GB/T 2312"/>
          <w:sz w:val="32"/>
          <w:szCs w:val="32"/>
          <w:lang w:val="en-US" w:eastAsia="zh-CN"/>
        </w:rPr>
        <w:t>通过</w:t>
      </w:r>
      <w:r>
        <w:rPr>
          <w:rFonts w:hint="eastAsia" w:ascii="国标仿宋-GB/T 2312" w:hAnsi="国标仿宋-GB/T 2312" w:eastAsia="国标仿宋-GB/T 2312" w:cs="国标仿宋-GB/T 2312"/>
          <w:sz w:val="32"/>
          <w:szCs w:val="32"/>
        </w:rPr>
        <w:t>选用低噪设备，合理平面布局，采取隔声、减振等</w:t>
      </w:r>
      <w:r>
        <w:rPr>
          <w:rFonts w:hint="eastAsia" w:ascii="国标仿宋-GB/T 2312" w:hAnsi="国标仿宋-GB/T 2312" w:eastAsia="国标仿宋-GB/T 2312" w:cs="国标仿宋-GB/T 2312"/>
          <w:sz w:val="32"/>
          <w:szCs w:val="32"/>
          <w:lang w:val="en-US" w:eastAsia="zh-CN"/>
        </w:rPr>
        <w:t>综合措施治理</w:t>
      </w:r>
      <w:r>
        <w:rPr>
          <w:rFonts w:hint="eastAsia" w:ascii="国标仿宋-GB/T 2312" w:hAnsi="国标仿宋-GB/T 2312" w:eastAsia="国标仿宋-GB/T 2312" w:cs="国标仿宋-GB/T 2312"/>
          <w:sz w:val="32"/>
          <w:szCs w:val="32"/>
          <w:lang w:eastAsia="zh-CN"/>
        </w:rPr>
        <w:t>；</w:t>
      </w:r>
      <w:r>
        <w:rPr>
          <w:rFonts w:hint="eastAsia" w:ascii="国标仿宋-GB/T 2312" w:hAnsi="国标仿宋-GB/T 2312" w:eastAsia="国标仿宋-GB/T 2312" w:cs="国标仿宋-GB/T 2312"/>
          <w:sz w:val="32"/>
          <w:szCs w:val="32"/>
          <w:lang w:val="en-US" w:eastAsia="zh-CN"/>
        </w:rPr>
        <w:t>同时加强设备维护，避免设备故障带来的高噪声等，以减少对周边居民正常生活的影响。</w:t>
      </w:r>
      <w:r>
        <w:rPr>
          <w:rFonts w:hint="eastAsia" w:ascii="国标仿宋-GB/T 2312" w:hAnsi="国标仿宋-GB/T 2312" w:eastAsia="国标仿宋-GB/T 2312" w:cs="国标仿宋-GB/T 2312"/>
          <w:sz w:val="32"/>
          <w:szCs w:val="32"/>
        </w:rPr>
        <w:t>厂界噪声须满足《工业企业厂界环境噪声排放标准》（GB12348-2008）中</w:t>
      </w:r>
      <w:r>
        <w:rPr>
          <w:rFonts w:hint="eastAsia" w:ascii="国标仿宋-GB/T 2312" w:hAnsi="国标仿宋-GB/T 2312" w:eastAsia="国标仿宋-GB/T 2312" w:cs="国标仿宋-GB/T 2312"/>
          <w:sz w:val="32"/>
          <w:szCs w:val="32"/>
          <w:lang w:val="en-US" w:eastAsia="zh-CN"/>
        </w:rPr>
        <w:t>2</w:t>
      </w:r>
      <w:r>
        <w:rPr>
          <w:rFonts w:hint="eastAsia" w:ascii="国标仿宋-GB/T 2312" w:hAnsi="国标仿宋-GB/T 2312" w:eastAsia="国标仿宋-GB/T 2312" w:cs="国标仿宋-GB/T 2312"/>
          <w:sz w:val="32"/>
          <w:szCs w:val="32"/>
        </w:rPr>
        <w:t>类标准。</w:t>
      </w:r>
    </w:p>
    <w:p w14:paraId="67BA4C75">
      <w:pPr>
        <w:keepNext w:val="0"/>
        <w:keepLines w:val="0"/>
        <w:pageBreakBefore w:val="0"/>
        <w:widowControl w:val="0"/>
        <w:kinsoku/>
        <w:wordWrap/>
        <w:overflowPunct/>
        <w:topLinePunct w:val="0"/>
        <w:autoSpaceDE/>
        <w:autoSpaceDN/>
        <w:bidi w:val="0"/>
        <w:adjustRightInd w:val="0"/>
        <w:snapToGrid w:val="0"/>
        <w:spacing w:line="600" w:lineRule="exact"/>
        <w:ind w:right="0" w:firstLine="640" w:firstLineChars="200"/>
        <w:textAlignment w:val="auto"/>
        <w:rPr>
          <w:rFonts w:hint="eastAsia" w:ascii="国标仿宋-GB/T 2312" w:hAnsi="国标仿宋-GB/T 2312" w:eastAsia="国标仿宋-GB/T 2312" w:cs="国标仿宋-GB/T 2312"/>
          <w:b w:val="0"/>
          <w:bCs w:val="0"/>
          <w:color w:val="000000"/>
          <w:sz w:val="32"/>
          <w:szCs w:val="32"/>
          <w:lang w:val="en-US" w:eastAsia="zh-CN"/>
        </w:rPr>
      </w:pPr>
      <w:r>
        <w:rPr>
          <w:rFonts w:hint="eastAsia" w:ascii="国标楷体-GB/T 2312" w:hAnsi="国标楷体-GB/T 2312" w:eastAsia="国标楷体-GB/T 2312" w:cs="国标楷体-GB/T 2312"/>
          <w:sz w:val="32"/>
          <w:szCs w:val="32"/>
          <w:lang w:val="en-US" w:eastAsia="zh-CN"/>
        </w:rPr>
        <w:t>（六）土壤和地下水污染防治要求。</w:t>
      </w:r>
      <w:r>
        <w:rPr>
          <w:rFonts w:hint="eastAsia" w:ascii="国标仿宋-GB/T 2312" w:hAnsi="国标仿宋-GB/T 2312" w:eastAsia="国标仿宋-GB/T 2312" w:cs="国标仿宋-GB/T 2312"/>
          <w:b w:val="0"/>
          <w:bCs w:val="0"/>
          <w:color w:val="000000"/>
          <w:sz w:val="32"/>
          <w:szCs w:val="32"/>
          <w:lang w:val="en-US" w:eastAsia="zh-CN"/>
        </w:rPr>
        <w:t>按照“源头防控、分区防治、污染监控、应急响应”的原则进行土壤和地下水污染防治。严格按照报告表有关要求采取分区防渗措施。加强防渗设施的日常维护，对出现损害的防渗设施应及时修复和加固，确保防渗设施牢固安全。一旦出现土壤或地下水污染，立即启动应急预案和应急措施，减少对土壤和地下水的不利影响。</w:t>
      </w:r>
    </w:p>
    <w:p w14:paraId="0C68B118">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国标仿宋-GB/T 2312" w:hAnsi="国标仿宋-GB/T 2312" w:eastAsia="国标仿宋-GB/T 2312" w:cs="国标仿宋-GB/T 2312"/>
          <w:sz w:val="32"/>
          <w:szCs w:val="32"/>
        </w:rPr>
      </w:pPr>
      <w:r>
        <w:rPr>
          <w:rFonts w:hint="eastAsia" w:ascii="国标楷体-GB/T 2312" w:hAnsi="国标楷体-GB/T 2312" w:eastAsia="国标楷体-GB/T 2312" w:cs="国标楷体-GB/T 2312"/>
          <w:sz w:val="32"/>
          <w:szCs w:val="32"/>
          <w:lang w:val="en-US" w:eastAsia="zh-CN"/>
        </w:rPr>
        <w:t>（七）排污口规范化要求。</w:t>
      </w:r>
      <w:r>
        <w:rPr>
          <w:rFonts w:hint="eastAsia" w:ascii="国标仿宋-GB/T 2312" w:hAnsi="国标仿宋-GB/T 2312" w:eastAsia="国标仿宋-GB/T 2312" w:cs="国标仿宋-GB/T 2312"/>
          <w:sz w:val="32"/>
          <w:szCs w:val="32"/>
        </w:rPr>
        <w:t>按国家有关规定设置规范的污染物排放口</w:t>
      </w:r>
      <w:r>
        <w:rPr>
          <w:rFonts w:hint="eastAsia" w:ascii="国标仿宋-GB/T 2312" w:hAnsi="国标仿宋-GB/T 2312" w:eastAsia="国标仿宋-GB/T 2312" w:cs="国标仿宋-GB/T 2312"/>
          <w:sz w:val="32"/>
          <w:szCs w:val="32"/>
          <w:lang w:eastAsia="zh-CN"/>
        </w:rPr>
        <w:t>，并设置标示牌</w:t>
      </w:r>
      <w:r>
        <w:rPr>
          <w:rFonts w:hint="eastAsia" w:ascii="国标仿宋-GB/T 2312" w:hAnsi="国标仿宋-GB/T 2312" w:eastAsia="国标仿宋-GB/T 2312" w:cs="国标仿宋-GB/T 2312"/>
          <w:sz w:val="32"/>
          <w:szCs w:val="32"/>
        </w:rPr>
        <w:t>。</w:t>
      </w:r>
    </w:p>
    <w:p w14:paraId="7A34A9A8">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国标仿宋-GB/T 2312" w:hAnsi="国标仿宋-GB/T 2312" w:eastAsia="国标仿宋-GB/T 2312" w:cs="国标仿宋-GB/T 2312"/>
          <w:kern w:val="0"/>
          <w:sz w:val="32"/>
          <w:szCs w:val="32"/>
          <w:lang w:eastAsia="zh-CN"/>
        </w:rPr>
      </w:pPr>
      <w:r>
        <w:rPr>
          <w:rFonts w:hint="eastAsia" w:ascii="国标楷体-GB/T 2312" w:hAnsi="国标楷体-GB/T 2312" w:eastAsia="国标楷体-GB/T 2312" w:cs="国标楷体-GB/T 2312"/>
          <w:sz w:val="32"/>
          <w:szCs w:val="32"/>
          <w:lang w:val="en-US" w:eastAsia="zh-CN"/>
        </w:rPr>
        <w:t>（八）卫生防护距离。</w:t>
      </w:r>
      <w:r>
        <w:rPr>
          <w:rFonts w:hint="eastAsia" w:ascii="国标仿宋-GB/T 2312" w:hAnsi="国标仿宋-GB/T 2312" w:eastAsia="国标仿宋-GB/T 2312" w:cs="国标仿宋-GB/T 2312"/>
          <w:kern w:val="0"/>
          <w:sz w:val="32"/>
          <w:szCs w:val="32"/>
          <w:lang w:val="en-US" w:eastAsia="zh-CN"/>
        </w:rPr>
        <w:t>项目设置的卫生防护距离为：生产车间边界外100m，成品仓库、晾晒车间边界外50m。卫生防护距离范围内无环境敏感点。</w:t>
      </w:r>
      <w:r>
        <w:rPr>
          <w:rFonts w:hint="eastAsia" w:ascii="国标仿宋-GB/T 2312" w:hAnsi="国标仿宋-GB/T 2312" w:eastAsia="国标仿宋-GB/T 2312" w:cs="国标仿宋-GB/T 2312"/>
          <w:kern w:val="0"/>
          <w:sz w:val="32"/>
          <w:szCs w:val="32"/>
          <w:lang w:eastAsia="zh-CN"/>
        </w:rPr>
        <w:t>你公司应配合政府和规划部门，严格控制好本项目周边规划，项目卫生防护距离范围内不得新建居民住宅、学校及医院等环境敏感建筑。</w:t>
      </w:r>
    </w:p>
    <w:p w14:paraId="01BD5AD2">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三、项目试运行和竣工验收的环保要求</w:t>
      </w:r>
    </w:p>
    <w:p w14:paraId="3CE10C2C">
      <w:pPr>
        <w:keepNext w:val="0"/>
        <w:keepLines w:val="0"/>
        <w:pageBreakBefore w:val="0"/>
        <w:widowControl w:val="0"/>
        <w:kinsoku/>
        <w:wordWrap/>
        <w:overflowPunct/>
        <w:topLinePunct w:val="0"/>
        <w:autoSpaceDE/>
        <w:autoSpaceDN/>
        <w:bidi w:val="0"/>
        <w:spacing w:line="600" w:lineRule="exact"/>
        <w:ind w:left="0" w:leftChars="0" w:right="0" w:firstLine="680"/>
        <w:textAlignment w:val="auto"/>
        <w:rPr>
          <w:rFonts w:hint="eastAsia" w:ascii="国标仿宋-GB/T 2312" w:hAnsi="国标仿宋-GB/T 2312" w:eastAsia="国标仿宋-GB/T 2312" w:cs="国标仿宋-GB/T 2312"/>
          <w:sz w:val="32"/>
          <w:szCs w:val="32"/>
        </w:rPr>
      </w:pPr>
      <w:r>
        <w:rPr>
          <w:rFonts w:hint="eastAsia" w:ascii="国标仿宋-GB/T 2312" w:hAnsi="国标仿宋-GB/T 2312" w:eastAsia="国标仿宋-GB/T 2312" w:cs="国标仿宋-GB/T 2312"/>
          <w:sz w:val="32"/>
          <w:szCs w:val="32"/>
        </w:rPr>
        <w:t>本项目建设必须严格执行环境保护设施与主体工程同时设计、同时施工、同时投入使用的环境保护“三同时”制度。</w:t>
      </w:r>
      <w:r>
        <w:rPr>
          <w:rFonts w:hint="eastAsia" w:ascii="国标仿宋-GB/T 2312" w:hAnsi="国标仿宋-GB/T 2312" w:eastAsia="国标仿宋-GB/T 2312" w:cs="国标仿宋-GB/T 2312"/>
          <w:sz w:val="32"/>
          <w:szCs w:val="32"/>
          <w:lang w:eastAsia="zh-CN"/>
        </w:rPr>
        <w:t>建设项目竣工后</w:t>
      </w:r>
      <w:r>
        <w:rPr>
          <w:rFonts w:hint="eastAsia" w:ascii="国标仿宋-GB/T 2312" w:hAnsi="国标仿宋-GB/T 2312" w:eastAsia="国标仿宋-GB/T 2312" w:cs="国标仿宋-GB/T 2312"/>
          <w:sz w:val="32"/>
          <w:szCs w:val="32"/>
        </w:rPr>
        <w:t>，</w:t>
      </w:r>
      <w:r>
        <w:rPr>
          <w:rFonts w:hint="eastAsia" w:ascii="国标仿宋-GB/T 2312" w:hAnsi="国标仿宋-GB/T 2312" w:eastAsia="国标仿宋-GB/T 2312" w:cs="国标仿宋-GB/T 2312"/>
          <w:sz w:val="32"/>
          <w:szCs w:val="32"/>
          <w:lang w:eastAsia="zh-CN"/>
        </w:rPr>
        <w:t>你公司</w:t>
      </w:r>
      <w:r>
        <w:rPr>
          <w:rFonts w:hint="eastAsia" w:ascii="国标仿宋-GB/T 2312" w:hAnsi="国标仿宋-GB/T 2312" w:eastAsia="国标仿宋-GB/T 2312" w:cs="国标仿宋-GB/T 2312"/>
          <w:sz w:val="32"/>
          <w:szCs w:val="32"/>
        </w:rPr>
        <w:t>须按照国家排污许可证管理的有关要求履行排污许可相关手续后方可进行调试，同时</w:t>
      </w:r>
      <w:r>
        <w:rPr>
          <w:rFonts w:hint="eastAsia" w:ascii="国标仿宋-GB/T 2312" w:hAnsi="国标仿宋-GB/T 2312" w:eastAsia="国标仿宋-GB/T 2312" w:cs="国标仿宋-GB/T 2312"/>
          <w:sz w:val="32"/>
          <w:szCs w:val="32"/>
          <w:lang w:eastAsia="zh-CN"/>
        </w:rPr>
        <w:t>按照《</w:t>
      </w:r>
      <w:r>
        <w:rPr>
          <w:rFonts w:hint="eastAsia" w:ascii="国标仿宋-GB/T 2312" w:hAnsi="国标仿宋-GB/T 2312" w:eastAsia="国标仿宋-GB/T 2312" w:cs="国标仿宋-GB/T 2312"/>
          <w:sz w:val="32"/>
          <w:szCs w:val="32"/>
        </w:rPr>
        <w:t>建设项目竣工环境保护验收暂行办法</w:t>
      </w:r>
      <w:r>
        <w:rPr>
          <w:rFonts w:hint="eastAsia" w:ascii="国标仿宋-GB/T 2312" w:hAnsi="国标仿宋-GB/T 2312" w:eastAsia="国标仿宋-GB/T 2312" w:cs="国标仿宋-GB/T 2312"/>
          <w:sz w:val="32"/>
          <w:szCs w:val="32"/>
          <w:lang w:eastAsia="zh-CN"/>
        </w:rPr>
        <w:t>》履行</w:t>
      </w:r>
      <w:r>
        <w:rPr>
          <w:rFonts w:hint="eastAsia" w:ascii="国标仿宋-GB/T 2312" w:hAnsi="国标仿宋-GB/T 2312" w:eastAsia="国标仿宋-GB/T 2312" w:cs="国标仿宋-GB/T 2312"/>
          <w:sz w:val="32"/>
          <w:szCs w:val="32"/>
        </w:rPr>
        <w:t>竣工环境保护验收，经验收合格后方可投入正式生产。</w:t>
      </w:r>
    </w:p>
    <w:p w14:paraId="319EBE22">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四、其他环保要求</w:t>
      </w:r>
    </w:p>
    <w:p w14:paraId="0B150C98">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80"/>
        <w:textAlignment w:val="auto"/>
        <w:rPr>
          <w:rFonts w:hint="eastAsia" w:ascii="国标仿宋-GB/T 2312" w:hAnsi="国标仿宋-GB/T 2312" w:eastAsia="国标仿宋-GB/T 2312" w:cs="国标仿宋-GB/T 2312"/>
          <w:sz w:val="32"/>
          <w:szCs w:val="32"/>
        </w:rPr>
      </w:pPr>
      <w:r>
        <w:rPr>
          <w:rFonts w:hint="eastAsia" w:ascii="国标楷体-GB/T 2312" w:hAnsi="国标楷体-GB/T 2312" w:eastAsia="国标楷体-GB/T 2312" w:cs="国标楷体-GB/T 2312"/>
          <w:sz w:val="32"/>
          <w:szCs w:val="32"/>
        </w:rPr>
        <w:t>（一）项目变更环保要求。</w:t>
      </w:r>
      <w:r>
        <w:rPr>
          <w:rFonts w:hint="eastAsia" w:ascii="国标仿宋-GB/T 2312" w:hAnsi="国标仿宋-GB/T 2312" w:eastAsia="国标仿宋-GB/T 2312" w:cs="国标仿宋-GB/T 2312"/>
          <w:sz w:val="32"/>
          <w:szCs w:val="32"/>
        </w:rPr>
        <w:t>本批复仅限按报告</w:t>
      </w:r>
      <w:r>
        <w:rPr>
          <w:rFonts w:hint="eastAsia" w:ascii="国标仿宋-GB/T 2312" w:hAnsi="国标仿宋-GB/T 2312" w:eastAsia="国标仿宋-GB/T 2312" w:cs="国标仿宋-GB/T 2312"/>
          <w:sz w:val="32"/>
          <w:szCs w:val="32"/>
          <w:lang w:eastAsia="zh-CN"/>
        </w:rPr>
        <w:t>表</w:t>
      </w:r>
      <w:r>
        <w:rPr>
          <w:rFonts w:hint="eastAsia" w:ascii="国标仿宋-GB/T 2312" w:hAnsi="国标仿宋-GB/T 2312" w:eastAsia="国标仿宋-GB/T 2312" w:cs="国标仿宋-GB/T 2312"/>
          <w:sz w:val="32"/>
          <w:szCs w:val="32"/>
        </w:rPr>
        <w:t>的建设内容，若项目建设性质、规模、地点、内容、采用的生产工艺或者防治污染的措施等发生重大变化或审批后超过五年方动工建设的，应按照法律法规要求，重新申请办理环评审批手续。</w:t>
      </w:r>
    </w:p>
    <w:p w14:paraId="65A10C34">
      <w:pPr>
        <w:keepNext w:val="0"/>
        <w:keepLines w:val="0"/>
        <w:pageBreakBefore w:val="0"/>
        <w:widowControl w:val="0"/>
        <w:kinsoku/>
        <w:wordWrap/>
        <w:overflowPunct/>
        <w:topLinePunct w:val="0"/>
        <w:autoSpaceDE/>
        <w:autoSpaceDN/>
        <w:bidi w:val="0"/>
        <w:spacing w:line="600" w:lineRule="exact"/>
        <w:ind w:left="0" w:leftChars="0" w:right="0" w:firstLine="640" w:firstLineChars="200"/>
        <w:textAlignment w:val="auto"/>
        <w:rPr>
          <w:rFonts w:hint="eastAsia" w:ascii="仿宋" w:hAnsi="仿宋" w:eastAsia="国标仿宋-GB/T 2312" w:cs="仿宋"/>
          <w:sz w:val="32"/>
          <w:szCs w:val="32"/>
          <w:lang w:eastAsia="zh-CN"/>
        </w:rPr>
      </w:pPr>
      <w:r>
        <w:rPr>
          <w:rFonts w:hint="eastAsia" w:ascii="国标楷体-GB/T 2312" w:hAnsi="国标楷体-GB/T 2312" w:eastAsia="国标楷体-GB/T 2312" w:cs="国标楷体-GB/T 2312"/>
          <w:sz w:val="32"/>
          <w:szCs w:val="32"/>
        </w:rPr>
        <w:t>（二）日常环保监管。</w:t>
      </w:r>
      <w:r>
        <w:rPr>
          <w:rFonts w:hint="eastAsia" w:ascii="国标仿宋-GB/T 2312" w:hAnsi="国标仿宋-GB/T 2312" w:eastAsia="国标仿宋-GB/T 2312" w:cs="国标仿宋-GB/T 2312"/>
          <w:sz w:val="32"/>
          <w:szCs w:val="32"/>
        </w:rPr>
        <w:t>请</w:t>
      </w:r>
      <w:r>
        <w:rPr>
          <w:rFonts w:hint="eastAsia" w:ascii="国标仿宋-GB/T 2312" w:hAnsi="国标仿宋-GB/T 2312" w:eastAsia="国标仿宋-GB/T 2312" w:cs="国标仿宋-GB/T 2312"/>
          <w:sz w:val="32"/>
          <w:szCs w:val="32"/>
          <w:lang w:eastAsia="zh-CN"/>
        </w:rPr>
        <w:t>宜春市高安生态环境保护综合执法大队</w:t>
      </w:r>
      <w:r>
        <w:rPr>
          <w:rFonts w:hint="eastAsia" w:ascii="国标仿宋-GB/T 2312" w:hAnsi="国标仿宋-GB/T 2312" w:eastAsia="国标仿宋-GB/T 2312" w:cs="国标仿宋-GB/T 2312"/>
          <w:sz w:val="32"/>
          <w:szCs w:val="32"/>
        </w:rPr>
        <w:t>负责该项目建设和运行的监管以及企业环保“三同时”的检查。</w:t>
      </w:r>
      <w:r>
        <w:rPr>
          <w:rFonts w:hint="eastAsia" w:ascii="国标仿宋-GB/T 2312" w:hAnsi="国标仿宋-GB/T 2312" w:eastAsia="国标仿宋-GB/T 2312" w:cs="国标仿宋-GB/T 2312"/>
          <w:sz w:val="32"/>
          <w:szCs w:val="32"/>
          <w:lang w:eastAsia="zh-CN"/>
        </w:rPr>
        <w:t>你公司</w:t>
      </w:r>
      <w:r>
        <w:rPr>
          <w:rFonts w:hint="eastAsia" w:ascii="国标仿宋-GB/T 2312" w:hAnsi="国标仿宋-GB/T 2312" w:eastAsia="国标仿宋-GB/T 2312" w:cs="国标仿宋-GB/T 2312"/>
          <w:sz w:val="32"/>
          <w:szCs w:val="32"/>
        </w:rPr>
        <w:t>应按规定接受各级</w:t>
      </w:r>
      <w:r>
        <w:rPr>
          <w:rFonts w:hint="eastAsia" w:ascii="国标仿宋-GB/T 2312" w:hAnsi="国标仿宋-GB/T 2312" w:eastAsia="国标仿宋-GB/T 2312" w:cs="国标仿宋-GB/T 2312"/>
          <w:sz w:val="32"/>
          <w:szCs w:val="32"/>
          <w:lang w:eastAsia="zh-CN"/>
        </w:rPr>
        <w:t>生态环境</w:t>
      </w:r>
      <w:r>
        <w:rPr>
          <w:rFonts w:hint="eastAsia" w:ascii="国标仿宋-GB/T 2312" w:hAnsi="国标仿宋-GB/T 2312" w:eastAsia="国标仿宋-GB/T 2312" w:cs="国标仿宋-GB/T 2312"/>
          <w:sz w:val="32"/>
          <w:szCs w:val="32"/>
        </w:rPr>
        <w:t>行政主管部门的监督检查</w:t>
      </w:r>
      <w:r>
        <w:rPr>
          <w:rFonts w:hint="eastAsia" w:ascii="国标仿宋-GB/T 2312" w:hAnsi="国标仿宋-GB/T 2312" w:eastAsia="国标仿宋-GB/T 2312" w:cs="国标仿宋-GB/T 2312"/>
          <w:sz w:val="32"/>
          <w:szCs w:val="32"/>
          <w:lang w:eastAsia="zh-CN"/>
        </w:rPr>
        <w:t>。</w:t>
      </w:r>
    </w:p>
    <w:p w14:paraId="7F4EA1B0">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仿宋" w:hAnsi="仿宋" w:eastAsia="仿宋" w:cs="仿宋"/>
          <w:sz w:val="32"/>
          <w:szCs w:val="32"/>
        </w:rPr>
      </w:pPr>
    </w:p>
    <w:p w14:paraId="64AF35B3">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仿宋" w:hAnsi="仿宋" w:eastAsia="仿宋" w:cs="仿宋"/>
          <w:sz w:val="32"/>
          <w:szCs w:val="32"/>
        </w:rPr>
      </w:pPr>
    </w:p>
    <w:p w14:paraId="0639EFB2">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outlineLvl w:val="9"/>
        <w:rPr>
          <w:rFonts w:hint="eastAsia" w:ascii="仿宋" w:hAnsi="仿宋" w:eastAsia="仿宋" w:cs="仿宋"/>
          <w:sz w:val="32"/>
          <w:szCs w:val="32"/>
        </w:rPr>
      </w:pPr>
    </w:p>
    <w:p w14:paraId="356003DD">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righ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宜春市高安生态环境局</w:t>
      </w:r>
    </w:p>
    <w:p w14:paraId="5652AB27">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w:t>
      </w:r>
      <w:r>
        <w:rPr>
          <w:rFonts w:hint="eastAsia" w:ascii="仿宋" w:hAnsi="仿宋" w:eastAsia="仿宋" w:cs="仿宋"/>
          <w:sz w:val="32"/>
          <w:szCs w:val="32"/>
          <w:lang w:val="en-US" w:eastAsia="zh-CN"/>
        </w:rPr>
        <w:t>26</w:t>
      </w:r>
      <w:r>
        <w:rPr>
          <w:rFonts w:hint="eastAsia" w:ascii="仿宋" w:hAnsi="仿宋" w:eastAsia="仿宋" w:cs="仿宋"/>
          <w:sz w:val="32"/>
          <w:szCs w:val="32"/>
        </w:rPr>
        <w:t>年</w:t>
      </w:r>
      <w:r>
        <w:rPr>
          <w:rFonts w:hint="eastAsia" w:ascii="仿宋" w:hAnsi="仿宋" w:eastAsia="仿宋" w:cs="仿宋"/>
          <w:sz w:val="32"/>
          <w:szCs w:val="32"/>
          <w:lang w:val="en-US" w:eastAsia="zh-CN"/>
        </w:rPr>
        <w:t>4</w:t>
      </w:r>
      <w:r>
        <w:rPr>
          <w:rFonts w:hint="eastAsia" w:ascii="仿宋" w:hAnsi="仿宋" w:eastAsia="仿宋" w:cs="仿宋"/>
          <w:sz w:val="32"/>
          <w:szCs w:val="32"/>
        </w:rPr>
        <w:t>月</w:t>
      </w:r>
      <w:r>
        <w:rPr>
          <w:rFonts w:hint="eastAsia" w:ascii="仿宋" w:hAnsi="仿宋" w:eastAsia="仿宋" w:cs="仿宋"/>
          <w:sz w:val="32"/>
          <w:szCs w:val="32"/>
          <w:lang w:val="en-US" w:eastAsia="zh-CN"/>
        </w:rPr>
        <w:t>9日</w:t>
      </w:r>
    </w:p>
    <w:p w14:paraId="3F46A26F">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1EEE87D7">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6984B9D8">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4DB0F058">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6BB666B8">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7B87EE77">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15195AFF">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07DDFC40">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540A4783">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5132DA70">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34E8757A">
      <w:pPr>
        <w:keepNext w:val="0"/>
        <w:keepLines w:val="0"/>
        <w:pageBreakBefore w:val="0"/>
        <w:widowControl w:val="0"/>
        <w:kinsoku/>
        <w:wordWrap/>
        <w:overflowPunct/>
        <w:topLinePunct w:val="0"/>
        <w:autoSpaceDE/>
        <w:autoSpaceDN/>
        <w:bidi w:val="0"/>
        <w:adjustRightInd/>
        <w:snapToGrid/>
        <w:spacing w:line="600" w:lineRule="exact"/>
        <w:ind w:left="0" w:leftChars="0" w:right="0" w:firstLine="640" w:firstLineChars="200"/>
        <w:jc w:val="center"/>
        <w:textAlignment w:val="auto"/>
        <w:outlineLvl w:val="9"/>
        <w:rPr>
          <w:rFonts w:hint="eastAsia" w:ascii="仿宋" w:hAnsi="仿宋" w:eastAsia="仿宋" w:cs="仿宋"/>
          <w:sz w:val="32"/>
          <w:szCs w:val="32"/>
          <w:lang w:val="en-US" w:eastAsia="zh-CN"/>
        </w:rPr>
      </w:pPr>
    </w:p>
    <w:p w14:paraId="0462D0F7">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eastAsia" w:ascii="仿宋" w:hAnsi="仿宋" w:eastAsia="仿宋"/>
          <w:sz w:val="32"/>
          <w:szCs w:val="32"/>
          <w:u w:val="single"/>
        </w:rPr>
      </w:pPr>
    </w:p>
    <w:tbl>
      <w:tblPr>
        <w:tblStyle w:val="6"/>
        <w:tblW w:w="8505"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05"/>
      </w:tblGrid>
      <w:tr w14:paraId="729728F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56" w:hRule="atLeast"/>
          <w:jc w:val="center"/>
        </w:trPr>
        <w:tc>
          <w:tcPr>
            <w:tcW w:w="8505" w:type="dxa"/>
            <w:tcBorders>
              <w:top w:val="single" w:color="auto" w:sz="12" w:space="0"/>
              <w:left w:val="nil"/>
              <w:bottom w:val="single" w:color="auto" w:sz="12" w:space="0"/>
              <w:right w:val="nil"/>
            </w:tcBorders>
            <w:vAlign w:val="top"/>
          </w:tcPr>
          <w:p w14:paraId="708AA41B">
            <w:pPr>
              <w:keepNext w:val="0"/>
              <w:keepLines w:val="0"/>
              <w:pageBreakBefore w:val="0"/>
              <w:widowControl w:val="0"/>
              <w:kinsoku/>
              <w:wordWrap/>
              <w:overflowPunct/>
              <w:topLinePunct w:val="0"/>
              <w:autoSpaceDE/>
              <w:autoSpaceDN/>
              <w:bidi w:val="0"/>
              <w:spacing w:line="480" w:lineRule="exact"/>
              <w:ind w:left="0" w:leftChars="0"/>
              <w:textAlignment w:val="auto"/>
              <w:rPr>
                <w:rFonts w:ascii="仿宋" w:hAnsi="仿宋" w:eastAsia="仿宋"/>
                <w:sz w:val="32"/>
                <w:szCs w:val="32"/>
                <w:u w:val="single"/>
              </w:rPr>
            </w:pPr>
            <w:r>
              <w:rPr>
                <w:rFonts w:hint="eastAsia" w:ascii="仿宋" w:hAnsi="仿宋" w:eastAsia="仿宋"/>
                <w:sz w:val="28"/>
                <w:szCs w:val="28"/>
                <w:lang w:eastAsia="zh-CN"/>
              </w:rPr>
              <w:t>宜春市高安生态环境局办公室</w:t>
            </w:r>
            <w:r>
              <w:rPr>
                <w:rFonts w:hint="eastAsia" w:ascii="仿宋" w:hAnsi="仿宋" w:eastAsia="仿宋"/>
                <w:sz w:val="28"/>
                <w:szCs w:val="28"/>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rPr>
              <w:t>20</w:t>
            </w:r>
            <w:r>
              <w:rPr>
                <w:rFonts w:hint="eastAsia" w:ascii="仿宋" w:hAnsi="仿宋" w:eastAsia="仿宋"/>
                <w:sz w:val="28"/>
                <w:szCs w:val="28"/>
                <w:lang w:val="en-US" w:eastAsia="zh-CN"/>
              </w:rPr>
              <w:t>26</w:t>
            </w:r>
            <w:r>
              <w:rPr>
                <w:rFonts w:hint="eastAsia" w:ascii="仿宋" w:hAnsi="仿宋" w:eastAsia="仿宋"/>
                <w:sz w:val="28"/>
                <w:szCs w:val="28"/>
              </w:rPr>
              <w:t>年</w:t>
            </w:r>
            <w:r>
              <w:rPr>
                <w:rFonts w:hint="eastAsia" w:ascii="仿宋" w:hAnsi="仿宋" w:eastAsia="仿宋"/>
                <w:sz w:val="28"/>
                <w:szCs w:val="28"/>
                <w:lang w:val="en-US" w:eastAsia="zh-CN"/>
              </w:rPr>
              <w:t>4</w:t>
            </w:r>
            <w:r>
              <w:rPr>
                <w:rFonts w:hint="eastAsia" w:ascii="仿宋" w:hAnsi="仿宋" w:eastAsia="仿宋"/>
                <w:sz w:val="28"/>
                <w:szCs w:val="28"/>
              </w:rPr>
              <w:t>月</w:t>
            </w:r>
            <w:r>
              <w:rPr>
                <w:rFonts w:hint="eastAsia" w:ascii="仿宋" w:hAnsi="仿宋" w:eastAsia="仿宋"/>
                <w:sz w:val="28"/>
                <w:szCs w:val="28"/>
                <w:lang w:val="en-US" w:eastAsia="zh-CN"/>
              </w:rPr>
              <w:t>9</w:t>
            </w:r>
            <w:r>
              <w:rPr>
                <w:rFonts w:hint="eastAsia" w:ascii="仿宋" w:hAnsi="仿宋" w:eastAsia="仿宋"/>
                <w:sz w:val="28"/>
                <w:szCs w:val="28"/>
              </w:rPr>
              <w:t>日印发</w:t>
            </w:r>
          </w:p>
        </w:tc>
      </w:tr>
    </w:tbl>
    <w:p w14:paraId="07C18B8B">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rPr>
          <w:rFonts w:hint="eastAsia" w:ascii="仿宋_GB2312" w:eastAsia="仿宋_GB2312"/>
          <w:sz w:val="32"/>
          <w:szCs w:val="32"/>
          <w:u w:val="single"/>
        </w:rPr>
      </w:pPr>
    </w:p>
    <w:sectPr>
      <w:footerReference r:id="rId3" w:type="default"/>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decorative"/>
    <w:pitch w:val="default"/>
    <w:sig w:usb0="00000000" w:usb1="00000000" w:usb2="00000009" w:usb3="00000000" w:csb0="400001FF" w:csb1="FFFF0000"/>
  </w:font>
  <w:font w:name="宋体">
    <w:altName w:val="方正书宋_GBK"/>
    <w:panose1 w:val="02010600030101010101"/>
    <w:charset w:val="B1"/>
    <w:family w:val="auto"/>
    <w:pitch w:val="default"/>
    <w:sig w:usb0="00000000" w:usb1="00000000" w:usb2="00000000"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2000019F" w:csb1="00000000"/>
  </w:font>
  <w:font w:name="FreeSerif">
    <w:panose1 w:val="02020603050405020304"/>
    <w:charset w:val="00"/>
    <w:family w:val="auto"/>
    <w:pitch w:val="default"/>
    <w:sig w:usb0="E59FAFFF" w:usb1="C200FDFF" w:usb2="43501B29" w:usb3="04000043" w:csb0="600101FF" w:csb1="FFFF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国标仿宋-GB/T 2312">
    <w:panose1 w:val="02000500000000000000"/>
    <w:charset w:val="86"/>
    <w:family w:val="auto"/>
    <w:pitch w:val="default"/>
    <w:sig w:usb0="800002AF" w:usb1="08476CF8" w:usb2="00000010" w:usb3="00000000" w:csb0="00040000" w:csb1="00000000"/>
  </w:font>
  <w:font w:name="方正黑体_GBK">
    <w:panose1 w:val="02000000000000000000"/>
    <w:charset w:val="86"/>
    <w:family w:val="auto"/>
    <w:pitch w:val="default"/>
    <w:sig w:usb0="00000001" w:usb1="08000000" w:usb2="00000000" w:usb3="00000000" w:csb0="00040000" w:csb1="00000000"/>
  </w:font>
  <w:font w:name="国标楷体-GB/T 2312">
    <w:panose1 w:val="020005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8B0DE">
    <w:pPr>
      <w:pStyle w:val="3"/>
    </w:pPr>
    <w:r>
      <w:rPr>
        <w:rFonts w:ascii="Times New Roman" w:hAnsi="Times New Roman" w:eastAsia="宋体" w:cs="Times New Roman"/>
        <w:kern w:val="2"/>
        <w:sz w:val="18"/>
        <w:szCs w:val="24"/>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-31750</wp:posOffset>
              </wp:positionV>
              <wp:extent cx="387350" cy="163195"/>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387350" cy="163195"/>
                      </a:xfrm>
                      <a:prstGeom prst="rect">
                        <a:avLst/>
                      </a:prstGeom>
                      <a:noFill/>
                      <a:ln w="9525">
                        <a:noFill/>
                      </a:ln>
                    </wps:spPr>
                    <wps:txbx>
                      <w:txbxContent>
                        <w:p w14:paraId="16685D34">
                          <w:pPr>
                            <w:snapToGrid w:val="0"/>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sz w:val="24"/>
                              <w:szCs w:val="24"/>
                            </w:rPr>
                            <w:t>1</w:t>
                          </w:r>
                          <w:r>
                            <w:rPr>
                              <w:rFonts w:hint="eastAsia"/>
                              <w:sz w:val="24"/>
                              <w:szCs w:val="24"/>
                              <w:lang w:eastAsia="zh-CN"/>
                            </w:rPr>
                            <w:fldChar w:fldCharType="end"/>
                          </w:r>
                        </w:p>
                      </w:txbxContent>
                    </wps:txbx>
                    <wps:bodyPr lIns="0" tIns="0" rIns="0" bIns="0" upright="0"/>
                  </wps:wsp>
                </a:graphicData>
              </a:graphic>
            </wp:anchor>
          </w:drawing>
        </mc:Choice>
        <mc:Fallback>
          <w:pict>
            <v:shape id="文本框 1025" o:spid="_x0000_s1026" o:spt="202" type="#_x0000_t202" style="position:absolute;left:0pt;margin-top:-2.5pt;height:12.85pt;width:30.5pt;mso-position-horizontal:outside;mso-position-horizontal-relative:margin;z-index:251659264;mso-width-relative:page;mso-height-relative:page;" filled="f" stroked="f" coordsize="21600,21600" o:gfxdata="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NKdwv/UAAAABQEAAA8AAAAAAAAAAQAgAAAAIgAAAGRycy9kb3ducmV2Lnht&#10;bFBLAQIUABQAAAAIAIdO4kDQaIJuxAEAAH0DAAAOAAAAAAAAAAEAIAAAACMBAABkcnMvZTJvRG9j&#10;LnhtbFBLBQYAAAAABgAGAFkBAABZBQAAAAA=&#10;">
              <v:fill on="f" focussize="0,0"/>
              <v:stroke on="f"/>
              <v:imagedata o:title=""/>
              <o:lock v:ext="edit" aspectratio="f"/>
              <v:textbox inset="0mm,0mm,0mm,0mm">
                <w:txbxContent>
                  <w:p w14:paraId="16685D34">
                    <w:pPr>
                      <w:snapToGrid w:val="0"/>
                      <w:rPr>
                        <w:rFonts w:hint="eastAsia" w:eastAsia="宋体"/>
                        <w:sz w:val="24"/>
                        <w:szCs w:val="24"/>
                        <w:lang w:eastAsia="zh-CN"/>
                      </w:rPr>
                    </w:pPr>
                    <w:r>
                      <w:rPr>
                        <w:rFonts w:hint="eastAsia"/>
                        <w:sz w:val="24"/>
                        <w:szCs w:val="24"/>
                        <w:lang w:eastAsia="zh-CN"/>
                      </w:rPr>
                      <w:fldChar w:fldCharType="begin"/>
                    </w:r>
                    <w:r>
                      <w:rPr>
                        <w:rFonts w:hint="eastAsia"/>
                        <w:sz w:val="24"/>
                        <w:szCs w:val="24"/>
                        <w:lang w:eastAsia="zh-CN"/>
                      </w:rPr>
                      <w:instrText xml:space="preserve"> PAGE  \* MERGEFORMAT </w:instrText>
                    </w:r>
                    <w:r>
                      <w:rPr>
                        <w:rFonts w:hint="eastAsia"/>
                        <w:sz w:val="24"/>
                        <w:szCs w:val="24"/>
                        <w:lang w:eastAsia="zh-CN"/>
                      </w:rPr>
                      <w:fldChar w:fldCharType="separate"/>
                    </w:r>
                    <w:r>
                      <w:rPr>
                        <w:sz w:val="24"/>
                        <w:szCs w:val="24"/>
                      </w:rPr>
                      <w:t>1</w:t>
                    </w:r>
                    <w:r>
                      <w:rPr>
                        <w:rFonts w:hint="eastAsia"/>
                        <w:sz w:val="24"/>
                        <w:szCs w:val="24"/>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0YjA1NjA3NWI2ZWU4M2Q5NzllNzY0NzkzNzkyMWYifQ=="/>
  </w:docVars>
  <w:rsids>
    <w:rsidRoot w:val="00172A27"/>
    <w:rsid w:val="00311607"/>
    <w:rsid w:val="00B47033"/>
    <w:rsid w:val="019A1C7C"/>
    <w:rsid w:val="027A5940"/>
    <w:rsid w:val="028163D7"/>
    <w:rsid w:val="02CB48E4"/>
    <w:rsid w:val="02DC18D3"/>
    <w:rsid w:val="030353B0"/>
    <w:rsid w:val="033012DF"/>
    <w:rsid w:val="035F4A5A"/>
    <w:rsid w:val="036F35F5"/>
    <w:rsid w:val="03F7698E"/>
    <w:rsid w:val="040F6F6A"/>
    <w:rsid w:val="05602E17"/>
    <w:rsid w:val="0568000D"/>
    <w:rsid w:val="05A62CEE"/>
    <w:rsid w:val="06491D0A"/>
    <w:rsid w:val="06AE5BB8"/>
    <w:rsid w:val="06B251B8"/>
    <w:rsid w:val="06B45E33"/>
    <w:rsid w:val="06C673EB"/>
    <w:rsid w:val="07257C57"/>
    <w:rsid w:val="076F67EB"/>
    <w:rsid w:val="077003D3"/>
    <w:rsid w:val="07EF4F94"/>
    <w:rsid w:val="07F9556A"/>
    <w:rsid w:val="08F0070A"/>
    <w:rsid w:val="094B5940"/>
    <w:rsid w:val="0A7E4364"/>
    <w:rsid w:val="0A973366"/>
    <w:rsid w:val="0AEC4F01"/>
    <w:rsid w:val="0B837613"/>
    <w:rsid w:val="0C113E43"/>
    <w:rsid w:val="0C6E2742"/>
    <w:rsid w:val="0CB67574"/>
    <w:rsid w:val="0D9210D8"/>
    <w:rsid w:val="0DCA2B2C"/>
    <w:rsid w:val="0E303D01"/>
    <w:rsid w:val="0EC00178"/>
    <w:rsid w:val="0ECD6DF7"/>
    <w:rsid w:val="0FF30FC5"/>
    <w:rsid w:val="10B7447C"/>
    <w:rsid w:val="11093284"/>
    <w:rsid w:val="110C1E59"/>
    <w:rsid w:val="11203B56"/>
    <w:rsid w:val="11733167"/>
    <w:rsid w:val="11FE0B81"/>
    <w:rsid w:val="1280263B"/>
    <w:rsid w:val="13200D0E"/>
    <w:rsid w:val="13912B40"/>
    <w:rsid w:val="14302B15"/>
    <w:rsid w:val="147435BF"/>
    <w:rsid w:val="14786E95"/>
    <w:rsid w:val="14AD5701"/>
    <w:rsid w:val="14BC1FE6"/>
    <w:rsid w:val="14C8788B"/>
    <w:rsid w:val="154D5664"/>
    <w:rsid w:val="15774AC5"/>
    <w:rsid w:val="15806822"/>
    <w:rsid w:val="16184DFC"/>
    <w:rsid w:val="167E696E"/>
    <w:rsid w:val="167F1A41"/>
    <w:rsid w:val="17E43935"/>
    <w:rsid w:val="17F51899"/>
    <w:rsid w:val="188A632C"/>
    <w:rsid w:val="196A01F9"/>
    <w:rsid w:val="1B7C5E2D"/>
    <w:rsid w:val="1BD36285"/>
    <w:rsid w:val="1BF06EF3"/>
    <w:rsid w:val="1CED6FE2"/>
    <w:rsid w:val="1D085B3B"/>
    <w:rsid w:val="1F3543FA"/>
    <w:rsid w:val="2029604E"/>
    <w:rsid w:val="20CD65DE"/>
    <w:rsid w:val="20F546B7"/>
    <w:rsid w:val="211B637E"/>
    <w:rsid w:val="217B70B5"/>
    <w:rsid w:val="21DB3169"/>
    <w:rsid w:val="225B49EE"/>
    <w:rsid w:val="23B1689B"/>
    <w:rsid w:val="23F20CD1"/>
    <w:rsid w:val="24061DDF"/>
    <w:rsid w:val="242F4323"/>
    <w:rsid w:val="25021151"/>
    <w:rsid w:val="255049DB"/>
    <w:rsid w:val="25C6607F"/>
    <w:rsid w:val="26203DBD"/>
    <w:rsid w:val="276E0D20"/>
    <w:rsid w:val="277170CE"/>
    <w:rsid w:val="27A51DF7"/>
    <w:rsid w:val="27BE02C6"/>
    <w:rsid w:val="289C1E2A"/>
    <w:rsid w:val="2A64640A"/>
    <w:rsid w:val="2A8E73B6"/>
    <w:rsid w:val="2A9036A3"/>
    <w:rsid w:val="2B676771"/>
    <w:rsid w:val="2BF86A23"/>
    <w:rsid w:val="2C7F577D"/>
    <w:rsid w:val="2CAA5739"/>
    <w:rsid w:val="2CE221BD"/>
    <w:rsid w:val="2D9346AD"/>
    <w:rsid w:val="2DF3441E"/>
    <w:rsid w:val="2DF63859"/>
    <w:rsid w:val="2E980D78"/>
    <w:rsid w:val="2F206398"/>
    <w:rsid w:val="2F42296D"/>
    <w:rsid w:val="2F723377"/>
    <w:rsid w:val="2F7A4EED"/>
    <w:rsid w:val="2F964758"/>
    <w:rsid w:val="305E1047"/>
    <w:rsid w:val="308732C6"/>
    <w:rsid w:val="30E25CA0"/>
    <w:rsid w:val="31DD4A2E"/>
    <w:rsid w:val="323E5792"/>
    <w:rsid w:val="32BF0141"/>
    <w:rsid w:val="3300213D"/>
    <w:rsid w:val="335C18C1"/>
    <w:rsid w:val="341C76FE"/>
    <w:rsid w:val="344D26BC"/>
    <w:rsid w:val="347E4000"/>
    <w:rsid w:val="34C31031"/>
    <w:rsid w:val="34CF5084"/>
    <w:rsid w:val="350049C8"/>
    <w:rsid w:val="355F1449"/>
    <w:rsid w:val="361707D4"/>
    <w:rsid w:val="36BC1FE1"/>
    <w:rsid w:val="376B735D"/>
    <w:rsid w:val="378D7A42"/>
    <w:rsid w:val="38A6681E"/>
    <w:rsid w:val="38BD2C4C"/>
    <w:rsid w:val="38C71650"/>
    <w:rsid w:val="39280F61"/>
    <w:rsid w:val="39372743"/>
    <w:rsid w:val="3949339B"/>
    <w:rsid w:val="399070B5"/>
    <w:rsid w:val="39974106"/>
    <w:rsid w:val="39E65816"/>
    <w:rsid w:val="39F81B43"/>
    <w:rsid w:val="3ACFEF91"/>
    <w:rsid w:val="3B037B94"/>
    <w:rsid w:val="3C180863"/>
    <w:rsid w:val="3D414AE3"/>
    <w:rsid w:val="3D46136E"/>
    <w:rsid w:val="3E1D7518"/>
    <w:rsid w:val="3EAE1EA8"/>
    <w:rsid w:val="3F17CB34"/>
    <w:rsid w:val="403867B9"/>
    <w:rsid w:val="40A616BD"/>
    <w:rsid w:val="40CD2B03"/>
    <w:rsid w:val="41AA524C"/>
    <w:rsid w:val="41B63597"/>
    <w:rsid w:val="41C41A38"/>
    <w:rsid w:val="424619DB"/>
    <w:rsid w:val="424A1C48"/>
    <w:rsid w:val="42755885"/>
    <w:rsid w:val="42B00F84"/>
    <w:rsid w:val="444C0EC0"/>
    <w:rsid w:val="44693D91"/>
    <w:rsid w:val="448044FA"/>
    <w:rsid w:val="44A53DE1"/>
    <w:rsid w:val="44D639F9"/>
    <w:rsid w:val="456C5248"/>
    <w:rsid w:val="456D19DC"/>
    <w:rsid w:val="45771A26"/>
    <w:rsid w:val="4600426D"/>
    <w:rsid w:val="462553FE"/>
    <w:rsid w:val="464253F9"/>
    <w:rsid w:val="468E2DF7"/>
    <w:rsid w:val="47181709"/>
    <w:rsid w:val="47714DC6"/>
    <w:rsid w:val="47CE3A5C"/>
    <w:rsid w:val="47D74267"/>
    <w:rsid w:val="47DD49C4"/>
    <w:rsid w:val="47E726FC"/>
    <w:rsid w:val="49147146"/>
    <w:rsid w:val="492545DF"/>
    <w:rsid w:val="49DC2820"/>
    <w:rsid w:val="49FB251E"/>
    <w:rsid w:val="4B3B3D5F"/>
    <w:rsid w:val="4C9B238A"/>
    <w:rsid w:val="4CEC2E74"/>
    <w:rsid w:val="4D502AF2"/>
    <w:rsid w:val="4DA01634"/>
    <w:rsid w:val="4EDE6A4B"/>
    <w:rsid w:val="4F043B94"/>
    <w:rsid w:val="5002085A"/>
    <w:rsid w:val="504C6DF5"/>
    <w:rsid w:val="50812BDB"/>
    <w:rsid w:val="5095721A"/>
    <w:rsid w:val="509B5505"/>
    <w:rsid w:val="51522A84"/>
    <w:rsid w:val="519A74F1"/>
    <w:rsid w:val="51D33CF1"/>
    <w:rsid w:val="52572403"/>
    <w:rsid w:val="533D26BF"/>
    <w:rsid w:val="53C86EC8"/>
    <w:rsid w:val="54CD78D3"/>
    <w:rsid w:val="555667CB"/>
    <w:rsid w:val="556A1721"/>
    <w:rsid w:val="55CE6C68"/>
    <w:rsid w:val="56002B67"/>
    <w:rsid w:val="567A07EF"/>
    <w:rsid w:val="56962A84"/>
    <w:rsid w:val="569932FA"/>
    <w:rsid w:val="56D93B58"/>
    <w:rsid w:val="5757473C"/>
    <w:rsid w:val="57A27397"/>
    <w:rsid w:val="5807754B"/>
    <w:rsid w:val="58590BEC"/>
    <w:rsid w:val="58707688"/>
    <w:rsid w:val="58C31B0A"/>
    <w:rsid w:val="590222B7"/>
    <w:rsid w:val="59DD74BB"/>
    <w:rsid w:val="59E52D95"/>
    <w:rsid w:val="5A245729"/>
    <w:rsid w:val="5A47776A"/>
    <w:rsid w:val="5AC16E9E"/>
    <w:rsid w:val="5AC74AD4"/>
    <w:rsid w:val="5CC70D81"/>
    <w:rsid w:val="5D3C6BEF"/>
    <w:rsid w:val="5D9D6E8A"/>
    <w:rsid w:val="5DE21DCE"/>
    <w:rsid w:val="5E143A8A"/>
    <w:rsid w:val="5E1979F3"/>
    <w:rsid w:val="5E4302F2"/>
    <w:rsid w:val="5E95004F"/>
    <w:rsid w:val="5F0A2C39"/>
    <w:rsid w:val="5F5C31EB"/>
    <w:rsid w:val="5FA76454"/>
    <w:rsid w:val="5FC06910"/>
    <w:rsid w:val="5FC418AD"/>
    <w:rsid w:val="602B431E"/>
    <w:rsid w:val="602B6327"/>
    <w:rsid w:val="637E06AE"/>
    <w:rsid w:val="639C1124"/>
    <w:rsid w:val="63F4502F"/>
    <w:rsid w:val="64196804"/>
    <w:rsid w:val="642C4E20"/>
    <w:rsid w:val="64CB1764"/>
    <w:rsid w:val="64DE6CE6"/>
    <w:rsid w:val="668E5F2F"/>
    <w:rsid w:val="674563AE"/>
    <w:rsid w:val="67713939"/>
    <w:rsid w:val="677E0D17"/>
    <w:rsid w:val="677F64CA"/>
    <w:rsid w:val="692A762E"/>
    <w:rsid w:val="69B215E2"/>
    <w:rsid w:val="6A4036B8"/>
    <w:rsid w:val="6BD36970"/>
    <w:rsid w:val="6C4B6506"/>
    <w:rsid w:val="6C8F1042"/>
    <w:rsid w:val="6CA51A71"/>
    <w:rsid w:val="6CE404A0"/>
    <w:rsid w:val="6D1D1985"/>
    <w:rsid w:val="6D231231"/>
    <w:rsid w:val="6D456E9A"/>
    <w:rsid w:val="6DA03647"/>
    <w:rsid w:val="6DBE71AC"/>
    <w:rsid w:val="6DFE2D0E"/>
    <w:rsid w:val="6EA2695A"/>
    <w:rsid w:val="6ED93296"/>
    <w:rsid w:val="6F2122B1"/>
    <w:rsid w:val="6F467459"/>
    <w:rsid w:val="6F700A2A"/>
    <w:rsid w:val="70136EED"/>
    <w:rsid w:val="70DA47AE"/>
    <w:rsid w:val="7111412C"/>
    <w:rsid w:val="7190641B"/>
    <w:rsid w:val="721C555A"/>
    <w:rsid w:val="7285473C"/>
    <w:rsid w:val="72C2773E"/>
    <w:rsid w:val="73AE362A"/>
    <w:rsid w:val="73D31650"/>
    <w:rsid w:val="74EC52E3"/>
    <w:rsid w:val="76C41037"/>
    <w:rsid w:val="76C560A2"/>
    <w:rsid w:val="773F310C"/>
    <w:rsid w:val="7744774B"/>
    <w:rsid w:val="775213CF"/>
    <w:rsid w:val="77C3635A"/>
    <w:rsid w:val="78227864"/>
    <w:rsid w:val="78657251"/>
    <w:rsid w:val="78A930F3"/>
    <w:rsid w:val="78DE0016"/>
    <w:rsid w:val="78E73A5B"/>
    <w:rsid w:val="78EB4EF5"/>
    <w:rsid w:val="79EE2419"/>
    <w:rsid w:val="7A005A61"/>
    <w:rsid w:val="7B013D1D"/>
    <w:rsid w:val="7BF07903"/>
    <w:rsid w:val="7BFFB028"/>
    <w:rsid w:val="7C9B6E16"/>
    <w:rsid w:val="7C9C47BA"/>
    <w:rsid w:val="7CF72D67"/>
    <w:rsid w:val="7D440F80"/>
    <w:rsid w:val="7DB4349A"/>
    <w:rsid w:val="7E8527FD"/>
    <w:rsid w:val="7EA91BB5"/>
    <w:rsid w:val="7EC7449D"/>
    <w:rsid w:val="7EF8435D"/>
    <w:rsid w:val="7F306D24"/>
    <w:rsid w:val="7F4F61A4"/>
    <w:rsid w:val="7FFFF7BB"/>
    <w:rsid w:val="89AE03C5"/>
    <w:rsid w:val="BDDF93D8"/>
    <w:rsid w:val="CF6EDFB1"/>
    <w:rsid w:val="CF9B95AB"/>
    <w:rsid w:val="DBFD1FDF"/>
    <w:rsid w:val="DFBBA4CA"/>
    <w:rsid w:val="FB5EE85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Indent 2"/>
    <w:basedOn w:val="1"/>
    <w:unhideWhenUsed/>
    <w:qFormat/>
    <w:uiPriority w:val="99"/>
    <w:pPr>
      <w:spacing w:line="560" w:lineRule="exact"/>
      <w:ind w:firstLine="632" w:firstLineChars="200"/>
    </w:pPr>
    <w:rPr>
      <w:rFonts w:eastAsia="仿宋_GB2312"/>
      <w:spacing w:val="-2"/>
      <w:sz w:val="32"/>
    </w:r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itle"/>
    <w:basedOn w:val="1"/>
    <w:next w:val="1"/>
    <w:qFormat/>
    <w:uiPriority w:val="10"/>
    <w:pPr>
      <w:spacing w:before="240" w:after="60"/>
      <w:jc w:val="center"/>
      <w:outlineLvl w:val="0"/>
    </w:pPr>
    <w:rPr>
      <w:rFonts w:ascii="Cambria" w:hAnsi="Cambria" w:cs="Times New Roman"/>
      <w:b/>
      <w:bCs/>
      <w:sz w:val="32"/>
      <w:szCs w:val="32"/>
    </w:rPr>
  </w:style>
  <w:style w:type="paragraph" w:customStyle="1" w:styleId="8">
    <w:name w:val="D正文"/>
    <w:basedOn w:val="1"/>
    <w:qFormat/>
    <w:uiPriority w:val="0"/>
    <w:pPr>
      <w:spacing w:line="360" w:lineRule="auto"/>
      <w:ind w:firstLine="480" w:firstLineChars="200"/>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2645</Words>
  <Characters>2837</Characters>
  <Lines>13</Lines>
  <Paragraphs>3</Paragraphs>
  <TotalTime>8</TotalTime>
  <ScaleCrop>false</ScaleCrop>
  <LinksUpToDate>false</LinksUpToDate>
  <CharactersWithSpaces>2904</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2016-03-09T09:04:00Z</dcterms:created>
  <dc:creator>Administrator</dc:creator>
  <cp:lastModifiedBy>小愤青菜</cp:lastModifiedBy>
  <cp:lastPrinted>2023-08-17T14:53:00Z</cp:lastPrinted>
  <dcterms:modified xsi:type="dcterms:W3CDTF">2026-04-10T11:59:33Z</dcterms:modified>
  <dc:title>高环评字﹝2017﹞31号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3FD62BB5683C48D6A3098140435E4E14_13</vt:lpwstr>
  </property>
  <property fmtid="{D5CDD505-2E9C-101B-9397-08002B2CF9AE}" pid="4" name="KSOTemplateDocerSaveRecord">
    <vt:lpwstr>eyJoZGlkIjoiMjk0YjA1NjA3NWI2ZWU4M2Q5NzllNzY0NzkzNzkyMWYiLCJ1c2VySWQiOiIyMzcwNzYyNTUifQ==</vt:lpwstr>
  </property>
</Properties>
</file>