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53D2ACB0">
      <w:pPr>
        <w:pStyle w:val="148"/>
        <w:ind w:firstLine="480"/>
        <w:rPr>
          <w:color w:val="000000" w:themeColor="text1"/>
          <w14:textFill>
            <w14:solidFill>
              <w14:schemeClr w14:val="tx1"/>
            </w14:solidFill>
          </w14:textFill>
        </w:rPr>
      </w:pPr>
      <w:bookmarkStart w:id="0" w:name="_Toc30999"/>
    </w:p>
    <w:p w14:paraId="5437ACB6">
      <w:pPr>
        <w:spacing w:line="240" w:lineRule="auto"/>
        <w:ind w:firstLine="0" w:firstLineChars="0"/>
        <w:jc w:val="center"/>
        <w:outlineLvl w:val="0"/>
        <w:rPr>
          <w:rFonts w:ascii="方正小标宋_GBK" w:eastAsia="方正小标宋_GBK"/>
          <w:bCs/>
          <w:color w:val="000000" w:themeColor="text1"/>
          <w:sz w:val="28"/>
          <w:szCs w:val="28"/>
          <w14:textFill>
            <w14:solidFill>
              <w14:schemeClr w14:val="tx1"/>
            </w14:solidFill>
          </w14:textFill>
        </w:rPr>
      </w:pPr>
    </w:p>
    <w:p w14:paraId="76E9949C">
      <w:pPr>
        <w:pStyle w:val="7"/>
        <w:ind w:firstLine="560"/>
        <w:rPr>
          <w:rFonts w:ascii="方正小标宋_GBK" w:eastAsia="方正小标宋_GBK"/>
          <w:bCs/>
          <w:color w:val="000000" w:themeColor="text1"/>
          <w:sz w:val="28"/>
          <w:szCs w:val="28"/>
          <w14:textFill>
            <w14:solidFill>
              <w14:schemeClr w14:val="tx1"/>
            </w14:solidFill>
          </w14:textFill>
        </w:rPr>
      </w:pPr>
    </w:p>
    <w:p w14:paraId="79F72459">
      <w:pPr>
        <w:adjustRightInd/>
        <w:snapToGrid/>
        <w:ind w:firstLine="0" w:firstLineChars="0"/>
        <w:jc w:val="center"/>
        <w:rPr>
          <w:rFonts w:ascii="方正小标宋_GBK" w:eastAsia="方正小标宋_GBK"/>
          <w:bCs/>
          <w:color w:val="000000" w:themeColor="text1"/>
          <w:szCs w:val="72"/>
          <w14:textFill>
            <w14:solidFill>
              <w14:schemeClr w14:val="tx1"/>
            </w14:solidFill>
          </w14:textFill>
        </w:rPr>
      </w:pPr>
      <w:r>
        <w:rPr>
          <w:rFonts w:hint="eastAsia" w:ascii="宋体" w:hAnsi="宋体" w:cs="宋体"/>
          <w:b/>
          <w:bCs/>
          <w:color w:val="000000" w:themeColor="text1"/>
          <w:sz w:val="72"/>
          <w:szCs w:val="72"/>
          <w14:textFill>
            <w14:solidFill>
              <w14:schemeClr w14:val="tx1"/>
            </w14:solidFill>
          </w14:textFill>
        </w:rPr>
        <w:t>建设项目环境影响报告表</w:t>
      </w:r>
      <w:bookmarkEnd w:id="0"/>
    </w:p>
    <w:p w14:paraId="193A57F4">
      <w:pPr>
        <w:ind w:firstLine="0" w:firstLineChars="0"/>
        <w:jc w:val="center"/>
        <w:rPr>
          <w:rFonts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14:paraId="6E4CFB96">
      <w:pPr>
        <w:ind w:firstLine="0" w:firstLineChars="0"/>
        <w:rPr>
          <w:rFonts w:eastAsia="仿宋"/>
          <w:color w:val="000000" w:themeColor="text1"/>
          <w:sz w:val="44"/>
          <w:szCs w:val="44"/>
          <w14:textFill>
            <w14:solidFill>
              <w14:schemeClr w14:val="tx1"/>
            </w14:solidFill>
          </w14:textFill>
        </w:rPr>
      </w:pPr>
    </w:p>
    <w:p w14:paraId="1A5CA26E">
      <w:pPr>
        <w:ind w:firstLine="0" w:firstLineChars="0"/>
        <w:rPr>
          <w:rFonts w:eastAsia="仿宋" w:cs="宋体"/>
          <w:color w:val="000000" w:themeColor="text1"/>
          <w:sz w:val="44"/>
          <w:szCs w:val="44"/>
          <w14:textFill>
            <w14:solidFill>
              <w14:schemeClr w14:val="tx1"/>
            </w14:solidFill>
          </w14:textFill>
        </w:rPr>
      </w:pPr>
    </w:p>
    <w:p w14:paraId="6ED01007">
      <w:pPr>
        <w:ind w:firstLine="0" w:firstLineChars="0"/>
        <w:rPr>
          <w:rFonts w:eastAsia="仿宋" w:cs="宋体"/>
          <w:color w:val="000000" w:themeColor="text1"/>
          <w:sz w:val="44"/>
          <w:szCs w:val="44"/>
          <w14:textFill>
            <w14:solidFill>
              <w14:schemeClr w14:val="tx1"/>
            </w14:solidFill>
          </w14:textFill>
        </w:rPr>
      </w:pPr>
    </w:p>
    <w:p w14:paraId="3F03D3FB">
      <w:pPr>
        <w:ind w:firstLine="1040" w:firstLineChars="0"/>
        <w:rPr>
          <w:rFonts w:eastAsia="仿宋"/>
          <w:color w:val="000000" w:themeColor="text1"/>
          <w:sz w:val="44"/>
          <w:szCs w:val="44"/>
          <w14:textFill>
            <w14:solidFill>
              <w14:schemeClr w14:val="tx1"/>
            </w14:solidFill>
          </w14:textFill>
        </w:rPr>
      </w:pPr>
    </w:p>
    <w:p w14:paraId="10E80C58">
      <w:pPr>
        <w:spacing w:line="288" w:lineRule="auto"/>
        <w:ind w:left="2080" w:leftChars="200" w:right="480" w:rightChars="200" w:hanging="1600" w:hangingChars="500"/>
        <w:jc w:val="left"/>
        <w:rPr>
          <w:rFonts w:eastAsia="仿宋"/>
          <w:color w:val="000000" w:themeColor="text1"/>
          <w:sz w:val="32"/>
          <w:szCs w:val="32"/>
          <w:u w:val="single"/>
          <w14:textFill>
            <w14:solidFill>
              <w14:schemeClr w14:val="tx1"/>
            </w14:solidFill>
          </w14:textFill>
        </w:rPr>
      </w:pPr>
      <w:r>
        <w:rPr>
          <w:rFonts w:hint="eastAsia" w:eastAsia="仿宋"/>
          <w:color w:val="000000" w:themeColor="text1"/>
          <w:sz w:val="32"/>
          <w:szCs w:val="32"/>
          <w14:textFill>
            <w14:solidFill>
              <w14:schemeClr w14:val="tx1"/>
            </w14:solidFill>
          </w14:textFill>
        </w:rPr>
        <w:t>项目名称：</w:t>
      </w:r>
      <w:bookmarkStart w:id="1" w:name="OLE_LINK23"/>
      <w:r>
        <w:rPr>
          <w:rFonts w:hint="eastAsia" w:eastAsia="仿宋"/>
          <w:color w:val="000000" w:themeColor="text1"/>
          <w:sz w:val="32"/>
          <w:szCs w:val="32"/>
          <w:u w:val="single"/>
          <w14:textFill>
            <w14:solidFill>
              <w14:schemeClr w14:val="tx1"/>
            </w14:solidFill>
          </w14:textFill>
        </w:rPr>
        <w:t>高安福丽臻礼制造有限公司年产300万件文化工艺品项目</w:t>
      </w:r>
      <w:bookmarkEnd w:id="1"/>
      <w:r>
        <w:rPr>
          <w:rFonts w:hint="eastAsia" w:eastAsia="仿宋"/>
          <w:color w:val="000000" w:themeColor="text1"/>
          <w:sz w:val="32"/>
          <w:szCs w:val="32"/>
          <w:u w:val="single"/>
          <w14:textFill>
            <w14:solidFill>
              <w14:schemeClr w14:val="tx1"/>
            </w14:solidFill>
          </w14:textFill>
        </w:rPr>
        <w:t xml:space="preserve">                                 </w:t>
      </w:r>
    </w:p>
    <w:p w14:paraId="312E3C60">
      <w:pPr>
        <w:spacing w:line="288" w:lineRule="auto"/>
        <w:ind w:left="480" w:leftChars="200" w:right="480" w:rightChars="200" w:firstLine="0" w:firstLineChars="0"/>
        <w:rPr>
          <w:rFonts w:eastAsia="仿宋"/>
          <w:color w:val="000000" w:themeColor="text1"/>
          <w:sz w:val="32"/>
          <w:szCs w:val="32"/>
          <w:u w:val="single"/>
          <w14:textFill>
            <w14:solidFill>
              <w14:schemeClr w14:val="tx1"/>
            </w14:solidFill>
          </w14:textFill>
        </w:rPr>
      </w:pPr>
      <w:r>
        <w:rPr>
          <w:rFonts w:hint="eastAsia" w:eastAsia="仿宋"/>
          <w:color w:val="000000" w:themeColor="text1"/>
          <w:sz w:val="32"/>
          <w:szCs w:val="32"/>
          <w14:textFill>
            <w14:solidFill>
              <w14:schemeClr w14:val="tx1"/>
            </w14:solidFill>
          </w14:textFill>
        </w:rPr>
        <w:t>建设单位（盖章）：</w:t>
      </w:r>
      <w:r>
        <w:rPr>
          <w:rFonts w:hint="eastAsia" w:eastAsia="仿宋"/>
          <w:color w:val="000000" w:themeColor="text1"/>
          <w:sz w:val="32"/>
          <w:szCs w:val="32"/>
          <w:u w:val="single"/>
          <w14:textFill>
            <w14:solidFill>
              <w14:schemeClr w14:val="tx1"/>
            </w14:solidFill>
          </w14:textFill>
        </w:rPr>
        <w:t xml:space="preserve">   </w:t>
      </w:r>
      <w:bookmarkStart w:id="2" w:name="_Hlk205211186"/>
      <w:r>
        <w:rPr>
          <w:rFonts w:hint="eastAsia" w:eastAsia="仿宋"/>
          <w:color w:val="000000" w:themeColor="text1"/>
          <w:sz w:val="32"/>
          <w:szCs w:val="32"/>
          <w:u w:val="single"/>
          <w14:textFill>
            <w14:solidFill>
              <w14:schemeClr w14:val="tx1"/>
            </w14:solidFill>
          </w14:textFill>
        </w:rPr>
        <w:t>高安福丽臻礼制造有限公司</w:t>
      </w:r>
      <w:bookmarkEnd w:id="2"/>
      <w:r>
        <w:rPr>
          <w:rFonts w:hint="eastAsia" w:eastAsia="仿宋"/>
          <w:color w:val="000000" w:themeColor="text1"/>
          <w:sz w:val="32"/>
          <w:szCs w:val="32"/>
          <w:u w:val="single"/>
          <w14:textFill>
            <w14:solidFill>
              <w14:schemeClr w14:val="tx1"/>
            </w14:solidFill>
          </w14:textFill>
        </w:rPr>
        <w:t xml:space="preserve">      </w:t>
      </w:r>
    </w:p>
    <w:p w14:paraId="55CEEF63">
      <w:pPr>
        <w:spacing w:line="288" w:lineRule="auto"/>
        <w:ind w:left="480" w:leftChars="200" w:right="480" w:rightChars="200" w:firstLine="0" w:firstLineChars="0"/>
        <w:rPr>
          <w:rFonts w:eastAsia="仿宋_GB2312"/>
          <w:color w:val="000000" w:themeColor="text1"/>
          <w:sz w:val="32"/>
          <w:szCs w:val="32"/>
          <w:u w:val="single"/>
          <w14:textFill>
            <w14:solidFill>
              <w14:schemeClr w14:val="tx1"/>
            </w14:solidFill>
          </w14:textFill>
        </w:rPr>
      </w:pPr>
      <w:r>
        <w:rPr>
          <w:rFonts w:hint="eastAsia" w:eastAsia="仿宋"/>
          <w:color w:val="000000" w:themeColor="text1"/>
          <w:sz w:val="32"/>
          <w:szCs w:val="32"/>
          <w14:textFill>
            <w14:solidFill>
              <w14:schemeClr w14:val="tx1"/>
            </w14:solidFill>
          </w14:textFill>
        </w:rPr>
        <w:t>编制日期：</w:t>
      </w:r>
      <w:r>
        <w:rPr>
          <w:rFonts w:hint="eastAsia" w:eastAsia="仿宋"/>
          <w:color w:val="000000" w:themeColor="text1"/>
          <w:sz w:val="32"/>
          <w:szCs w:val="32"/>
          <w:u w:val="single"/>
          <w14:textFill>
            <w14:solidFill>
              <w14:schemeClr w14:val="tx1"/>
            </w14:solidFill>
          </w14:textFill>
        </w:rPr>
        <w:t xml:space="preserve">                202</w:t>
      </w:r>
      <w:r>
        <w:rPr>
          <w:rFonts w:hint="eastAsia" w:eastAsia="仿宋"/>
          <w:color w:val="000000" w:themeColor="text1"/>
          <w:sz w:val="32"/>
          <w:szCs w:val="32"/>
          <w:u w:val="single"/>
          <w:lang w:val="en-US" w:eastAsia="zh-CN"/>
          <w14:textFill>
            <w14:solidFill>
              <w14:schemeClr w14:val="tx1"/>
            </w14:solidFill>
          </w14:textFill>
        </w:rPr>
        <w:t>6</w:t>
      </w:r>
      <w:r>
        <w:rPr>
          <w:rFonts w:hint="eastAsia" w:eastAsia="仿宋"/>
          <w:color w:val="000000" w:themeColor="text1"/>
          <w:sz w:val="32"/>
          <w:szCs w:val="32"/>
          <w:u w:val="single"/>
          <w14:textFill>
            <w14:solidFill>
              <w14:schemeClr w14:val="tx1"/>
            </w14:solidFill>
          </w14:textFill>
        </w:rPr>
        <w:t>年</w:t>
      </w:r>
      <w:r>
        <w:rPr>
          <w:rFonts w:hint="eastAsia" w:eastAsia="仿宋"/>
          <w:color w:val="000000" w:themeColor="text1"/>
          <w:sz w:val="32"/>
          <w:szCs w:val="32"/>
          <w:u w:val="single" w:color="000000"/>
          <w:lang w:val="en-US" w:eastAsia="zh-CN"/>
          <w14:textFill>
            <w14:solidFill>
              <w14:schemeClr w14:val="tx1"/>
            </w14:solidFill>
          </w14:textFill>
        </w:rPr>
        <w:t>2</w:t>
      </w:r>
      <w:r>
        <w:rPr>
          <w:rFonts w:hint="eastAsia" w:eastAsia="仿宋"/>
          <w:color w:val="000000" w:themeColor="text1"/>
          <w:sz w:val="32"/>
          <w:szCs w:val="32"/>
          <w:u w:val="single"/>
          <w14:textFill>
            <w14:solidFill>
              <w14:schemeClr w14:val="tx1"/>
            </w14:solidFill>
          </w14:textFill>
        </w:rPr>
        <w:t xml:space="preserve">月                </w:t>
      </w:r>
    </w:p>
    <w:p w14:paraId="7EC291DC">
      <w:pPr>
        <w:spacing w:line="288" w:lineRule="auto"/>
        <w:ind w:firstLine="1040" w:firstLineChars="0"/>
        <w:rPr>
          <w:rFonts w:ascii="仿宋_GB2312" w:eastAsia="仿宋_GB2312"/>
          <w:color w:val="000000" w:themeColor="text1"/>
          <w:sz w:val="36"/>
          <w:szCs w:val="36"/>
          <w:u w:val="single"/>
          <w14:textFill>
            <w14:solidFill>
              <w14:schemeClr w14:val="tx1"/>
            </w14:solidFill>
          </w14:textFill>
        </w:rPr>
      </w:pPr>
      <w:bookmarkStart w:id="3" w:name="_Hlk57884087"/>
    </w:p>
    <w:p w14:paraId="0962B084">
      <w:pPr>
        <w:spacing w:line="288" w:lineRule="auto"/>
        <w:ind w:firstLine="1040" w:firstLineChars="0"/>
        <w:rPr>
          <w:rFonts w:ascii="仿宋_GB2312" w:eastAsia="仿宋_GB2312"/>
          <w:color w:val="000000" w:themeColor="text1"/>
          <w:sz w:val="36"/>
          <w:szCs w:val="36"/>
          <w14:textFill>
            <w14:solidFill>
              <w14:schemeClr w14:val="tx1"/>
            </w14:solidFill>
          </w14:textFill>
        </w:rPr>
      </w:pPr>
    </w:p>
    <w:bookmarkEnd w:id="3"/>
    <w:p w14:paraId="2A1A7AB7">
      <w:pPr>
        <w:spacing w:line="288" w:lineRule="auto"/>
        <w:ind w:firstLine="0" w:firstLineChars="0"/>
        <w:jc w:val="center"/>
        <w:rPr>
          <w:rFonts w:ascii="楷体_GB2312" w:eastAsia="楷体_GB2312"/>
          <w:color w:val="000000" w:themeColor="text1"/>
          <w:sz w:val="36"/>
          <w:szCs w:val="36"/>
          <w14:textFill>
            <w14:solidFill>
              <w14:schemeClr w14:val="tx1"/>
            </w14:solidFill>
          </w14:textFill>
        </w:rPr>
      </w:pPr>
    </w:p>
    <w:p w14:paraId="54E29240">
      <w:pPr>
        <w:spacing w:line="288" w:lineRule="auto"/>
        <w:ind w:firstLine="0" w:firstLineChars="0"/>
        <w:jc w:val="center"/>
        <w:rPr>
          <w:rFonts w:ascii="楷体_GB2312" w:eastAsia="楷体_GB2312"/>
          <w:color w:val="000000" w:themeColor="text1"/>
          <w:sz w:val="36"/>
          <w:szCs w:val="36"/>
          <w14:textFill>
            <w14:solidFill>
              <w14:schemeClr w14:val="tx1"/>
            </w14:solidFill>
          </w14:textFill>
        </w:rPr>
      </w:pPr>
    </w:p>
    <w:p w14:paraId="13117DF0">
      <w:pPr>
        <w:spacing w:line="288" w:lineRule="auto"/>
        <w:ind w:firstLine="0" w:firstLineChars="0"/>
        <w:jc w:val="center"/>
        <w:rPr>
          <w:rFonts w:ascii="楷体_GB2312" w:eastAsia="楷体_GB2312"/>
          <w:color w:val="000000" w:themeColor="text1"/>
          <w:sz w:val="36"/>
          <w:szCs w:val="36"/>
          <w14:textFill>
            <w14:solidFill>
              <w14:schemeClr w14:val="tx1"/>
            </w14:solidFill>
          </w14:textFill>
        </w:rPr>
      </w:pPr>
    </w:p>
    <w:p w14:paraId="21192E1D">
      <w:pPr>
        <w:pStyle w:val="7"/>
        <w:ind w:firstLine="480"/>
        <w:rPr>
          <w:color w:val="000000" w:themeColor="text1"/>
          <w14:textFill>
            <w14:solidFill>
              <w14:schemeClr w14:val="tx1"/>
            </w14:solidFill>
          </w14:textFill>
        </w:rPr>
      </w:pPr>
    </w:p>
    <w:p w14:paraId="5E0AE4C7">
      <w:pPr>
        <w:spacing w:line="240" w:lineRule="auto"/>
        <w:ind w:firstLine="0" w:firstLineChars="0"/>
        <w:jc w:val="center"/>
        <w:rPr>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5" w:h="16838"/>
          <w:pgMar w:top="1797" w:right="1440" w:bottom="1797" w:left="1440" w:header="851" w:footer="992" w:gutter="0"/>
          <w:pgBorders>
            <w:top w:val="none" w:sz="0" w:space="0"/>
            <w:left w:val="none" w:sz="0" w:space="0"/>
            <w:bottom w:val="none" w:sz="0" w:space="0"/>
            <w:right w:val="none" w:sz="0" w:space="0"/>
          </w:pgBorders>
          <w:pgNumType w:start="1"/>
          <w:cols w:space="720" w:num="1"/>
          <w:docGrid w:linePitch="312" w:charSpace="0"/>
        </w:sectPr>
      </w:pPr>
      <w:r>
        <w:rPr>
          <w:rFonts w:hint="eastAsia" w:ascii="楷体_GB2312" w:eastAsia="楷体_GB2312"/>
          <w:color w:val="000000" w:themeColor="text1"/>
          <w:sz w:val="36"/>
          <w:szCs w:val="36"/>
          <w14:textFill>
            <w14:solidFill>
              <w14:schemeClr w14:val="tx1"/>
            </w14:solidFill>
          </w14:textFill>
        </w:rPr>
        <w:t>中华人民共和国生态环境部制</w:t>
      </w:r>
    </w:p>
    <w:p w14:paraId="6B9A70F8">
      <w:pPr>
        <w:spacing w:line="240" w:lineRule="auto"/>
        <w:ind w:firstLine="0" w:firstLineChars="0"/>
        <w:jc w:val="center"/>
        <w:rPr>
          <w:b/>
          <w:bCs/>
          <w:color w:val="000000" w:themeColor="text1"/>
          <w:sz w:val="36"/>
          <w:szCs w:val="36"/>
          <w14:textFill>
            <w14:solidFill>
              <w14:schemeClr w14:val="tx1"/>
            </w14:solidFill>
          </w14:textFill>
        </w:rPr>
      </w:pPr>
      <w:r>
        <w:rPr>
          <w:b/>
          <w:bCs/>
          <w:color w:val="000000" w:themeColor="text1"/>
          <w:sz w:val="36"/>
          <w:szCs w:val="36"/>
          <w14:textFill>
            <w14:solidFill>
              <w14:schemeClr w14:val="tx1"/>
            </w14:solidFill>
          </w14:textFill>
        </w:rPr>
        <w:t>目</w:t>
      </w:r>
      <w:r>
        <w:rPr>
          <w:rFonts w:hint="eastAsia"/>
          <w:b/>
          <w:bCs/>
          <w:color w:val="000000" w:themeColor="text1"/>
          <w:sz w:val="36"/>
          <w:szCs w:val="36"/>
          <w14:textFill>
            <w14:solidFill>
              <w14:schemeClr w14:val="tx1"/>
            </w14:solidFill>
          </w14:textFill>
        </w:rPr>
        <w:t xml:space="preserve"> </w:t>
      </w:r>
      <w:r>
        <w:rPr>
          <w:b/>
          <w:bCs/>
          <w:color w:val="000000" w:themeColor="text1"/>
          <w:sz w:val="36"/>
          <w:szCs w:val="36"/>
          <w14:textFill>
            <w14:solidFill>
              <w14:schemeClr w14:val="tx1"/>
            </w14:solidFill>
          </w14:textFill>
        </w:rPr>
        <w:t>录</w:t>
      </w:r>
    </w:p>
    <w:p w14:paraId="1EECD282">
      <w:pPr>
        <w:pStyle w:val="24"/>
        <w:tabs>
          <w:tab w:val="right" w:leader="dot" w:pos="8844"/>
        </w:tabs>
        <w:ind w:firstLine="0" w:firstLineChars="0"/>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TOC \o "1-1" \h \u </w:instrText>
      </w:r>
      <w:r>
        <w:rPr>
          <w:b/>
          <w:bCs/>
          <w:color w:val="000000" w:themeColor="text1"/>
          <w:sz w:val="28"/>
          <w:szCs w:val="28"/>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"_Toc25329" </w:instrText>
      </w:r>
      <w:r>
        <w:rPr>
          <w:color w:val="000000" w:themeColor="text1"/>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一、建设项目基本情况</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_Toc25329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1</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7E5474CD">
      <w:pPr>
        <w:pStyle w:val="24"/>
        <w:tabs>
          <w:tab w:val="right" w:leader="dot" w:pos="8844"/>
        </w:tabs>
        <w:ind w:firstLine="0" w:firstLineChars="0"/>
        <w:rPr>
          <w:b/>
          <w:bCs/>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"_Toc20225" </w:instrText>
      </w:r>
      <w:r>
        <w:rPr>
          <w:color w:val="000000" w:themeColor="text1"/>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二、建设项目工程分析</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_Toc20225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22</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0911E9CB">
      <w:pPr>
        <w:pStyle w:val="24"/>
        <w:tabs>
          <w:tab w:val="right" w:leader="dot" w:pos="8844"/>
        </w:tabs>
        <w:ind w:firstLine="0" w:firstLineChars="0"/>
        <w:rPr>
          <w:b/>
          <w:bCs/>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"_Toc10725" </w:instrText>
      </w:r>
      <w:r>
        <w:rPr>
          <w:color w:val="000000" w:themeColor="text1"/>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三、区域环境质量现状、环境保护目标及评价标准</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_Toc10725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39</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0F42B40A">
      <w:pPr>
        <w:pStyle w:val="24"/>
        <w:tabs>
          <w:tab w:val="right" w:leader="dot" w:pos="8844"/>
        </w:tabs>
        <w:ind w:firstLine="0" w:firstLineChars="0"/>
        <w:rPr>
          <w:b/>
          <w:bCs/>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"_Toc10416" </w:instrText>
      </w:r>
      <w:r>
        <w:rPr>
          <w:color w:val="000000" w:themeColor="text1"/>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四、主要环境影响和保护措施</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_Toc10416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47</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0D01AC51">
      <w:pPr>
        <w:pStyle w:val="24"/>
        <w:tabs>
          <w:tab w:val="right" w:leader="dot" w:pos="8844"/>
        </w:tabs>
        <w:ind w:firstLine="0" w:firstLineChars="0"/>
        <w:rPr>
          <w:b/>
          <w:bCs/>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"_Toc30685" </w:instrText>
      </w:r>
      <w:r>
        <w:rPr>
          <w:color w:val="000000" w:themeColor="text1"/>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五、环境保护措施监督检查清单</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_Toc30685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84</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143C5A3F">
      <w:pPr>
        <w:pStyle w:val="24"/>
        <w:tabs>
          <w:tab w:val="right" w:leader="dot" w:pos="8844"/>
        </w:tabs>
        <w:ind w:firstLine="0" w:firstLineChars="0"/>
        <w:rPr>
          <w:b/>
          <w:bCs/>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"_Toc31193" </w:instrText>
      </w:r>
      <w:r>
        <w:rPr>
          <w:color w:val="000000" w:themeColor="text1"/>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六、结论</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_Toc31193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86</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6A5EECEA">
      <w:pPr>
        <w:pStyle w:val="24"/>
        <w:tabs>
          <w:tab w:val="right" w:leader="dot" w:pos="8844"/>
        </w:tabs>
        <w:ind w:firstLine="0" w:firstLineChars="0"/>
        <w:rPr>
          <w:b/>
          <w:bCs/>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"_Toc28364" </w:instrText>
      </w:r>
      <w:r>
        <w:rPr>
          <w:color w:val="000000" w:themeColor="text1"/>
          <w14:textFill>
            <w14:solidFill>
              <w14:schemeClr w14:val="tx1"/>
            </w14:solidFill>
          </w14:textFill>
        </w:rPr>
        <w:fldChar w:fldCharType="separate"/>
      </w:r>
      <w:r>
        <w:rPr>
          <w:b/>
          <w:bCs/>
          <w:snapToGrid w:val="0"/>
          <w:color w:val="000000" w:themeColor="text1"/>
          <w:sz w:val="28"/>
          <w:szCs w:val="28"/>
          <w14:textFill>
            <w14:solidFill>
              <w14:schemeClr w14:val="tx1"/>
            </w14:solidFill>
          </w14:textFill>
        </w:rPr>
        <w:t>附表</w:t>
      </w:r>
      <w:r>
        <w:rPr>
          <w:b/>
          <w:bCs/>
          <w:color w:val="000000" w:themeColor="text1"/>
          <w:sz w:val="28"/>
          <w:szCs w:val="28"/>
          <w14:textFill>
            <w14:solidFill>
              <w14:schemeClr w14:val="tx1"/>
            </w14:solidFill>
          </w14:textFill>
        </w:rPr>
        <w:tab/>
      </w:r>
      <w:r>
        <w:rPr>
          <w:b/>
          <w:bCs/>
          <w:color w:val="000000" w:themeColor="text1"/>
          <w:sz w:val="28"/>
          <w:szCs w:val="28"/>
          <w14:textFill>
            <w14:solidFill>
              <w14:schemeClr w14:val="tx1"/>
            </w14:solidFill>
          </w14:textFill>
        </w:rPr>
        <w:fldChar w:fldCharType="begin"/>
      </w:r>
      <w:r>
        <w:rPr>
          <w:b/>
          <w:bCs/>
          <w:color w:val="000000" w:themeColor="text1"/>
          <w:sz w:val="28"/>
          <w:szCs w:val="28"/>
          <w14:textFill>
            <w14:solidFill>
              <w14:schemeClr w14:val="tx1"/>
            </w14:solidFill>
          </w14:textFill>
        </w:rPr>
        <w:instrText xml:space="preserve"> PAGEREF _Toc28364 \h </w:instrText>
      </w:r>
      <w:r>
        <w:rPr>
          <w:b/>
          <w:bCs/>
          <w:color w:val="000000" w:themeColor="text1"/>
          <w:sz w:val="28"/>
          <w:szCs w:val="28"/>
          <w14:textFill>
            <w14:solidFill>
              <w14:schemeClr w14:val="tx1"/>
            </w14:solidFill>
          </w14:textFill>
        </w:rPr>
        <w:fldChar w:fldCharType="separate"/>
      </w:r>
      <w:r>
        <w:rPr>
          <w:b/>
          <w:bCs/>
          <w:color w:val="000000" w:themeColor="text1"/>
          <w:sz w:val="28"/>
          <w:szCs w:val="28"/>
          <w14:textFill>
            <w14:solidFill>
              <w14:schemeClr w14:val="tx1"/>
            </w14:solidFill>
          </w14:textFill>
        </w:rPr>
        <w:t>87</w:t>
      </w:r>
      <w:r>
        <w:rPr>
          <w:b/>
          <w:bCs/>
          <w:color w:val="000000" w:themeColor="text1"/>
          <w:sz w:val="28"/>
          <w:szCs w:val="28"/>
          <w14:textFill>
            <w14:solidFill>
              <w14:schemeClr w14:val="tx1"/>
            </w14:solidFill>
          </w14:textFill>
        </w:rPr>
        <w:fldChar w:fldCharType="end"/>
      </w:r>
      <w:r>
        <w:rPr>
          <w:b/>
          <w:bCs/>
          <w:color w:val="000000" w:themeColor="text1"/>
          <w:sz w:val="28"/>
          <w:szCs w:val="28"/>
          <w14:textFill>
            <w14:solidFill>
              <w14:schemeClr w14:val="tx1"/>
            </w14:solidFill>
          </w14:textFill>
        </w:rPr>
        <w:fldChar w:fldCharType="end"/>
      </w:r>
    </w:p>
    <w:p w14:paraId="56B3B887">
      <w:pPr>
        <w:ind w:firstLine="0" w:firstLineChars="0"/>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fldChar w:fldCharType="end"/>
      </w:r>
    </w:p>
    <w:p w14:paraId="47BB05FC">
      <w:pPr>
        <w:ind w:firstLine="0" w:firstLineChars="0"/>
        <w:rPr>
          <w:b/>
          <w:bCs/>
          <w:color w:val="000000" w:themeColor="text1"/>
          <w14:textFill>
            <w14:solidFill>
              <w14:schemeClr w14:val="tx1"/>
            </w14:solidFill>
          </w14:textFill>
        </w:rPr>
      </w:pPr>
      <w:r>
        <w:rPr>
          <w:b/>
          <w:bCs/>
          <w:color w:val="000000" w:themeColor="text1"/>
          <w14:textFill>
            <w14:solidFill>
              <w14:schemeClr w14:val="tx1"/>
            </w14:solidFill>
          </w14:textFill>
        </w:rPr>
        <w:t>附图：</w:t>
      </w:r>
    </w:p>
    <w:p w14:paraId="07DF0DDF">
      <w:pPr>
        <w:ind w:firstLine="480"/>
        <w:rPr>
          <w:rFonts w:hint="default" w:eastAsia="宋体"/>
          <w:color w:val="000000" w:themeColor="text1"/>
          <w:lang w:val="en-US" w:eastAsia="zh-CN"/>
          <w14:textFill>
            <w14:solidFill>
              <w14:schemeClr w14:val="tx1"/>
            </w14:solidFill>
          </w14:textFill>
        </w:rPr>
      </w:pPr>
      <w:bookmarkStart w:id="4" w:name="_Hlk205210816"/>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一</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建设项目地理位置示意图</w:t>
      </w:r>
    </w:p>
    <w:bookmarkEnd w:id="4"/>
    <w:p w14:paraId="1323EBA5">
      <w:pPr>
        <w:ind w:firstLine="480"/>
        <w:rPr>
          <w:rFonts w:hint="default" w:eastAsia="宋体"/>
          <w:color w:val="000000" w:themeColor="text1"/>
          <w:lang w:val="en-US" w:eastAsia="zh-CN"/>
          <w14:textFill>
            <w14:solidFill>
              <w14:schemeClr w14:val="tx1"/>
            </w14:solidFill>
          </w14:textFill>
        </w:rPr>
      </w:pPr>
      <w:bookmarkStart w:id="5" w:name="_Hlk205211557"/>
      <w:r>
        <w:rPr>
          <w:rFonts w:hint="eastAsia"/>
          <w:color w:val="000000" w:themeColor="text1"/>
          <w14:textFill>
            <w14:solidFill>
              <w14:schemeClr w14:val="tx1"/>
            </w14:solidFill>
          </w14:textFill>
        </w:rPr>
        <w:t>附</w:t>
      </w:r>
      <w:r>
        <w:rPr>
          <w:color w:val="000000" w:themeColor="text1"/>
          <w14:textFill>
            <w14:solidFill>
              <w14:schemeClr w14:val="tx1"/>
            </w14:solidFill>
          </w14:textFill>
        </w:rPr>
        <w:t>图</w:t>
      </w:r>
      <w:r>
        <w:rPr>
          <w:rFonts w:hint="eastAsia"/>
          <w:color w:val="000000" w:themeColor="text1"/>
          <w14:textFill>
            <w14:solidFill>
              <w14:schemeClr w14:val="tx1"/>
            </w14:solidFill>
          </w14:textFill>
        </w:rPr>
        <w:t>二</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建设项目周边企业分布示意图</w:t>
      </w:r>
    </w:p>
    <w:bookmarkEnd w:id="5"/>
    <w:p w14:paraId="6A504B9B">
      <w:pPr>
        <w:ind w:firstLine="480"/>
        <w:rPr>
          <w:rFonts w:hint="default"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三</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建设项目平面布置示意图</w:t>
      </w:r>
    </w:p>
    <w:p w14:paraId="12A1CF21">
      <w:pPr>
        <w:ind w:firstLine="480"/>
        <w:rPr>
          <w:rFonts w:hint="default"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四</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建设项目周边环境保护目标分布图</w:t>
      </w:r>
    </w:p>
    <w:p w14:paraId="3CBBAD9B">
      <w:pPr>
        <w:ind w:firstLine="48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五</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建设项目所在区域水环境功能区划</w:t>
      </w:r>
      <w:r>
        <w:rPr>
          <w:color w:val="000000" w:themeColor="text1"/>
          <w14:textFill>
            <w14:solidFill>
              <w14:schemeClr w14:val="tx1"/>
            </w14:solidFill>
          </w14:textFill>
        </w:rPr>
        <w:t>图</w:t>
      </w:r>
    </w:p>
    <w:p w14:paraId="4F43189F">
      <w:pPr>
        <w:ind w:firstLine="48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六</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江西高安高新技术产业园区新世纪产业园土地利用规划</w:t>
      </w:r>
      <w:r>
        <w:rPr>
          <w:color w:val="000000" w:themeColor="text1"/>
          <w14:textFill>
            <w14:solidFill>
              <w14:schemeClr w14:val="tx1"/>
            </w14:solidFill>
          </w14:textFill>
        </w:rPr>
        <w:t>图</w:t>
      </w:r>
    </w:p>
    <w:p w14:paraId="2F348D90">
      <w:pPr>
        <w:ind w:firstLine="48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七</w:t>
      </w:r>
      <w:r>
        <w:rPr>
          <w:color w:val="000000" w:themeColor="text1"/>
          <w14:textFill>
            <w14:solidFill>
              <w14:schemeClr w14:val="tx1"/>
            </w14:solidFill>
          </w14:textFill>
        </w:rPr>
        <w:t xml:space="preserve"> </w:t>
      </w:r>
      <w:bookmarkStart w:id="6" w:name="OLE_LINK27"/>
      <w:r>
        <w:rPr>
          <w:rFonts w:hint="eastAsia"/>
          <w:color w:val="000000" w:themeColor="text1"/>
          <w:lang w:val="en-US" w:eastAsia="zh-CN"/>
          <w14:textFill>
            <w14:solidFill>
              <w14:schemeClr w14:val="tx1"/>
            </w14:solidFill>
          </w14:textFill>
        </w:rPr>
        <w:t>江西高安高新技术产业园区新世纪产业园功能分区</w:t>
      </w:r>
      <w:r>
        <w:rPr>
          <w:color w:val="000000" w:themeColor="text1"/>
          <w14:textFill>
            <w14:solidFill>
              <w14:schemeClr w14:val="tx1"/>
            </w14:solidFill>
          </w14:textFill>
        </w:rPr>
        <w:t>图</w:t>
      </w:r>
      <w:bookmarkEnd w:id="6"/>
    </w:p>
    <w:p w14:paraId="1E5921FA">
      <w:pPr>
        <w:ind w:firstLine="48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八</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江西高安高新技术产业园区新世纪产业园结构规划</w:t>
      </w:r>
      <w:r>
        <w:rPr>
          <w:color w:val="000000" w:themeColor="text1"/>
          <w14:textFill>
            <w14:solidFill>
              <w14:schemeClr w14:val="tx1"/>
            </w14:solidFill>
          </w14:textFill>
        </w:rPr>
        <w:t>图</w:t>
      </w:r>
    </w:p>
    <w:p w14:paraId="5C7939A7">
      <w:pPr>
        <w:ind w:firstLine="48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 xml:space="preserve">九 </w:t>
      </w:r>
      <w:r>
        <w:rPr>
          <w:color w:val="000000" w:themeColor="text1"/>
          <w14:textFill>
            <w14:solidFill>
              <w14:schemeClr w14:val="tx1"/>
            </w14:solidFill>
          </w14:textFill>
        </w:rPr>
        <w:t>高安市</w:t>
      </w:r>
      <w:r>
        <w:rPr>
          <w:rFonts w:hint="eastAsia"/>
          <w:color w:val="000000" w:themeColor="text1"/>
          <w:lang w:val="en-US" w:eastAsia="zh-CN"/>
          <w14:textFill>
            <w14:solidFill>
              <w14:schemeClr w14:val="tx1"/>
            </w14:solidFill>
          </w14:textFill>
        </w:rPr>
        <w:t>生态保护红线划定范围</w:t>
      </w:r>
      <w:r>
        <w:rPr>
          <w:color w:val="000000" w:themeColor="text1"/>
          <w14:textFill>
            <w14:solidFill>
              <w14:schemeClr w14:val="tx1"/>
            </w14:solidFill>
          </w14:textFill>
        </w:rPr>
        <w:t>图</w:t>
      </w:r>
    </w:p>
    <w:p w14:paraId="31A5A099">
      <w:pPr>
        <w:ind w:firstLine="48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十</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建设项目卫生防护距离包络线</w:t>
      </w:r>
      <w:r>
        <w:rPr>
          <w:color w:val="000000" w:themeColor="text1"/>
          <w14:textFill>
            <w14:solidFill>
              <w14:schemeClr w14:val="tx1"/>
            </w14:solidFill>
          </w14:textFill>
        </w:rPr>
        <w:t>图</w:t>
      </w:r>
    </w:p>
    <w:p w14:paraId="3A0EDAC2">
      <w:pPr>
        <w:ind w:firstLine="480"/>
        <w:rPr>
          <w:color w:val="000000" w:themeColor="text1"/>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十一</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江西高安高新技术产业园区新世纪产业园污水管网</w:t>
      </w:r>
      <w:r>
        <w:rPr>
          <w:color w:val="000000" w:themeColor="text1"/>
          <w14:textFill>
            <w14:solidFill>
              <w14:schemeClr w14:val="tx1"/>
            </w14:solidFill>
          </w14:textFill>
        </w:rPr>
        <w:t>图</w:t>
      </w:r>
    </w:p>
    <w:p w14:paraId="3CC38A1A">
      <w:pPr>
        <w:ind w:firstLine="480"/>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附图</w:t>
      </w:r>
      <w:r>
        <w:rPr>
          <w:rFonts w:hint="eastAsia"/>
          <w:color w:val="000000" w:themeColor="text1"/>
          <w14:textFill>
            <w14:solidFill>
              <w14:schemeClr w14:val="tx1"/>
            </w14:solidFill>
          </w14:textFill>
        </w:rPr>
        <w:t>十</w:t>
      </w:r>
      <w:r>
        <w:rPr>
          <w:rFonts w:hint="eastAsia"/>
          <w:color w:val="000000" w:themeColor="text1"/>
          <w:lang w:val="en-US" w:eastAsia="zh-CN"/>
          <w14:textFill>
            <w14:solidFill>
              <w14:schemeClr w14:val="tx1"/>
            </w14:solidFill>
          </w14:textFill>
        </w:rPr>
        <w:t>二</w:t>
      </w:r>
      <w:r>
        <w:rPr>
          <w:color w:val="000000" w:themeColor="text1"/>
          <w14:textFill>
            <w14:solidFill>
              <w14:schemeClr w14:val="tx1"/>
            </w14:solidFill>
          </w14:textFill>
        </w:rPr>
        <w:t xml:space="preserve"> </w:t>
      </w:r>
      <w:r>
        <w:rPr>
          <w:rFonts w:hint="eastAsia"/>
          <w:color w:val="000000" w:themeColor="text1"/>
          <w:lang w:val="en-US" w:eastAsia="zh-CN"/>
          <w14:textFill>
            <w14:solidFill>
              <w14:schemeClr w14:val="tx1"/>
            </w14:solidFill>
          </w14:textFill>
        </w:rPr>
        <w:t>环评工程师</w:t>
      </w:r>
      <w:r>
        <w:rPr>
          <w:color w:val="000000" w:themeColor="text1"/>
          <w14:textFill>
            <w14:solidFill>
              <w14:schemeClr w14:val="tx1"/>
            </w14:solidFill>
          </w14:textFill>
        </w:rPr>
        <w:t>现场</w:t>
      </w:r>
      <w:r>
        <w:rPr>
          <w:rFonts w:hint="eastAsia"/>
          <w:color w:val="000000" w:themeColor="text1"/>
          <w:lang w:val="en-US" w:eastAsia="zh-CN"/>
          <w14:textFill>
            <w14:solidFill>
              <w14:schemeClr w14:val="tx1"/>
            </w14:solidFill>
          </w14:textFill>
        </w:rPr>
        <w:t>踏勘照片</w:t>
      </w:r>
    </w:p>
    <w:p w14:paraId="0F46C3AC">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附图十三 建设项目厂区环保设施布置示意图</w:t>
      </w:r>
    </w:p>
    <w:p w14:paraId="001CBC90">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附图十四 园区标准厂房雨污管网布置图</w:t>
      </w:r>
    </w:p>
    <w:p w14:paraId="6AD24743">
      <w:pPr>
        <w:ind w:firstLine="48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附图十五 江西高安高新技术产业园区新世纪产业园雨水管网</w:t>
      </w:r>
      <w:r>
        <w:rPr>
          <w:color w:val="000000" w:themeColor="text1"/>
          <w14:textFill>
            <w14:solidFill>
              <w14:schemeClr w14:val="tx1"/>
            </w14:solidFill>
          </w14:textFill>
        </w:rPr>
        <w:t>图</w:t>
      </w:r>
    </w:p>
    <w:p w14:paraId="5EAA2017">
      <w:pPr>
        <w:ind w:firstLine="0" w:firstLineChars="0"/>
        <w:rPr>
          <w:b/>
          <w:bCs/>
          <w:color w:val="000000" w:themeColor="text1"/>
          <w14:textFill>
            <w14:solidFill>
              <w14:schemeClr w14:val="tx1"/>
            </w14:solidFill>
          </w14:textFill>
        </w:rPr>
      </w:pPr>
    </w:p>
    <w:p w14:paraId="3495CD6E">
      <w:pPr>
        <w:ind w:firstLine="0" w:firstLineChars="0"/>
        <w:rPr>
          <w:b/>
          <w:bCs/>
          <w:color w:val="000000" w:themeColor="text1"/>
          <w14:textFill>
            <w14:solidFill>
              <w14:schemeClr w14:val="tx1"/>
            </w14:solidFill>
          </w14:textFill>
        </w:rPr>
      </w:pPr>
      <w:r>
        <w:rPr>
          <w:b/>
          <w:bCs/>
          <w:color w:val="000000" w:themeColor="text1"/>
          <w14:textFill>
            <w14:solidFill>
              <w14:schemeClr w14:val="tx1"/>
            </w14:solidFill>
          </w14:textFill>
        </w:rPr>
        <w:t>附件：</w:t>
      </w:r>
    </w:p>
    <w:p w14:paraId="22A8276C">
      <w:pPr>
        <w:ind w:firstLine="480"/>
        <w:rPr>
          <w:color w:val="000000" w:themeColor="text1"/>
          <w14:textFill>
            <w14:solidFill>
              <w14:schemeClr w14:val="tx1"/>
            </w14:solidFill>
          </w14:textFill>
        </w:rPr>
      </w:pPr>
      <w:r>
        <w:rPr>
          <w:color w:val="000000" w:themeColor="text1"/>
          <w14:textFill>
            <w14:solidFill>
              <w14:schemeClr w14:val="tx1"/>
            </w14:solidFill>
          </w14:textFill>
        </w:rPr>
        <w:t>附件1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委托书</w:t>
      </w:r>
    </w:p>
    <w:p w14:paraId="27FD27A3">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附件2 备案文件</w:t>
      </w:r>
    </w:p>
    <w:p w14:paraId="35E6640B">
      <w:pPr>
        <w:ind w:firstLine="480"/>
        <w:rPr>
          <w:color w:val="000000" w:themeColor="text1"/>
          <w14:textFill>
            <w14:solidFill>
              <w14:schemeClr w14:val="tx1"/>
            </w14:solidFill>
          </w14:textFill>
        </w:rPr>
      </w:pPr>
      <w:r>
        <w:rPr>
          <w:color w:val="000000" w:themeColor="text1"/>
          <w14:textFill>
            <w14:solidFill>
              <w14:schemeClr w14:val="tx1"/>
            </w14:solidFill>
          </w14:textFill>
        </w:rPr>
        <w:t>附件3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租赁合同</w:t>
      </w:r>
    </w:p>
    <w:p w14:paraId="6298CCF1">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附件4 营业执照</w:t>
      </w:r>
    </w:p>
    <w:p w14:paraId="3046F476">
      <w:pPr>
        <w:ind w:firstLine="480"/>
        <w:rPr>
          <w:color w:val="000000" w:themeColor="text1"/>
          <w14:textFill>
            <w14:solidFill>
              <w14:schemeClr w14:val="tx1"/>
            </w14:solidFill>
          </w14:textFill>
        </w:rPr>
      </w:pPr>
      <w:r>
        <w:rPr>
          <w:color w:val="000000" w:themeColor="text1"/>
          <w14:textFill>
            <w14:solidFill>
              <w14:schemeClr w14:val="tx1"/>
            </w14:solidFill>
          </w14:textFill>
        </w:rPr>
        <w:t>附件</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 xml:space="preserve"> 建设项目初审表</w:t>
      </w:r>
    </w:p>
    <w:p w14:paraId="2D1D2EBB">
      <w:pPr>
        <w:ind w:firstLine="48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附件6 </w:t>
      </w:r>
      <w:bookmarkStart w:id="7" w:name="OLE_LINK8"/>
      <w:r>
        <w:rPr>
          <w:rFonts w:hint="eastAsia"/>
          <w:color w:val="000000" w:themeColor="text1"/>
          <w14:textFill>
            <w14:solidFill>
              <w14:schemeClr w14:val="tx1"/>
            </w14:solidFill>
          </w14:textFill>
        </w:rPr>
        <w:t>油漆MSDS</w:t>
      </w:r>
      <w:bookmarkEnd w:id="7"/>
    </w:p>
    <w:p w14:paraId="4030B69F">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附件7 水性漆MSDS</w:t>
      </w:r>
    </w:p>
    <w:p w14:paraId="717C9818">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附件8 稀释剂MSDS</w:t>
      </w:r>
    </w:p>
    <w:p w14:paraId="36315327">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附件9 固化剂MSDS</w:t>
      </w:r>
    </w:p>
    <w:p w14:paraId="131B18F5">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附件10 促进剂MSDS</w:t>
      </w:r>
    </w:p>
    <w:p w14:paraId="246EDA51">
      <w:pPr>
        <w:ind w:firstLine="48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附件11 江西省生态环境厅关于江西高安高新技术产业园区扩区调区规划环境影响报告书审查意见的函</w:t>
      </w:r>
    </w:p>
    <w:p w14:paraId="0A5ED827">
      <w:pPr>
        <w:ind w:firstLine="480"/>
        <w:rPr>
          <w:color w:val="000000" w:themeColor="text1"/>
          <w14:textFill>
            <w14:solidFill>
              <w14:schemeClr w14:val="tx1"/>
            </w14:solidFill>
          </w14:textFill>
        </w:rPr>
      </w:pPr>
      <w:bookmarkStart w:id="8" w:name="_Hlk205389569"/>
      <w:r>
        <w:rPr>
          <w:rFonts w:hint="eastAsia"/>
          <w:color w:val="000000" w:themeColor="text1"/>
          <w14:textFill>
            <w14:solidFill>
              <w14:schemeClr w14:val="tx1"/>
            </w14:solidFill>
          </w14:textFill>
        </w:rPr>
        <w:t>附件</w:t>
      </w:r>
      <w:bookmarkEnd w:id="8"/>
      <w:r>
        <w:rPr>
          <w:rFonts w:hint="eastAsia"/>
          <w:color w:val="000000" w:themeColor="text1"/>
          <w:lang w:val="en-US" w:eastAsia="zh-CN"/>
          <w14:textFill>
            <w14:solidFill>
              <w14:schemeClr w14:val="tx1"/>
            </w14:solidFill>
          </w14:textFill>
        </w:rPr>
        <w:t xml:space="preserve">12 </w:t>
      </w:r>
      <w:r>
        <w:rPr>
          <w:color w:val="000000" w:themeColor="text1"/>
          <w14:textFill>
            <w14:solidFill>
              <w14:schemeClr w14:val="tx1"/>
            </w14:solidFill>
          </w14:textFill>
        </w:rPr>
        <w:t>引用大气环境质量现状监测报告</w:t>
      </w:r>
      <w:r>
        <w:rPr>
          <w:rFonts w:hint="eastAsia"/>
          <w:color w:val="000000" w:themeColor="text1"/>
          <w14:textFill>
            <w14:solidFill>
              <w14:schemeClr w14:val="tx1"/>
            </w14:solidFill>
          </w14:textFill>
        </w:rPr>
        <w:t xml:space="preserve"> </w:t>
      </w:r>
    </w:p>
    <w:p w14:paraId="430E1382">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附件13 纳管协议</w:t>
      </w:r>
    </w:p>
    <w:p w14:paraId="0C1DBD37">
      <w:pPr>
        <w:ind w:firstLine="48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附件14 总量确认书</w:t>
      </w:r>
    </w:p>
    <w:p w14:paraId="0E0F2896">
      <w:pPr>
        <w:pStyle w:val="45"/>
        <w:rPr>
          <w:color w:val="000000" w:themeColor="text1"/>
          <w14:textFill>
            <w14:solidFill>
              <w14:schemeClr w14:val="tx1"/>
            </w14:solidFill>
          </w14:textFill>
        </w:rPr>
      </w:pPr>
    </w:p>
    <w:p w14:paraId="7694CB78">
      <w:pPr>
        <w:ind w:firstLine="480"/>
        <w:rPr>
          <w:color w:val="000000" w:themeColor="text1"/>
          <w14:textFill>
            <w14:solidFill>
              <w14:schemeClr w14:val="tx1"/>
            </w14:solidFill>
          </w14:textFill>
        </w:rPr>
      </w:pPr>
    </w:p>
    <w:p w14:paraId="454EB7A6">
      <w:pPr>
        <w:ind w:firstLine="480"/>
        <w:rPr>
          <w:color w:val="000000" w:themeColor="text1"/>
          <w14:textFill>
            <w14:solidFill>
              <w14:schemeClr w14:val="tx1"/>
            </w14:solidFill>
          </w14:textFill>
        </w:rPr>
      </w:pPr>
    </w:p>
    <w:p w14:paraId="77E83B49">
      <w:pPr>
        <w:ind w:firstLine="480"/>
        <w:rPr>
          <w:color w:val="000000" w:themeColor="text1"/>
          <w14:textFill>
            <w14:solidFill>
              <w14:schemeClr w14:val="tx1"/>
            </w14:solidFill>
          </w14:textFill>
        </w:rPr>
      </w:pPr>
    </w:p>
    <w:p w14:paraId="23375383">
      <w:pPr>
        <w:ind w:firstLine="480"/>
        <w:rPr>
          <w:color w:val="000000" w:themeColor="text1"/>
          <w14:textFill>
            <w14:solidFill>
              <w14:schemeClr w14:val="tx1"/>
            </w14:solidFill>
          </w14:textFill>
        </w:rPr>
        <w:sectPr>
          <w:footerReference r:id="rId11" w:type="default"/>
          <w:pgSz w:w="11906" w:h="16838"/>
          <w:pgMar w:top="1797" w:right="1440" w:bottom="1797" w:left="1440" w:header="851" w:footer="1191" w:gutter="0"/>
          <w:pgBorders>
            <w:top w:val="none" w:sz="0" w:space="0"/>
            <w:left w:val="none" w:sz="0" w:space="0"/>
            <w:bottom w:val="none" w:sz="0" w:space="0"/>
            <w:right w:val="none" w:sz="0" w:space="0"/>
          </w:pgBorders>
          <w:pgNumType w:fmt="upperRoman" w:start="1"/>
          <w:cols w:space="0" w:num="1"/>
          <w:docGrid w:linePitch="312" w:charSpace="0"/>
        </w:sectPr>
      </w:pPr>
    </w:p>
    <w:p w14:paraId="1C8B82F6">
      <w:pPr>
        <w:pStyle w:val="56"/>
        <w:spacing w:before="120"/>
        <w:rPr>
          <w:color w:val="000000" w:themeColor="text1"/>
          <w14:textFill>
            <w14:solidFill>
              <w14:schemeClr w14:val="tx1"/>
            </w14:solidFill>
          </w14:textFill>
        </w:rPr>
      </w:pPr>
      <w:bookmarkStart w:id="9" w:name="_Toc25329"/>
      <w:r>
        <w:rPr>
          <w:rFonts w:hint="eastAsia"/>
          <w:color w:val="000000" w:themeColor="text1"/>
          <w14:textFill>
            <w14:solidFill>
              <w14:schemeClr w14:val="tx1"/>
            </w14:solidFill>
          </w14:textFill>
        </w:rPr>
        <w:t>建设项目基本情况</w:t>
      </w:r>
      <w:bookmarkEnd w:id="9"/>
    </w:p>
    <w:tbl>
      <w:tblPr>
        <w:tblStyle w:val="36"/>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19"/>
        <w:gridCol w:w="2860"/>
        <w:gridCol w:w="1757"/>
        <w:gridCol w:w="3411"/>
      </w:tblGrid>
      <w:tr w14:paraId="1B43C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12" w:type="dxa"/>
            <w:tcBorders>
              <w:tl2br w:val="nil"/>
              <w:tr2bl w:val="nil"/>
            </w:tcBorders>
            <w:tcMar>
              <w:top w:w="16" w:type="dxa"/>
              <w:left w:w="16" w:type="dxa"/>
              <w:right w:w="16" w:type="dxa"/>
            </w:tcMar>
            <w:vAlign w:val="center"/>
          </w:tcPr>
          <w:p w14:paraId="2F2BDDF3">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建设项目名称</w:t>
            </w:r>
          </w:p>
        </w:tc>
        <w:tc>
          <w:tcPr>
            <w:tcW w:w="7935" w:type="dxa"/>
            <w:gridSpan w:val="3"/>
            <w:tcBorders>
              <w:tl2br w:val="nil"/>
              <w:tr2bl w:val="nil"/>
            </w:tcBorders>
            <w:vAlign w:val="center"/>
          </w:tcPr>
          <w:p w14:paraId="40EE912A">
            <w:pPr>
              <w:spacing w:line="240" w:lineRule="auto"/>
              <w:ind w:firstLine="0" w:firstLineChars="0"/>
              <w:jc w:val="center"/>
              <w:rPr>
                <w:color w:val="000000" w:themeColor="text1"/>
                <w:szCs w:val="21"/>
                <w14:textFill>
                  <w14:solidFill>
                    <w14:schemeClr w14:val="tx1"/>
                  </w14:solidFill>
                </w14:textFill>
              </w:rPr>
            </w:pPr>
            <w:bookmarkStart w:id="10" w:name="OLE_LINK26"/>
            <w:bookmarkStart w:id="11" w:name="OLE_LINK31"/>
            <w:r>
              <w:rPr>
                <w:color w:val="000000" w:themeColor="text1"/>
                <w:szCs w:val="21"/>
                <w14:textFill>
                  <w14:solidFill>
                    <w14:schemeClr w14:val="tx1"/>
                  </w14:solidFill>
                </w14:textFill>
              </w:rPr>
              <w:t>高安福丽臻礼制造有限公司</w:t>
            </w:r>
            <w:bookmarkEnd w:id="10"/>
            <w:r>
              <w:rPr>
                <w:color w:val="000000" w:themeColor="text1"/>
                <w:szCs w:val="21"/>
                <w14:textFill>
                  <w14:solidFill>
                    <w14:schemeClr w14:val="tx1"/>
                  </w14:solidFill>
                </w14:textFill>
              </w:rPr>
              <w:t>年产300万件文化工艺品项目</w:t>
            </w:r>
            <w:bookmarkEnd w:id="11"/>
          </w:p>
        </w:tc>
      </w:tr>
      <w:tr w14:paraId="068A0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12" w:type="dxa"/>
            <w:tcBorders>
              <w:tl2br w:val="nil"/>
              <w:tr2bl w:val="nil"/>
            </w:tcBorders>
            <w:tcMar>
              <w:top w:w="16" w:type="dxa"/>
              <w:left w:w="16" w:type="dxa"/>
              <w:right w:w="16" w:type="dxa"/>
            </w:tcMar>
            <w:vAlign w:val="center"/>
          </w:tcPr>
          <w:p w14:paraId="118CD587">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项目代码</w:t>
            </w:r>
          </w:p>
        </w:tc>
        <w:tc>
          <w:tcPr>
            <w:tcW w:w="7935" w:type="dxa"/>
            <w:gridSpan w:val="3"/>
            <w:tcBorders>
              <w:tl2br w:val="nil"/>
              <w:tr2bl w:val="nil"/>
            </w:tcBorders>
            <w:vAlign w:val="center"/>
          </w:tcPr>
          <w:p w14:paraId="62E85822">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2503-360983-04-05-864561</w:t>
            </w:r>
          </w:p>
        </w:tc>
      </w:tr>
      <w:tr w14:paraId="19D0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12" w:type="dxa"/>
            <w:tcBorders>
              <w:tl2br w:val="nil"/>
              <w:tr2bl w:val="nil"/>
            </w:tcBorders>
            <w:tcMar>
              <w:top w:w="16" w:type="dxa"/>
              <w:left w:w="16" w:type="dxa"/>
              <w:right w:w="16" w:type="dxa"/>
            </w:tcMar>
            <w:vAlign w:val="center"/>
          </w:tcPr>
          <w:p w14:paraId="77CCBEB9">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建设单位联系人</w:t>
            </w:r>
          </w:p>
        </w:tc>
        <w:tc>
          <w:tcPr>
            <w:tcW w:w="2962" w:type="dxa"/>
            <w:tcBorders>
              <w:tl2br w:val="nil"/>
              <w:tr2bl w:val="nil"/>
            </w:tcBorders>
            <w:vAlign w:val="center"/>
          </w:tcPr>
          <w:p w14:paraId="04BDB885">
            <w:pPr>
              <w:spacing w:line="240" w:lineRule="auto"/>
              <w:ind w:firstLine="0" w:firstLineChars="0"/>
              <w:jc w:val="center"/>
              <w:rPr>
                <w:color w:val="000000" w:themeColor="text1"/>
                <w:szCs w:val="21"/>
                <w14:textFill>
                  <w14:solidFill>
                    <w14:schemeClr w14:val="tx1"/>
                  </w14:solidFill>
                </w14:textFill>
              </w:rPr>
            </w:pPr>
          </w:p>
        </w:tc>
        <w:tc>
          <w:tcPr>
            <w:tcW w:w="1829" w:type="dxa"/>
            <w:tcBorders>
              <w:tl2br w:val="nil"/>
              <w:tr2bl w:val="nil"/>
            </w:tcBorders>
            <w:vAlign w:val="center"/>
          </w:tcPr>
          <w:p w14:paraId="7D5C7CC9">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联系方式</w:t>
            </w:r>
          </w:p>
        </w:tc>
        <w:tc>
          <w:tcPr>
            <w:tcW w:w="3144" w:type="dxa"/>
            <w:tcBorders>
              <w:tl2br w:val="nil"/>
              <w:tr2bl w:val="nil"/>
            </w:tcBorders>
            <w:vAlign w:val="center"/>
          </w:tcPr>
          <w:p w14:paraId="602C2D3E">
            <w:pPr>
              <w:spacing w:line="240" w:lineRule="auto"/>
              <w:ind w:firstLine="0" w:firstLineChars="0"/>
              <w:jc w:val="center"/>
              <w:rPr>
                <w:color w:val="000000" w:themeColor="text1"/>
                <w:szCs w:val="21"/>
                <w14:textFill>
                  <w14:solidFill>
                    <w14:schemeClr w14:val="tx1"/>
                  </w14:solidFill>
                </w14:textFill>
              </w:rPr>
            </w:pPr>
            <w:bookmarkStart w:id="36" w:name="_GoBack"/>
            <w:bookmarkEnd w:id="36"/>
          </w:p>
        </w:tc>
      </w:tr>
      <w:tr w14:paraId="7EF6D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12" w:type="dxa"/>
            <w:tcBorders>
              <w:tl2br w:val="nil"/>
              <w:tr2bl w:val="nil"/>
            </w:tcBorders>
            <w:tcMar>
              <w:top w:w="16" w:type="dxa"/>
              <w:left w:w="16" w:type="dxa"/>
              <w:right w:w="16" w:type="dxa"/>
            </w:tcMar>
            <w:vAlign w:val="center"/>
          </w:tcPr>
          <w:p w14:paraId="72657C6A">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建设地点</w:t>
            </w:r>
          </w:p>
        </w:tc>
        <w:tc>
          <w:tcPr>
            <w:tcW w:w="7935" w:type="dxa"/>
            <w:gridSpan w:val="3"/>
            <w:tcBorders>
              <w:tl2br w:val="nil"/>
              <w:tr2bl w:val="nil"/>
            </w:tcBorders>
            <w:vAlign w:val="center"/>
          </w:tcPr>
          <w:p w14:paraId="3A62E4F8">
            <w:pPr>
              <w:spacing w:line="240" w:lineRule="auto"/>
              <w:ind w:firstLine="0" w:firstLineChars="0"/>
              <w:jc w:val="center"/>
              <w:rPr>
                <w:color w:val="000000" w:themeColor="text1"/>
                <w:szCs w:val="21"/>
                <w14:textFill>
                  <w14:solidFill>
                    <w14:schemeClr w14:val="tx1"/>
                  </w14:solidFill>
                </w14:textFill>
              </w:rPr>
            </w:pPr>
            <w:bookmarkStart w:id="12" w:name="OLE_LINK3"/>
            <w:bookmarkStart w:id="13" w:name="OLE_LINK5"/>
            <w:r>
              <w:rPr>
                <w:rFonts w:hint="eastAsia"/>
                <w:color w:val="000000" w:themeColor="text1"/>
                <w:lang w:val="en-US" w:eastAsia="zh-CN"/>
                <w14:textFill>
                  <w14:solidFill>
                    <w14:schemeClr w14:val="tx1"/>
                  </w14:solidFill>
                </w14:textFill>
              </w:rPr>
              <w:t>江西高安高新技术产业园区新世纪产业园</w:t>
            </w:r>
            <w:r>
              <w:rPr>
                <w:rFonts w:hint="eastAsia"/>
                <w:color w:val="000000" w:themeColor="text1"/>
                <w:szCs w:val="21"/>
                <w14:textFill>
                  <w14:solidFill>
                    <w14:schemeClr w14:val="tx1"/>
                  </w14:solidFill>
                </w14:textFill>
              </w:rPr>
              <w:t>祥星大道</w:t>
            </w:r>
            <w:bookmarkEnd w:id="12"/>
            <w:r>
              <w:rPr>
                <w:rFonts w:hint="eastAsia"/>
                <w:color w:val="000000" w:themeColor="text1"/>
                <w:szCs w:val="21"/>
                <w14:textFill>
                  <w14:solidFill>
                    <w14:schemeClr w14:val="tx1"/>
                  </w14:solidFill>
                </w14:textFill>
              </w:rPr>
              <w:t>西侧标准厂房第8栋</w:t>
            </w:r>
            <w:bookmarkEnd w:id="13"/>
          </w:p>
        </w:tc>
      </w:tr>
      <w:tr w14:paraId="00835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12" w:type="dxa"/>
            <w:tcBorders>
              <w:tl2br w:val="nil"/>
              <w:tr2bl w:val="nil"/>
            </w:tcBorders>
            <w:tcMar>
              <w:top w:w="16" w:type="dxa"/>
              <w:left w:w="16" w:type="dxa"/>
              <w:right w:w="16" w:type="dxa"/>
            </w:tcMar>
            <w:vAlign w:val="center"/>
          </w:tcPr>
          <w:p w14:paraId="5FC971DB">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地理坐标</w:t>
            </w:r>
          </w:p>
        </w:tc>
        <w:tc>
          <w:tcPr>
            <w:tcW w:w="7935" w:type="dxa"/>
            <w:gridSpan w:val="3"/>
            <w:tcBorders>
              <w:tl2br w:val="nil"/>
              <w:tr2bl w:val="nil"/>
            </w:tcBorders>
            <w:vAlign w:val="center"/>
          </w:tcPr>
          <w:p w14:paraId="4E21C4AF">
            <w:pPr>
              <w:spacing w:line="240" w:lineRule="auto"/>
              <w:ind w:firstLine="0" w:firstLineChars="0"/>
              <w:jc w:val="center"/>
              <w:rPr>
                <w:color w:val="000000" w:themeColor="text1"/>
                <w:szCs w:val="21"/>
                <w14:textFill>
                  <w14:solidFill>
                    <w14:schemeClr w14:val="tx1"/>
                  </w14:solidFill>
                </w14:textFill>
              </w:rPr>
            </w:pPr>
            <w:r>
              <w:rPr>
                <w:rFonts w:hint="eastAsia"/>
                <w:color w:val="000000" w:themeColor="text1"/>
                <w:lang w:val="en-US" w:eastAsia="zh-CN"/>
                <w14:textFill>
                  <w14:solidFill>
                    <w14:schemeClr w14:val="tx1"/>
                  </w14:solidFill>
                </w14:textFill>
              </w:rPr>
              <w:t>东经</w:t>
            </w:r>
            <w:r>
              <w:rPr>
                <w:color w:val="000000" w:themeColor="text1"/>
                <w14:textFill>
                  <w14:solidFill>
                    <w14:schemeClr w14:val="tx1"/>
                  </w14:solidFill>
                </w14:textFill>
              </w:rPr>
              <w:t>115°27'1</w:t>
            </w:r>
            <w:r>
              <w:rPr>
                <w:rFonts w:hint="eastAsia"/>
                <w:color w:val="000000" w:themeColor="text1"/>
                <w:lang w:val="en-US" w:eastAsia="zh-CN"/>
                <w14:textFill>
                  <w14:solidFill>
                    <w14:schemeClr w14:val="tx1"/>
                  </w14:solidFill>
                </w14:textFill>
              </w:rPr>
              <w:t>7.164</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北纬</w:t>
            </w:r>
            <w:r>
              <w:rPr>
                <w:color w:val="000000" w:themeColor="text1"/>
                <w14:textFill>
                  <w14:solidFill>
                    <w14:schemeClr w14:val="tx1"/>
                  </w14:solidFill>
                </w14:textFill>
              </w:rPr>
              <w:t>28°28'</w:t>
            </w:r>
            <w:r>
              <w:rPr>
                <w:rFonts w:hint="eastAsia"/>
                <w:color w:val="000000" w:themeColor="text1"/>
                <w:lang w:val="en-US" w:eastAsia="zh-CN"/>
                <w14:textFill>
                  <w14:solidFill>
                    <w14:schemeClr w14:val="tx1"/>
                  </w14:solidFill>
                </w14:textFill>
              </w:rPr>
              <w:t>0.290</w:t>
            </w:r>
            <w:r>
              <w:rPr>
                <w:color w:val="000000" w:themeColor="text1"/>
                <w14:textFill>
                  <w14:solidFill>
                    <w14:schemeClr w14:val="tx1"/>
                  </w14:solidFill>
                </w14:textFill>
              </w:rPr>
              <w:t>"</w:t>
            </w:r>
          </w:p>
        </w:tc>
      </w:tr>
      <w:tr w14:paraId="0BEFB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2" w:type="dxa"/>
            <w:tcBorders>
              <w:tl2br w:val="nil"/>
              <w:tr2bl w:val="nil"/>
            </w:tcBorders>
            <w:tcMar>
              <w:top w:w="16" w:type="dxa"/>
              <w:left w:w="16" w:type="dxa"/>
              <w:right w:w="16" w:type="dxa"/>
            </w:tcMar>
            <w:vAlign w:val="center"/>
          </w:tcPr>
          <w:p w14:paraId="15DAE6DA">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国民经济行业类别</w:t>
            </w:r>
          </w:p>
        </w:tc>
        <w:tc>
          <w:tcPr>
            <w:tcW w:w="2962" w:type="dxa"/>
            <w:tcBorders>
              <w:tl2br w:val="nil"/>
              <w:tr2bl w:val="nil"/>
            </w:tcBorders>
            <w:vAlign w:val="center"/>
          </w:tcPr>
          <w:p w14:paraId="09D6E7F4">
            <w:pPr>
              <w:spacing w:line="240" w:lineRule="auto"/>
              <w:ind w:firstLine="0" w:firstLine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C2439其他工艺美术及礼仪用品制造</w:t>
            </w:r>
          </w:p>
        </w:tc>
        <w:tc>
          <w:tcPr>
            <w:tcW w:w="1829" w:type="dxa"/>
            <w:tcBorders>
              <w:tl2br w:val="nil"/>
              <w:tr2bl w:val="nil"/>
            </w:tcBorders>
            <w:vAlign w:val="center"/>
          </w:tcPr>
          <w:p w14:paraId="148D3C4F">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w:t>
            </w:r>
          </w:p>
          <w:p w14:paraId="094F4CD0">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p>
        </w:tc>
        <w:tc>
          <w:tcPr>
            <w:tcW w:w="3144" w:type="dxa"/>
            <w:tcBorders>
              <w:tl2br w:val="nil"/>
              <w:tr2bl w:val="nil"/>
            </w:tcBorders>
            <w:vAlign w:val="center"/>
          </w:tcPr>
          <w:p w14:paraId="42427E2F">
            <w:pPr>
              <w:spacing w:line="240" w:lineRule="auto"/>
              <w:ind w:firstLine="0" w:firstLineChars="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二十一、文教、工美、体育和娱乐用品制造业24—41、工艺美术及礼仪用品制造 243*中“年用溶剂型涂料（含稀释剂）10吨以下的”</w:t>
            </w:r>
          </w:p>
        </w:tc>
      </w:tr>
      <w:tr w14:paraId="7B9DD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2" w:type="dxa"/>
            <w:tcBorders>
              <w:tl2br w:val="nil"/>
              <w:tr2bl w:val="nil"/>
            </w:tcBorders>
            <w:tcMar>
              <w:top w:w="16" w:type="dxa"/>
              <w:left w:w="16" w:type="dxa"/>
              <w:right w:w="16" w:type="dxa"/>
            </w:tcMar>
            <w:vAlign w:val="center"/>
          </w:tcPr>
          <w:p w14:paraId="06E0E923">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建设性质</w:t>
            </w:r>
          </w:p>
        </w:tc>
        <w:tc>
          <w:tcPr>
            <w:tcW w:w="2962" w:type="dxa"/>
            <w:tcBorders>
              <w:tl2br w:val="nil"/>
              <w:tr2bl w:val="nil"/>
            </w:tcBorders>
            <w:vAlign w:val="center"/>
          </w:tcPr>
          <w:p w14:paraId="7D5C9B4F">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新建（迁建）</w:t>
            </w:r>
          </w:p>
          <w:p w14:paraId="64BF1D5C">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改建</w:t>
            </w:r>
          </w:p>
          <w:p w14:paraId="12D62F69">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扩建</w:t>
            </w:r>
          </w:p>
          <w:p w14:paraId="3DE59295">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技术改造</w:t>
            </w:r>
          </w:p>
        </w:tc>
        <w:tc>
          <w:tcPr>
            <w:tcW w:w="1829" w:type="dxa"/>
            <w:tcBorders>
              <w:tl2br w:val="nil"/>
              <w:tr2bl w:val="nil"/>
            </w:tcBorders>
            <w:vAlign w:val="center"/>
          </w:tcPr>
          <w:p w14:paraId="2B3523E4">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w:t>
            </w:r>
          </w:p>
          <w:p w14:paraId="30AE996D">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申报情形</w:t>
            </w:r>
          </w:p>
        </w:tc>
        <w:tc>
          <w:tcPr>
            <w:tcW w:w="3144" w:type="dxa"/>
            <w:tcBorders>
              <w:tl2br w:val="nil"/>
              <w:tr2bl w:val="nil"/>
            </w:tcBorders>
            <w:vAlign w:val="center"/>
          </w:tcPr>
          <w:p w14:paraId="3540BBE5">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首次申报项目</w:t>
            </w:r>
          </w:p>
          <w:p w14:paraId="0F751D1B">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不予批准后再次申报项目</w:t>
            </w:r>
          </w:p>
          <w:p w14:paraId="1AEA5147">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超五年重新审核项目</w:t>
            </w:r>
          </w:p>
          <w:p w14:paraId="2A3CDAAD">
            <w:pPr>
              <w:spacing w:line="240" w:lineRule="auto"/>
              <w:ind w:firstLine="0"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重大变动重新报批项目</w:t>
            </w:r>
          </w:p>
        </w:tc>
      </w:tr>
      <w:tr w14:paraId="478D6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2" w:type="dxa"/>
            <w:tcBorders>
              <w:tl2br w:val="nil"/>
              <w:tr2bl w:val="nil"/>
            </w:tcBorders>
            <w:tcMar>
              <w:top w:w="16" w:type="dxa"/>
              <w:left w:w="16" w:type="dxa"/>
              <w:right w:w="16" w:type="dxa"/>
            </w:tcMar>
            <w:vAlign w:val="center"/>
          </w:tcPr>
          <w:p w14:paraId="7DB3A592">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项目审批（核准/备案）部门（选填）</w:t>
            </w:r>
          </w:p>
        </w:tc>
        <w:tc>
          <w:tcPr>
            <w:tcW w:w="2962" w:type="dxa"/>
            <w:tcBorders>
              <w:tl2br w:val="nil"/>
              <w:tr2bl w:val="nil"/>
            </w:tcBorders>
            <w:vAlign w:val="center"/>
          </w:tcPr>
          <w:p w14:paraId="6FE3D96F">
            <w:pPr>
              <w:spacing w:line="240" w:lineRule="auto"/>
              <w:ind w:firstLine="0" w:firstLine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高安市行政审批局</w:t>
            </w:r>
          </w:p>
        </w:tc>
        <w:tc>
          <w:tcPr>
            <w:tcW w:w="1829" w:type="dxa"/>
            <w:tcBorders>
              <w:tl2br w:val="nil"/>
              <w:tr2bl w:val="nil"/>
            </w:tcBorders>
            <w:vAlign w:val="center"/>
          </w:tcPr>
          <w:p w14:paraId="131959DC">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w:t>
            </w:r>
          </w:p>
          <w:p w14:paraId="4E98FB01">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备案）文号（选填）</w:t>
            </w:r>
          </w:p>
        </w:tc>
        <w:tc>
          <w:tcPr>
            <w:tcW w:w="3144" w:type="dxa"/>
            <w:tcBorders>
              <w:tl2br w:val="nil"/>
              <w:tr2bl w:val="nil"/>
            </w:tcBorders>
            <w:vAlign w:val="center"/>
          </w:tcPr>
          <w:p w14:paraId="5DE22409">
            <w:pPr>
              <w:spacing w:line="240" w:lineRule="auto"/>
              <w:ind w:firstLine="0" w:firstLine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2503-360983-04-05-864561</w:t>
            </w:r>
          </w:p>
        </w:tc>
      </w:tr>
      <w:tr w14:paraId="17EF7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12" w:type="dxa"/>
            <w:tcBorders>
              <w:tl2br w:val="nil"/>
              <w:tr2bl w:val="nil"/>
            </w:tcBorders>
            <w:tcMar>
              <w:top w:w="16" w:type="dxa"/>
              <w:left w:w="16" w:type="dxa"/>
              <w:right w:w="16" w:type="dxa"/>
            </w:tcMar>
            <w:vAlign w:val="center"/>
          </w:tcPr>
          <w:p w14:paraId="16155EFF">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总投资</w:t>
            </w:r>
          </w:p>
          <w:p w14:paraId="4CEA1967">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（万元）</w:t>
            </w:r>
          </w:p>
        </w:tc>
        <w:tc>
          <w:tcPr>
            <w:tcW w:w="2962" w:type="dxa"/>
            <w:tcBorders>
              <w:tl2br w:val="nil"/>
              <w:tr2bl w:val="nil"/>
            </w:tcBorders>
            <w:vAlign w:val="center"/>
          </w:tcPr>
          <w:p w14:paraId="4BDD6A2C">
            <w:pPr>
              <w:spacing w:line="240" w:lineRule="auto"/>
              <w:ind w:firstLine="0" w:firstLine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12000</w:t>
            </w:r>
          </w:p>
        </w:tc>
        <w:tc>
          <w:tcPr>
            <w:tcW w:w="1829" w:type="dxa"/>
            <w:tcBorders>
              <w:tl2br w:val="nil"/>
              <w:tr2bl w:val="nil"/>
            </w:tcBorders>
            <w:tcMar>
              <w:top w:w="16" w:type="dxa"/>
              <w:left w:w="16" w:type="dxa"/>
              <w:right w:w="16" w:type="dxa"/>
            </w:tcMar>
            <w:vAlign w:val="center"/>
          </w:tcPr>
          <w:p w14:paraId="083EE717">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环保投资（万元）</w:t>
            </w:r>
          </w:p>
        </w:tc>
        <w:tc>
          <w:tcPr>
            <w:tcW w:w="3144" w:type="dxa"/>
            <w:tcBorders>
              <w:tl2br w:val="nil"/>
              <w:tr2bl w:val="nil"/>
            </w:tcBorders>
            <w:vAlign w:val="center"/>
          </w:tcPr>
          <w:p w14:paraId="70340D4F">
            <w:pPr>
              <w:spacing w:line="240" w:lineRule="auto"/>
              <w:ind w:firstLine="0" w:firstLine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190</w:t>
            </w:r>
          </w:p>
        </w:tc>
      </w:tr>
      <w:tr w14:paraId="57132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2" w:type="dxa"/>
            <w:tcBorders>
              <w:tl2br w:val="nil"/>
              <w:tr2bl w:val="nil"/>
            </w:tcBorders>
            <w:tcMar>
              <w:top w:w="16" w:type="dxa"/>
              <w:left w:w="16" w:type="dxa"/>
              <w:right w:w="16" w:type="dxa"/>
            </w:tcMar>
            <w:vAlign w:val="center"/>
          </w:tcPr>
          <w:p w14:paraId="58209453">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环保投资占比（%）</w:t>
            </w:r>
          </w:p>
        </w:tc>
        <w:tc>
          <w:tcPr>
            <w:tcW w:w="2962" w:type="dxa"/>
            <w:tcBorders>
              <w:tl2br w:val="nil"/>
              <w:tr2bl w:val="nil"/>
            </w:tcBorders>
            <w:vAlign w:val="center"/>
          </w:tcPr>
          <w:p w14:paraId="74E71E19">
            <w:pPr>
              <w:spacing w:line="240" w:lineRule="auto"/>
              <w:ind w:firstLine="0" w:firstLine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1.58</w:t>
            </w:r>
          </w:p>
        </w:tc>
        <w:tc>
          <w:tcPr>
            <w:tcW w:w="1829" w:type="dxa"/>
            <w:tcBorders>
              <w:tl2br w:val="nil"/>
              <w:tr2bl w:val="nil"/>
            </w:tcBorders>
            <w:tcMar>
              <w:top w:w="16" w:type="dxa"/>
              <w:left w:w="16" w:type="dxa"/>
              <w:right w:w="16" w:type="dxa"/>
            </w:tcMar>
            <w:vAlign w:val="center"/>
          </w:tcPr>
          <w:p w14:paraId="617A9F23">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施工工期</w:t>
            </w:r>
          </w:p>
        </w:tc>
        <w:tc>
          <w:tcPr>
            <w:tcW w:w="3144" w:type="dxa"/>
            <w:tcBorders>
              <w:tl2br w:val="nil"/>
              <w:tr2bl w:val="nil"/>
            </w:tcBorders>
            <w:vAlign w:val="center"/>
          </w:tcPr>
          <w:p w14:paraId="3837FDDF">
            <w:pPr>
              <w:spacing w:line="240" w:lineRule="auto"/>
              <w:ind w:firstLine="0" w:firstLine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3个月</w:t>
            </w:r>
          </w:p>
        </w:tc>
      </w:tr>
      <w:tr w14:paraId="06FC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12" w:type="dxa"/>
            <w:tcBorders>
              <w:tl2br w:val="nil"/>
              <w:tr2bl w:val="nil"/>
            </w:tcBorders>
            <w:tcMar>
              <w:top w:w="16" w:type="dxa"/>
              <w:left w:w="16" w:type="dxa"/>
              <w:right w:w="16" w:type="dxa"/>
            </w:tcMar>
            <w:vAlign w:val="center"/>
          </w:tcPr>
          <w:p w14:paraId="15B3374B">
            <w:pPr>
              <w:spacing w:line="240" w:lineRule="auto"/>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是否开工建设</w:t>
            </w:r>
          </w:p>
        </w:tc>
        <w:tc>
          <w:tcPr>
            <w:tcW w:w="2962" w:type="dxa"/>
            <w:tcBorders>
              <w:tl2br w:val="nil"/>
              <w:tr2bl w:val="nil"/>
            </w:tcBorders>
            <w:vAlign w:val="center"/>
          </w:tcPr>
          <w:p w14:paraId="175CF23E">
            <w:pPr>
              <w:spacing w:line="240" w:lineRule="auto"/>
              <w:ind w:firstLine="0" w:firstLineChars="0"/>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否</w:t>
            </w:r>
          </w:p>
          <w:p w14:paraId="63C5FEA0">
            <w:pPr>
              <w:spacing w:line="240" w:lineRule="auto"/>
              <w:ind w:firstLine="0" w:firstLineChars="0"/>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是：</w:t>
            </w:r>
          </w:p>
        </w:tc>
        <w:tc>
          <w:tcPr>
            <w:tcW w:w="1829" w:type="dxa"/>
            <w:tcBorders>
              <w:tl2br w:val="nil"/>
              <w:tr2bl w:val="nil"/>
            </w:tcBorders>
            <w:tcMar>
              <w:top w:w="16" w:type="dxa"/>
              <w:left w:w="16" w:type="dxa"/>
              <w:right w:w="16" w:type="dxa"/>
            </w:tcMar>
            <w:vAlign w:val="center"/>
          </w:tcPr>
          <w:p w14:paraId="3DC6329E">
            <w:pPr>
              <w:spacing w:line="240" w:lineRule="auto"/>
              <w:ind w:firstLine="0" w:firstLineChars="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用地（用海）</w:t>
            </w:r>
          </w:p>
          <w:p w14:paraId="77909FDA">
            <w:pPr>
              <w:spacing w:line="240" w:lineRule="auto"/>
              <w:ind w:firstLine="0" w:firstLineChars="0"/>
              <w:jc w:val="center"/>
              <w:rPr>
                <w:color w:val="000000" w:themeColor="text1"/>
                <w:szCs w:val="21"/>
                <w14:textFill>
                  <w14:solidFill>
                    <w14:schemeClr w14:val="tx1"/>
                  </w14:solidFill>
                </w14:textFill>
              </w:rPr>
            </w:pPr>
            <w:r>
              <w:rPr>
                <w:color w:val="000000" w:themeColor="text1"/>
                <w:spacing w:val="-6"/>
                <w:szCs w:val="21"/>
                <w14:textFill>
                  <w14:solidFill>
                    <w14:schemeClr w14:val="tx1"/>
                  </w14:solidFill>
                </w14:textFill>
              </w:rPr>
              <w:t>面积（m</w:t>
            </w:r>
            <w:r>
              <w:rPr>
                <w:color w:val="000000" w:themeColor="text1"/>
                <w:spacing w:val="-6"/>
                <w:szCs w:val="21"/>
                <w:vertAlign w:val="superscript"/>
                <w14:textFill>
                  <w14:solidFill>
                    <w14:schemeClr w14:val="tx1"/>
                  </w14:solidFill>
                </w14:textFill>
              </w:rPr>
              <w:t>2</w:t>
            </w:r>
            <w:r>
              <w:rPr>
                <w:color w:val="000000" w:themeColor="text1"/>
                <w:spacing w:val="-6"/>
                <w:szCs w:val="21"/>
                <w14:textFill>
                  <w14:solidFill>
                    <w14:schemeClr w14:val="tx1"/>
                  </w14:solidFill>
                </w14:textFill>
              </w:rPr>
              <w:t>）</w:t>
            </w:r>
          </w:p>
        </w:tc>
        <w:tc>
          <w:tcPr>
            <w:tcW w:w="3144" w:type="dxa"/>
            <w:tcBorders>
              <w:tl2br w:val="nil"/>
              <w:tr2bl w:val="nil"/>
            </w:tcBorders>
            <w:vAlign w:val="center"/>
          </w:tcPr>
          <w:p w14:paraId="025160D7">
            <w:pPr>
              <w:spacing w:line="240" w:lineRule="auto"/>
              <w:ind w:firstLine="0" w:firstLine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4224.5</w:t>
            </w:r>
          </w:p>
        </w:tc>
      </w:tr>
      <w:tr w14:paraId="1E885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12" w:type="dxa"/>
            <w:tcBorders>
              <w:tl2br w:val="nil"/>
              <w:tr2bl w:val="nil"/>
            </w:tcBorders>
            <w:vAlign w:val="center"/>
          </w:tcPr>
          <w:p w14:paraId="2A9C6A7F">
            <w:pPr>
              <w:autoSpaceDE w:val="0"/>
              <w:autoSpaceDN w:val="0"/>
              <w:ind w:firstLine="0" w:firstLine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专项评价设置情况</w:t>
            </w:r>
          </w:p>
        </w:tc>
        <w:tc>
          <w:tcPr>
            <w:tcW w:w="7935" w:type="dxa"/>
            <w:gridSpan w:val="3"/>
            <w:tcBorders>
              <w:tl2br w:val="nil"/>
              <w:tr2bl w:val="nil"/>
            </w:tcBorders>
            <w:vAlign w:val="center"/>
          </w:tcPr>
          <w:p w14:paraId="4DAE49AB">
            <w:pPr>
              <w:autoSpaceDE w:val="0"/>
              <w:autoSpaceDN w:val="0"/>
              <w:spacing w:before="120" w:beforeLines="50"/>
              <w:ind w:firstLine="48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根据《建设项目环境影响报告表编制技术指南（污染影响类）》（试行），本项目专项评价设置情况详见下表：</w:t>
            </w:r>
          </w:p>
          <w:p w14:paraId="324CF0EA">
            <w:pPr>
              <w:pStyle w:val="57"/>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项目专项评价设置依据</w:t>
            </w:r>
          </w:p>
          <w:tbl>
            <w:tblPr>
              <w:tblStyle w:val="3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852"/>
              <w:gridCol w:w="3206"/>
              <w:gridCol w:w="2845"/>
              <w:gridCol w:w="909"/>
            </w:tblGrid>
            <w:tr w14:paraId="30E3F9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5" w:type="pct"/>
                  <w:tcBorders>
                    <w:tl2br w:val="nil"/>
                    <w:tr2bl w:val="nil"/>
                  </w:tcBorders>
                  <w:vAlign w:val="center"/>
                </w:tcPr>
                <w:p w14:paraId="4CC2FD40">
                  <w:pPr>
                    <w:pStyle w:val="83"/>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专项评价的类别</w:t>
                  </w:r>
                </w:p>
              </w:tc>
              <w:tc>
                <w:tcPr>
                  <w:tcW w:w="2052" w:type="pct"/>
                  <w:tcBorders>
                    <w:tl2br w:val="nil"/>
                    <w:tr2bl w:val="nil"/>
                  </w:tcBorders>
                  <w:vAlign w:val="center"/>
                </w:tcPr>
                <w:p w14:paraId="6F7A5B96">
                  <w:pPr>
                    <w:pStyle w:val="83"/>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设置原则</w:t>
                  </w:r>
                </w:p>
              </w:tc>
              <w:tc>
                <w:tcPr>
                  <w:tcW w:w="1821" w:type="pct"/>
                  <w:tcBorders>
                    <w:tl2br w:val="nil"/>
                    <w:tr2bl w:val="nil"/>
                  </w:tcBorders>
                  <w:vAlign w:val="center"/>
                </w:tcPr>
                <w:p w14:paraId="44187371">
                  <w:pPr>
                    <w:pStyle w:val="83"/>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本项目</w:t>
                  </w:r>
                </w:p>
              </w:tc>
              <w:tc>
                <w:tcPr>
                  <w:tcW w:w="583" w:type="pct"/>
                  <w:tcBorders>
                    <w:tl2br w:val="nil"/>
                    <w:tr2bl w:val="nil"/>
                  </w:tcBorders>
                  <w:vAlign w:val="center"/>
                </w:tcPr>
                <w:p w14:paraId="791189E4">
                  <w:pPr>
                    <w:pStyle w:val="83"/>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专项评价设置情况</w:t>
                  </w:r>
                </w:p>
              </w:tc>
            </w:tr>
            <w:tr w14:paraId="4BACF7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5" w:type="pct"/>
                  <w:tcBorders>
                    <w:tl2br w:val="nil"/>
                    <w:tr2bl w:val="nil"/>
                  </w:tcBorders>
                  <w:vAlign w:val="center"/>
                </w:tcPr>
                <w:p w14:paraId="34F4C3CA">
                  <w:pPr>
                    <w:pStyle w:val="83"/>
                    <w:rPr>
                      <w:color w:val="000000" w:themeColor="text1"/>
                      <w14:textFill>
                        <w14:solidFill>
                          <w14:schemeClr w14:val="tx1"/>
                        </w14:solidFill>
                      </w14:textFill>
                    </w:rPr>
                  </w:pPr>
                  <w:r>
                    <w:rPr>
                      <w:color w:val="000000" w:themeColor="text1"/>
                      <w14:textFill>
                        <w14:solidFill>
                          <w14:schemeClr w14:val="tx1"/>
                        </w14:solidFill>
                      </w14:textFill>
                    </w:rPr>
                    <w:t>大气</w:t>
                  </w:r>
                </w:p>
              </w:tc>
              <w:tc>
                <w:tcPr>
                  <w:tcW w:w="2052" w:type="pct"/>
                  <w:tcBorders>
                    <w:tl2br w:val="nil"/>
                    <w:tr2bl w:val="nil"/>
                  </w:tcBorders>
                  <w:vAlign w:val="center"/>
                </w:tcPr>
                <w:p w14:paraId="2D07DA93">
                  <w:pPr>
                    <w:pStyle w:val="83"/>
                    <w:rPr>
                      <w:color w:val="000000" w:themeColor="text1"/>
                      <w14:textFill>
                        <w14:solidFill>
                          <w14:schemeClr w14:val="tx1"/>
                        </w14:solidFill>
                      </w14:textFill>
                    </w:rPr>
                  </w:pPr>
                  <w:r>
                    <w:rPr>
                      <w:color w:val="000000" w:themeColor="text1"/>
                      <w14:textFill>
                        <w14:solidFill>
                          <w14:schemeClr w14:val="tx1"/>
                        </w14:solidFill>
                      </w14:textFill>
                    </w:rPr>
                    <w:t>排放废气含有毒有害污染物、二噁英、苯并[a]芘、氰化物、氯气且厂界外500米范围内有环境空气保护目标的建设项目</w:t>
                  </w:r>
                </w:p>
              </w:tc>
              <w:tc>
                <w:tcPr>
                  <w:tcW w:w="1821" w:type="pct"/>
                  <w:tcBorders>
                    <w:tl2br w:val="nil"/>
                    <w:tr2bl w:val="nil"/>
                  </w:tcBorders>
                  <w:vAlign w:val="center"/>
                </w:tcPr>
                <w:p w14:paraId="21590A1A">
                  <w:pPr>
                    <w:pStyle w:val="83"/>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排放废气</w:t>
                  </w:r>
                  <w:r>
                    <w:rPr>
                      <w:rFonts w:hint="eastAsia"/>
                      <w:color w:val="000000" w:themeColor="text1"/>
                      <w14:textFill>
                        <w14:solidFill>
                          <w14:schemeClr w14:val="tx1"/>
                        </w14:solidFill>
                      </w14:textFill>
                    </w:rPr>
                    <w:t>不</w:t>
                  </w:r>
                  <w:r>
                    <w:rPr>
                      <w:color w:val="000000" w:themeColor="text1"/>
                      <w14:textFill>
                        <w14:solidFill>
                          <w14:schemeClr w14:val="tx1"/>
                        </w14:solidFill>
                      </w14:textFill>
                    </w:rPr>
                    <w:t>含有毒有害污染物、二噁英、苯并[a]芘、氰化物、氯气</w:t>
                  </w:r>
                  <w:r>
                    <w:rPr>
                      <w:rFonts w:hint="eastAsia"/>
                      <w:color w:val="000000" w:themeColor="text1"/>
                      <w:lang w:eastAsia="zh-CN"/>
                      <w14:textFill>
                        <w14:solidFill>
                          <w14:schemeClr w14:val="tx1"/>
                        </w14:solidFill>
                      </w14:textFill>
                    </w:rPr>
                    <w:t>。</w:t>
                  </w:r>
                </w:p>
              </w:tc>
              <w:tc>
                <w:tcPr>
                  <w:tcW w:w="583" w:type="pct"/>
                  <w:tcBorders>
                    <w:tl2br w:val="nil"/>
                    <w:tr2bl w:val="nil"/>
                  </w:tcBorders>
                  <w:vAlign w:val="center"/>
                </w:tcPr>
                <w:p w14:paraId="6FE552F8">
                  <w:pPr>
                    <w:pStyle w:val="83"/>
                    <w:rPr>
                      <w:color w:val="000000" w:themeColor="text1"/>
                      <w14:textFill>
                        <w14:solidFill>
                          <w14:schemeClr w14:val="tx1"/>
                        </w14:solidFill>
                      </w14:textFill>
                    </w:rPr>
                  </w:pPr>
                  <w:r>
                    <w:rPr>
                      <w:rFonts w:hint="eastAsia"/>
                      <w:color w:val="000000" w:themeColor="text1"/>
                      <w14:textFill>
                        <w14:solidFill>
                          <w14:schemeClr w14:val="tx1"/>
                        </w14:solidFill>
                      </w14:textFill>
                    </w:rPr>
                    <w:t>无</w:t>
                  </w:r>
                </w:p>
              </w:tc>
            </w:tr>
            <w:tr w14:paraId="615752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5" w:type="pct"/>
                  <w:tcBorders>
                    <w:tl2br w:val="nil"/>
                    <w:tr2bl w:val="nil"/>
                  </w:tcBorders>
                  <w:vAlign w:val="center"/>
                </w:tcPr>
                <w:p w14:paraId="45AED326">
                  <w:pPr>
                    <w:pStyle w:val="83"/>
                    <w:rPr>
                      <w:color w:val="000000" w:themeColor="text1"/>
                      <w14:textFill>
                        <w14:solidFill>
                          <w14:schemeClr w14:val="tx1"/>
                        </w14:solidFill>
                      </w14:textFill>
                    </w:rPr>
                  </w:pPr>
                  <w:r>
                    <w:rPr>
                      <w:color w:val="000000" w:themeColor="text1"/>
                      <w14:textFill>
                        <w14:solidFill>
                          <w14:schemeClr w14:val="tx1"/>
                        </w14:solidFill>
                      </w14:textFill>
                    </w:rPr>
                    <w:t>地表水</w:t>
                  </w:r>
                </w:p>
              </w:tc>
              <w:tc>
                <w:tcPr>
                  <w:tcW w:w="2052" w:type="pct"/>
                  <w:tcBorders>
                    <w:tl2br w:val="nil"/>
                    <w:tr2bl w:val="nil"/>
                  </w:tcBorders>
                  <w:vAlign w:val="center"/>
                </w:tcPr>
                <w:p w14:paraId="5EE7332B">
                  <w:pPr>
                    <w:pStyle w:val="83"/>
                    <w:rPr>
                      <w:color w:val="000000" w:themeColor="text1"/>
                      <w14:textFill>
                        <w14:solidFill>
                          <w14:schemeClr w14:val="tx1"/>
                        </w14:solidFill>
                      </w14:textFill>
                    </w:rPr>
                  </w:pPr>
                  <w:r>
                    <w:rPr>
                      <w:color w:val="000000" w:themeColor="text1"/>
                      <w14:textFill>
                        <w14:solidFill>
                          <w14:schemeClr w14:val="tx1"/>
                        </w14:solidFill>
                      </w14:textFill>
                    </w:rPr>
                    <w:t>新增工业废水直排建设项目（槽罐车外送污水处理厂的除外）；新增废水直排的污水集中处理厂</w:t>
                  </w:r>
                </w:p>
              </w:tc>
              <w:tc>
                <w:tcPr>
                  <w:tcW w:w="1821" w:type="pct"/>
                  <w:tcBorders>
                    <w:tl2br w:val="nil"/>
                    <w:tr2bl w:val="nil"/>
                  </w:tcBorders>
                  <w:vAlign w:val="center"/>
                </w:tcPr>
                <w:p w14:paraId="66A2D4B5">
                  <w:pPr>
                    <w:pStyle w:val="83"/>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不涉及</w:t>
                  </w:r>
                </w:p>
              </w:tc>
              <w:tc>
                <w:tcPr>
                  <w:tcW w:w="583" w:type="pct"/>
                  <w:tcBorders>
                    <w:tl2br w:val="nil"/>
                    <w:tr2bl w:val="nil"/>
                  </w:tcBorders>
                  <w:vAlign w:val="center"/>
                </w:tcPr>
                <w:p w14:paraId="0FC706AA">
                  <w:pPr>
                    <w:pStyle w:val="83"/>
                    <w:rPr>
                      <w:color w:val="000000" w:themeColor="text1"/>
                      <w14:textFill>
                        <w14:solidFill>
                          <w14:schemeClr w14:val="tx1"/>
                        </w14:solidFill>
                      </w14:textFill>
                    </w:rPr>
                  </w:pPr>
                  <w:r>
                    <w:rPr>
                      <w:rFonts w:hint="eastAsia"/>
                      <w:color w:val="000000" w:themeColor="text1"/>
                      <w14:textFill>
                        <w14:solidFill>
                          <w14:schemeClr w14:val="tx1"/>
                        </w14:solidFill>
                      </w14:textFill>
                    </w:rPr>
                    <w:t>无</w:t>
                  </w:r>
                </w:p>
              </w:tc>
            </w:tr>
            <w:tr w14:paraId="5F5A88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5" w:type="pct"/>
                  <w:tcBorders>
                    <w:tl2br w:val="nil"/>
                    <w:tr2bl w:val="nil"/>
                  </w:tcBorders>
                  <w:vAlign w:val="center"/>
                </w:tcPr>
                <w:p w14:paraId="6DFAEDFC">
                  <w:pPr>
                    <w:pStyle w:val="83"/>
                    <w:rPr>
                      <w:color w:val="000000" w:themeColor="text1"/>
                      <w14:textFill>
                        <w14:solidFill>
                          <w14:schemeClr w14:val="tx1"/>
                        </w14:solidFill>
                      </w14:textFill>
                    </w:rPr>
                  </w:pPr>
                  <w:r>
                    <w:rPr>
                      <w:color w:val="000000" w:themeColor="text1"/>
                      <w14:textFill>
                        <w14:solidFill>
                          <w14:schemeClr w14:val="tx1"/>
                        </w14:solidFill>
                      </w14:textFill>
                    </w:rPr>
                    <w:t>环境风险</w:t>
                  </w:r>
                </w:p>
              </w:tc>
              <w:tc>
                <w:tcPr>
                  <w:tcW w:w="2052" w:type="pct"/>
                  <w:tcBorders>
                    <w:tl2br w:val="nil"/>
                    <w:tr2bl w:val="nil"/>
                  </w:tcBorders>
                  <w:vAlign w:val="center"/>
                </w:tcPr>
                <w:p w14:paraId="4E88D81A">
                  <w:pPr>
                    <w:pStyle w:val="83"/>
                    <w:rPr>
                      <w:color w:val="000000" w:themeColor="text1"/>
                      <w14:textFill>
                        <w14:solidFill>
                          <w14:schemeClr w14:val="tx1"/>
                        </w14:solidFill>
                      </w14:textFill>
                    </w:rPr>
                  </w:pPr>
                  <w:r>
                    <w:rPr>
                      <w:color w:val="000000" w:themeColor="text1"/>
                      <w14:textFill>
                        <w14:solidFill>
                          <w14:schemeClr w14:val="tx1"/>
                        </w14:solidFill>
                      </w14:textFill>
                    </w:rPr>
                    <w:t>有毒有害和易燃易爆危险物质存储量超过临界量的建设项目</w:t>
                  </w:r>
                </w:p>
              </w:tc>
              <w:tc>
                <w:tcPr>
                  <w:tcW w:w="1821" w:type="pct"/>
                  <w:tcBorders>
                    <w:tl2br w:val="nil"/>
                    <w:tr2bl w:val="nil"/>
                  </w:tcBorders>
                  <w:vAlign w:val="center"/>
                </w:tcPr>
                <w:p w14:paraId="72D74B83">
                  <w:pPr>
                    <w:pStyle w:val="83"/>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有毒有害和易燃易爆危险物质存储量</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超过临界量</w:t>
                  </w:r>
                  <w:r>
                    <w:rPr>
                      <w:rFonts w:hint="eastAsia"/>
                      <w:color w:val="000000" w:themeColor="text1"/>
                      <w:lang w:eastAsia="zh-CN"/>
                      <w14:textFill>
                        <w14:solidFill>
                          <w14:schemeClr w14:val="tx1"/>
                        </w14:solidFill>
                      </w14:textFill>
                    </w:rPr>
                    <w:t>。</w:t>
                  </w:r>
                </w:p>
              </w:tc>
              <w:tc>
                <w:tcPr>
                  <w:tcW w:w="583" w:type="pct"/>
                  <w:tcBorders>
                    <w:tl2br w:val="nil"/>
                    <w:tr2bl w:val="nil"/>
                  </w:tcBorders>
                  <w:vAlign w:val="center"/>
                </w:tcPr>
                <w:p w14:paraId="4878DA46">
                  <w:pPr>
                    <w:pStyle w:val="83"/>
                    <w:rPr>
                      <w:color w:val="000000" w:themeColor="text1"/>
                      <w14:textFill>
                        <w14:solidFill>
                          <w14:schemeClr w14:val="tx1"/>
                        </w14:solidFill>
                      </w14:textFill>
                    </w:rPr>
                  </w:pPr>
                  <w:r>
                    <w:rPr>
                      <w:rFonts w:hint="eastAsia"/>
                      <w:color w:val="000000" w:themeColor="text1"/>
                      <w14:textFill>
                        <w14:solidFill>
                          <w14:schemeClr w14:val="tx1"/>
                        </w14:solidFill>
                      </w14:textFill>
                    </w:rPr>
                    <w:t>无</w:t>
                  </w:r>
                </w:p>
              </w:tc>
            </w:tr>
            <w:tr w14:paraId="2FAF9E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5" w:type="pct"/>
                  <w:tcBorders>
                    <w:tl2br w:val="nil"/>
                    <w:tr2bl w:val="nil"/>
                  </w:tcBorders>
                  <w:vAlign w:val="center"/>
                </w:tcPr>
                <w:p w14:paraId="2F39EEC6">
                  <w:pPr>
                    <w:pStyle w:val="83"/>
                    <w:rPr>
                      <w:color w:val="000000" w:themeColor="text1"/>
                      <w14:textFill>
                        <w14:solidFill>
                          <w14:schemeClr w14:val="tx1"/>
                        </w14:solidFill>
                      </w14:textFill>
                    </w:rPr>
                  </w:pPr>
                  <w:r>
                    <w:rPr>
                      <w:color w:val="000000" w:themeColor="text1"/>
                      <w14:textFill>
                        <w14:solidFill>
                          <w14:schemeClr w14:val="tx1"/>
                        </w14:solidFill>
                      </w14:textFill>
                    </w:rPr>
                    <w:t>生态</w:t>
                  </w:r>
                </w:p>
              </w:tc>
              <w:tc>
                <w:tcPr>
                  <w:tcW w:w="2052" w:type="pct"/>
                  <w:tcBorders>
                    <w:tl2br w:val="nil"/>
                    <w:tr2bl w:val="nil"/>
                  </w:tcBorders>
                  <w:vAlign w:val="center"/>
                </w:tcPr>
                <w:p w14:paraId="5C89F5EC">
                  <w:pPr>
                    <w:pStyle w:val="83"/>
                    <w:rPr>
                      <w:color w:val="000000" w:themeColor="text1"/>
                      <w14:textFill>
                        <w14:solidFill>
                          <w14:schemeClr w14:val="tx1"/>
                        </w14:solidFill>
                      </w14:textFill>
                    </w:rPr>
                  </w:pPr>
                  <w:r>
                    <w:rPr>
                      <w:color w:val="000000" w:themeColor="text1"/>
                      <w14:textFill>
                        <w14:solidFill>
                          <w14:schemeClr w14:val="tx1"/>
                        </w14:solidFill>
                      </w14:textFill>
                    </w:rPr>
                    <w:t>取水口下游500米范围内有重要水生生物的自然产卵场、索饵场、越冬场和洄游通道的新增河道取水的污染类建设项目</w:t>
                  </w:r>
                </w:p>
              </w:tc>
              <w:tc>
                <w:tcPr>
                  <w:tcW w:w="1821" w:type="pct"/>
                  <w:tcBorders>
                    <w:tl2br w:val="nil"/>
                    <w:tr2bl w:val="nil"/>
                  </w:tcBorders>
                  <w:vAlign w:val="center"/>
                </w:tcPr>
                <w:p w14:paraId="33AC5054">
                  <w:pPr>
                    <w:pStyle w:val="83"/>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不涉及</w:t>
                  </w:r>
                </w:p>
              </w:tc>
              <w:tc>
                <w:tcPr>
                  <w:tcW w:w="583" w:type="pct"/>
                  <w:tcBorders>
                    <w:tl2br w:val="nil"/>
                    <w:tr2bl w:val="nil"/>
                  </w:tcBorders>
                  <w:vAlign w:val="center"/>
                </w:tcPr>
                <w:p w14:paraId="74926813">
                  <w:pPr>
                    <w:pStyle w:val="83"/>
                    <w:rPr>
                      <w:color w:val="000000" w:themeColor="text1"/>
                      <w14:textFill>
                        <w14:solidFill>
                          <w14:schemeClr w14:val="tx1"/>
                        </w14:solidFill>
                      </w14:textFill>
                    </w:rPr>
                  </w:pPr>
                  <w:r>
                    <w:rPr>
                      <w:rFonts w:hint="eastAsia"/>
                      <w:color w:val="000000" w:themeColor="text1"/>
                      <w14:textFill>
                        <w14:solidFill>
                          <w14:schemeClr w14:val="tx1"/>
                        </w14:solidFill>
                      </w14:textFill>
                    </w:rPr>
                    <w:t>无</w:t>
                  </w:r>
                </w:p>
              </w:tc>
            </w:tr>
            <w:tr w14:paraId="6D40B1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5" w:type="pct"/>
                  <w:tcBorders>
                    <w:tl2br w:val="nil"/>
                    <w:tr2bl w:val="nil"/>
                  </w:tcBorders>
                  <w:vAlign w:val="center"/>
                </w:tcPr>
                <w:p w14:paraId="7F657EE5">
                  <w:pPr>
                    <w:pStyle w:val="83"/>
                    <w:rPr>
                      <w:color w:val="000000" w:themeColor="text1"/>
                      <w14:textFill>
                        <w14:solidFill>
                          <w14:schemeClr w14:val="tx1"/>
                        </w14:solidFill>
                      </w14:textFill>
                    </w:rPr>
                  </w:pPr>
                  <w:r>
                    <w:rPr>
                      <w:color w:val="000000" w:themeColor="text1"/>
                      <w14:textFill>
                        <w14:solidFill>
                          <w14:schemeClr w14:val="tx1"/>
                        </w14:solidFill>
                      </w14:textFill>
                    </w:rPr>
                    <w:t>海洋</w:t>
                  </w:r>
                </w:p>
              </w:tc>
              <w:tc>
                <w:tcPr>
                  <w:tcW w:w="2052" w:type="pct"/>
                  <w:tcBorders>
                    <w:tl2br w:val="nil"/>
                    <w:tr2bl w:val="nil"/>
                  </w:tcBorders>
                  <w:vAlign w:val="center"/>
                </w:tcPr>
                <w:p w14:paraId="73C2136B">
                  <w:pPr>
                    <w:pStyle w:val="83"/>
                    <w:rPr>
                      <w:color w:val="000000" w:themeColor="text1"/>
                      <w14:textFill>
                        <w14:solidFill>
                          <w14:schemeClr w14:val="tx1"/>
                        </w14:solidFill>
                      </w14:textFill>
                    </w:rPr>
                  </w:pPr>
                  <w:r>
                    <w:rPr>
                      <w:color w:val="000000" w:themeColor="text1"/>
                      <w14:textFill>
                        <w14:solidFill>
                          <w14:schemeClr w14:val="tx1"/>
                        </w14:solidFill>
                      </w14:textFill>
                    </w:rPr>
                    <w:t>直接向海排放污染物的海洋工程建设项目</w:t>
                  </w:r>
                </w:p>
              </w:tc>
              <w:tc>
                <w:tcPr>
                  <w:tcW w:w="1821" w:type="pct"/>
                  <w:tcBorders>
                    <w:tl2br w:val="nil"/>
                    <w:tr2bl w:val="nil"/>
                  </w:tcBorders>
                  <w:vAlign w:val="center"/>
                </w:tcPr>
                <w:p w14:paraId="776FF65D">
                  <w:pPr>
                    <w:pStyle w:val="83"/>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不涉及</w:t>
                  </w:r>
                </w:p>
              </w:tc>
              <w:tc>
                <w:tcPr>
                  <w:tcW w:w="583" w:type="pct"/>
                  <w:tcBorders>
                    <w:tl2br w:val="nil"/>
                    <w:tr2bl w:val="nil"/>
                  </w:tcBorders>
                  <w:vAlign w:val="center"/>
                </w:tcPr>
                <w:p w14:paraId="1D4B4FCA">
                  <w:pPr>
                    <w:pStyle w:val="83"/>
                    <w:rPr>
                      <w:color w:val="000000" w:themeColor="text1"/>
                      <w14:textFill>
                        <w14:solidFill>
                          <w14:schemeClr w14:val="tx1"/>
                        </w14:solidFill>
                      </w14:textFill>
                    </w:rPr>
                  </w:pPr>
                  <w:r>
                    <w:rPr>
                      <w:rFonts w:hint="eastAsia"/>
                      <w:color w:val="000000" w:themeColor="text1"/>
                      <w14:textFill>
                        <w14:solidFill>
                          <w14:schemeClr w14:val="tx1"/>
                        </w14:solidFill>
                      </w14:textFill>
                    </w:rPr>
                    <w:t>无</w:t>
                  </w:r>
                </w:p>
              </w:tc>
            </w:tr>
          </w:tbl>
          <w:p w14:paraId="65E85EC3">
            <w:pPr>
              <w:pStyle w:val="59"/>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综上，本项目无需设置专项评价。</w:t>
            </w:r>
          </w:p>
        </w:tc>
      </w:tr>
      <w:tr w14:paraId="37017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12" w:type="dxa"/>
            <w:tcBorders>
              <w:tl2br w:val="nil"/>
              <w:tr2bl w:val="nil"/>
            </w:tcBorders>
            <w:vAlign w:val="center"/>
          </w:tcPr>
          <w:p w14:paraId="6FB6060C">
            <w:pPr>
              <w:autoSpaceDE w:val="0"/>
              <w:autoSpaceDN w:val="0"/>
              <w:spacing w:line="240" w:lineRule="auto"/>
              <w:ind w:firstLine="0" w:firstLineChars="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规划情况</w:t>
            </w:r>
          </w:p>
        </w:tc>
        <w:tc>
          <w:tcPr>
            <w:tcW w:w="7935" w:type="dxa"/>
            <w:gridSpan w:val="3"/>
            <w:tcBorders>
              <w:tl2br w:val="nil"/>
              <w:tr2bl w:val="nil"/>
            </w:tcBorders>
            <w:vAlign w:val="center"/>
          </w:tcPr>
          <w:p w14:paraId="46662E57">
            <w:pPr>
              <w:pStyle w:val="45"/>
              <w:spacing w:line="360" w:lineRule="auto"/>
              <w:rPr>
                <w:rFonts w:hint="eastAsia" w:eastAsia="宋体"/>
                <w:color w:val="000000" w:themeColor="text1"/>
                <w:kern w:val="0"/>
                <w:lang w:eastAsia="zh-CN"/>
                <w14:textFill>
                  <w14:solidFill>
                    <w14:schemeClr w14:val="tx1"/>
                  </w14:solidFill>
                </w14:textFill>
              </w:rPr>
            </w:pPr>
            <w:r>
              <w:rPr>
                <w:rFonts w:hint="eastAsia"/>
                <w:b/>
                <w:bCs/>
                <w:color w:val="000000" w:themeColor="text1"/>
                <w:kern w:val="0"/>
                <w14:textFill>
                  <w14:solidFill>
                    <w14:schemeClr w14:val="tx1"/>
                  </w14:solidFill>
                </w14:textFill>
              </w:rPr>
              <w:t>规划名称：</w:t>
            </w:r>
            <w:r>
              <w:rPr>
                <w:rFonts w:ascii="Times New Roman" w:cs="Times New Roman"/>
                <w:color w:val="000000" w:themeColor="text1"/>
                <w:kern w:val="0"/>
                <w14:textFill>
                  <w14:solidFill>
                    <w14:schemeClr w14:val="tx1"/>
                  </w14:solidFill>
                </w14:textFill>
              </w:rPr>
              <w:t>《</w:t>
            </w:r>
            <w:r>
              <w:rPr>
                <w:rFonts w:hint="eastAsia"/>
                <w:color w:val="000000" w:themeColor="text1"/>
                <w14:textFill>
                  <w14:solidFill>
                    <w14:schemeClr w14:val="tx1"/>
                  </w14:solidFill>
                </w14:textFill>
              </w:rPr>
              <w:t>高安高新技术产业园区开展扩区调区控制性详细规划</w:t>
            </w:r>
            <w:r>
              <w:rPr>
                <w:rFonts w:ascii="Times New Roman" w:cs="Times New Roman"/>
                <w:color w:val="000000" w:themeColor="text1"/>
                <w:kern w:val="0"/>
                <w14:textFill>
                  <w14:solidFill>
                    <w14:schemeClr w14:val="tx1"/>
                  </w14:solidFill>
                </w14:textFill>
              </w:rPr>
              <w:t>》</w:t>
            </w:r>
            <w:r>
              <w:rPr>
                <w:rFonts w:hint="eastAsia" w:ascii="Times New Roman" w:cs="Times New Roman"/>
                <w:color w:val="000000" w:themeColor="text1"/>
                <w:kern w:val="0"/>
                <w:lang w:eastAsia="zh-CN"/>
                <w14:textFill>
                  <w14:solidFill>
                    <w14:schemeClr w14:val="tx1"/>
                  </w14:solidFill>
                </w14:textFill>
              </w:rPr>
              <w:t>；</w:t>
            </w:r>
          </w:p>
          <w:p w14:paraId="590CA223">
            <w:pPr>
              <w:pStyle w:val="45"/>
              <w:spacing w:line="360" w:lineRule="auto"/>
              <w:rPr>
                <w:rFonts w:hint="eastAsia" w:ascii="Times New Roman" w:eastAsia="宋体" w:cs="Times New Roman"/>
                <w:color w:val="000000" w:themeColor="text1"/>
                <w:kern w:val="0"/>
                <w:lang w:eastAsia="zh-CN"/>
                <w14:textFill>
                  <w14:solidFill>
                    <w14:schemeClr w14:val="tx1"/>
                  </w14:solidFill>
                </w14:textFill>
              </w:rPr>
            </w:pPr>
            <w:r>
              <w:rPr>
                <w:rFonts w:hint="eastAsia"/>
                <w:b/>
                <w:bCs/>
                <w:color w:val="000000" w:themeColor="text1"/>
                <w:kern w:val="0"/>
                <w14:textFill>
                  <w14:solidFill>
                    <w14:schemeClr w14:val="tx1"/>
                  </w14:solidFill>
                </w14:textFill>
              </w:rPr>
              <w:t>审批机关：</w:t>
            </w:r>
            <w:r>
              <w:rPr>
                <w:rFonts w:hint="eastAsia"/>
                <w:color w:val="000000" w:themeColor="text1"/>
                <w:kern w:val="0"/>
                <w14:textFill>
                  <w14:solidFill>
                    <w14:schemeClr w14:val="tx1"/>
                  </w14:solidFill>
                </w14:textFill>
              </w:rPr>
              <w:t>江西省</w:t>
            </w:r>
            <w:r>
              <w:rPr>
                <w:rFonts w:hint="eastAsia"/>
                <w:color w:val="000000" w:themeColor="text1"/>
                <w:kern w:val="0"/>
                <w:lang w:val="en-US" w:eastAsia="zh-CN"/>
                <w14:textFill>
                  <w14:solidFill>
                    <w14:schemeClr w14:val="tx1"/>
                  </w14:solidFill>
                </w14:textFill>
              </w:rPr>
              <w:t>发改委</w:t>
            </w:r>
            <w:r>
              <w:rPr>
                <w:rFonts w:hint="eastAsia"/>
                <w:color w:val="000000" w:themeColor="text1"/>
                <w:kern w:val="0"/>
                <w:lang w:eastAsia="zh-CN"/>
                <w14:textFill>
                  <w14:solidFill>
                    <w14:schemeClr w14:val="tx1"/>
                  </w14:solidFill>
                </w14:textFill>
              </w:rPr>
              <w:t>；</w:t>
            </w:r>
          </w:p>
          <w:p w14:paraId="13802B15">
            <w:pPr>
              <w:keepNext w:val="0"/>
              <w:keepLines w:val="0"/>
              <w:widowControl/>
              <w:suppressLineNumbers w:val="0"/>
              <w:ind w:left="0" w:leftChars="0" w:firstLine="0" w:firstLineChars="0"/>
              <w:jc w:val="left"/>
              <w:rPr>
                <w:rFonts w:hint="eastAsia" w:ascii="Times New Roman" w:eastAsia="宋体" w:cs="Times New Roman"/>
                <w:color w:val="000000" w:themeColor="text1"/>
                <w:kern w:val="0"/>
                <w:lang w:eastAsia="zh-CN"/>
                <w14:textFill>
                  <w14:solidFill>
                    <w14:schemeClr w14:val="tx1"/>
                  </w14:solidFill>
                </w14:textFill>
              </w:rPr>
            </w:pPr>
            <w:r>
              <w:rPr>
                <w:rFonts w:hint="eastAsia" w:ascii="Times New Roman" w:cs="Times New Roman"/>
                <w:b/>
                <w:bCs/>
                <w:color w:val="000000" w:themeColor="text1"/>
                <w:kern w:val="0"/>
                <w14:textFill>
                  <w14:solidFill>
                    <w14:schemeClr w14:val="tx1"/>
                  </w14:solidFill>
                </w14:textFill>
              </w:rPr>
              <w:t>审查文件名称</w:t>
            </w:r>
            <w:r>
              <w:rPr>
                <w:rFonts w:hint="eastAsia" w:cs="Times New Roman"/>
                <w:b/>
                <w:bCs/>
                <w:color w:val="000000" w:themeColor="text1"/>
                <w:kern w:val="0"/>
                <w:lang w:val="en-US" w:eastAsia="zh-CN"/>
                <w14:textFill>
                  <w14:solidFill>
                    <w14:schemeClr w14:val="tx1"/>
                  </w14:solidFill>
                </w14:textFill>
              </w:rPr>
              <w:t>及文号</w:t>
            </w:r>
            <w:r>
              <w:rPr>
                <w:rFonts w:hint="eastAsia" w:ascii="Times New Roman" w:cs="Times New Roman"/>
                <w:b/>
                <w:bCs/>
                <w:color w:val="000000" w:themeColor="text1"/>
                <w:kern w:val="0"/>
                <w14:textFill>
                  <w14:solidFill>
                    <w14:schemeClr w14:val="tx1"/>
                  </w14:solidFill>
                </w14:textFill>
              </w:rPr>
              <w:t>：</w:t>
            </w:r>
            <w:r>
              <w:rPr>
                <w:rFonts w:hint="eastAsia"/>
                <w:color w:val="000000" w:themeColor="text1"/>
                <w14:textFill>
                  <w14:solidFill>
                    <w14:schemeClr w14:val="tx1"/>
                  </w14:solidFill>
                </w14:textFill>
              </w:rPr>
              <w:t>2023年4月</w:t>
            </w:r>
            <w:r>
              <w:rPr>
                <w:rFonts w:hint="eastAsia" w:ascii="宋体" w:hAnsi="宋体" w:cs="宋体"/>
                <w:color w:val="000000" w:themeColor="text1"/>
                <w:kern w:val="0"/>
                <w:lang w:bidi="ar"/>
                <w14:textFill>
                  <w14:solidFill>
                    <w14:schemeClr w14:val="tx1"/>
                  </w14:solidFill>
                </w14:textFill>
              </w:rPr>
              <w:t>《</w:t>
            </w:r>
            <w:r>
              <w:rPr>
                <w:rFonts w:hint="eastAsia"/>
                <w:color w:val="000000" w:themeColor="text1"/>
                <w14:textFill>
                  <w14:solidFill>
                    <w14:schemeClr w14:val="tx1"/>
                  </w14:solidFill>
                </w14:textFill>
              </w:rPr>
              <w:t>江西省发展改革委关于同意高安高新技术产业园区开展扩区调区前期工作的复函</w:t>
            </w:r>
            <w:r>
              <w:rPr>
                <w:rFonts w:hint="eastAsia" w:ascii="宋体" w:hAnsi="宋体" w:cs="宋体"/>
                <w:color w:val="000000" w:themeColor="text1"/>
                <w:kern w:val="0"/>
                <w:lang w:bidi="ar"/>
                <w14:textFill>
                  <w14:solidFill>
                    <w14:schemeClr w14:val="tx1"/>
                  </w14:solidFill>
                </w14:textFill>
              </w:rPr>
              <w:t>》</w:t>
            </w:r>
            <w:r>
              <w:rPr>
                <w:rFonts w:hint="eastAsia"/>
                <w:color w:val="000000" w:themeColor="text1"/>
                <w:lang w:eastAsia="zh-CN"/>
                <w14:textFill>
                  <w14:solidFill>
                    <w14:schemeClr w14:val="tx1"/>
                  </w14:solidFill>
                </w14:textFill>
              </w:rPr>
              <w:t>；</w:t>
            </w:r>
          </w:p>
        </w:tc>
      </w:tr>
      <w:tr w14:paraId="71BAC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jc w:val="center"/>
        </w:trPr>
        <w:tc>
          <w:tcPr>
            <w:tcW w:w="1112" w:type="dxa"/>
            <w:tcBorders>
              <w:tl2br w:val="nil"/>
              <w:tr2bl w:val="nil"/>
            </w:tcBorders>
            <w:vAlign w:val="center"/>
          </w:tcPr>
          <w:p w14:paraId="4D3E82EE">
            <w:pPr>
              <w:spacing w:line="240" w:lineRule="auto"/>
              <w:ind w:firstLine="0" w:firstLineChars="0"/>
              <w:jc w:val="center"/>
              <w:rPr>
                <w:color w:val="000000" w:themeColor="text1"/>
                <w:kern w:val="0"/>
                <w:szCs w:val="21"/>
                <w14:textFill>
                  <w14:solidFill>
                    <w14:schemeClr w14:val="tx1"/>
                  </w14:solidFill>
                </w14:textFill>
              </w:rPr>
            </w:pPr>
            <w:bookmarkStart w:id="14" w:name="OLE_LINK4"/>
            <w:r>
              <w:rPr>
                <w:color w:val="000000" w:themeColor="text1"/>
                <w:szCs w:val="21"/>
                <w14:textFill>
                  <w14:solidFill>
                    <w14:schemeClr w14:val="tx1"/>
                  </w14:solidFill>
                </w14:textFill>
              </w:rPr>
              <w:t>规划环境影响评价情况</w:t>
            </w:r>
            <w:bookmarkEnd w:id="14"/>
          </w:p>
        </w:tc>
        <w:tc>
          <w:tcPr>
            <w:tcW w:w="7935" w:type="dxa"/>
            <w:gridSpan w:val="3"/>
            <w:tcBorders>
              <w:tl2br w:val="nil"/>
              <w:tr2bl w:val="nil"/>
            </w:tcBorders>
            <w:vAlign w:val="center"/>
          </w:tcPr>
          <w:p w14:paraId="040FDFE3">
            <w:pPr>
              <w:pStyle w:val="48"/>
              <w:ind w:left="0" w:leftChars="0" w:firstLine="0" w:firstLineChars="0"/>
              <w:rPr>
                <w:rFonts w:hint="eastAsia"/>
                <w:b/>
                <w:bCs/>
                <w:color w:val="000000" w:themeColor="text1"/>
                <w14:textFill>
                  <w14:solidFill>
                    <w14:schemeClr w14:val="tx1"/>
                  </w14:solidFill>
                </w14:textFill>
              </w:rPr>
            </w:pPr>
          </w:p>
          <w:p w14:paraId="2685E0FE">
            <w:pPr>
              <w:pStyle w:val="48"/>
              <w:ind w:left="0" w:leftChars="0" w:firstLine="0" w:firstLineChars="0"/>
              <w:rPr>
                <w:rFonts w:hint="eastAsia" w:eastAsia="宋体"/>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规划环境影响评价文件名称：</w:t>
            </w:r>
            <w:bookmarkStart w:id="15" w:name="OLE_LINK18"/>
            <w:r>
              <w:rPr>
                <w:rFonts w:hint="eastAsia"/>
                <w:color w:val="000000" w:themeColor="text1"/>
                <w14:textFill>
                  <w14:solidFill>
                    <w14:schemeClr w14:val="tx1"/>
                  </w14:solidFill>
                </w14:textFill>
              </w:rPr>
              <w:t>《江西高安高新技术产业园区扩区调区规划环境影响报告书》</w:t>
            </w:r>
            <w:r>
              <w:rPr>
                <w:rFonts w:hint="eastAsia"/>
                <w:color w:val="000000" w:themeColor="text1"/>
                <w:lang w:eastAsia="zh-CN"/>
                <w14:textFill>
                  <w14:solidFill>
                    <w14:schemeClr w14:val="tx1"/>
                  </w14:solidFill>
                </w14:textFill>
              </w:rPr>
              <w:t>；</w:t>
            </w:r>
          </w:p>
          <w:bookmarkEnd w:id="15"/>
          <w:p w14:paraId="7A4A1709">
            <w:pPr>
              <w:pStyle w:val="48"/>
              <w:ind w:left="0" w:leftChars="0" w:firstLine="0" w:firstLineChars="0"/>
              <w:rPr>
                <w:rFonts w:hint="eastAsia" w:eastAsia="宋体"/>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审批机关：</w:t>
            </w:r>
            <w:r>
              <w:rPr>
                <w:rFonts w:hint="eastAsia"/>
                <w:color w:val="000000" w:themeColor="text1"/>
                <w14:textFill>
                  <w14:solidFill>
                    <w14:schemeClr w14:val="tx1"/>
                  </w14:solidFill>
                </w14:textFill>
              </w:rPr>
              <w:t>江西省生态环境厅</w:t>
            </w:r>
            <w:r>
              <w:rPr>
                <w:rFonts w:hint="eastAsia"/>
                <w:color w:val="000000" w:themeColor="text1"/>
                <w:lang w:eastAsia="zh-CN"/>
                <w14:textFill>
                  <w14:solidFill>
                    <w14:schemeClr w14:val="tx1"/>
                  </w14:solidFill>
                </w14:textFill>
              </w:rPr>
              <w:t>；</w:t>
            </w:r>
          </w:p>
          <w:p w14:paraId="0762BB5E">
            <w:pPr>
              <w:pStyle w:val="48"/>
              <w:ind w:left="0" w:leftChars="0" w:firstLine="0" w:firstLineChars="0"/>
              <w:rPr>
                <w:rFonts w:hint="eastAsia"/>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审批文件</w:t>
            </w:r>
            <w:r>
              <w:rPr>
                <w:rFonts w:hint="eastAsia"/>
                <w:b/>
                <w:bCs/>
                <w:color w:val="000000" w:themeColor="text1"/>
                <w:lang w:val="en-US" w:eastAsia="zh-CN"/>
                <w14:textFill>
                  <w14:solidFill>
                    <w14:schemeClr w14:val="tx1"/>
                  </w14:solidFill>
                </w14:textFill>
              </w:rPr>
              <w:t>文号及</w:t>
            </w:r>
            <w:r>
              <w:rPr>
                <w:rFonts w:hint="eastAsia"/>
                <w:b/>
                <w:bCs/>
                <w:color w:val="000000" w:themeColor="text1"/>
                <w14:textFill>
                  <w14:solidFill>
                    <w14:schemeClr w14:val="tx1"/>
                  </w14:solidFill>
                </w14:textFill>
              </w:rPr>
              <w:t>名称：</w:t>
            </w:r>
            <w:r>
              <w:rPr>
                <w:rFonts w:hint="eastAsia"/>
                <w:color w:val="000000" w:themeColor="text1"/>
                <w14:textFill>
                  <w14:solidFill>
                    <w14:schemeClr w14:val="tx1"/>
                  </w14:solidFill>
                </w14:textFill>
              </w:rPr>
              <w:t>《江西省生态环境厅关于江西高安高新技术产业园区扩区调区规划环境影响报告书审查意见的函》（</w:t>
            </w:r>
            <w:bookmarkStart w:id="16" w:name="OLE_LINK10"/>
            <w:r>
              <w:rPr>
                <w:rFonts w:hint="eastAsia"/>
                <w:color w:val="000000" w:themeColor="text1"/>
                <w14:textFill>
                  <w14:solidFill>
                    <w14:schemeClr w14:val="tx1"/>
                  </w14:solidFill>
                </w14:textFill>
              </w:rPr>
              <w:t>赣环环评函〔</w:t>
            </w:r>
            <w:r>
              <w:rPr>
                <w:color w:val="000000" w:themeColor="text1"/>
                <w14:textFill>
                  <w14:solidFill>
                    <w14:schemeClr w14:val="tx1"/>
                  </w14:solidFill>
                </w14:textFill>
              </w:rPr>
              <w:t>202</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9号</w:t>
            </w:r>
            <w:bookmarkEnd w:id="16"/>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w:t>
            </w:r>
          </w:p>
          <w:p w14:paraId="57964ECC">
            <w:pPr>
              <w:pStyle w:val="19"/>
              <w:rPr>
                <w:rFonts w:hint="eastAsia"/>
                <w:color w:val="000000" w:themeColor="text1"/>
                <w:lang w:eastAsia="zh-CN"/>
                <w14:textFill>
                  <w14:solidFill>
                    <w14:schemeClr w14:val="tx1"/>
                  </w14:solidFill>
                </w14:textFill>
              </w:rPr>
            </w:pPr>
          </w:p>
          <w:p w14:paraId="5C464774">
            <w:pPr>
              <w:pStyle w:val="35"/>
              <w:rPr>
                <w:rFonts w:hint="eastAsia"/>
                <w:color w:val="000000" w:themeColor="text1"/>
                <w:lang w:eastAsia="zh-CN"/>
                <w14:textFill>
                  <w14:solidFill>
                    <w14:schemeClr w14:val="tx1"/>
                  </w14:solidFill>
                </w14:textFill>
              </w:rPr>
            </w:pPr>
          </w:p>
          <w:p w14:paraId="7FFE9E17">
            <w:pPr>
              <w:pStyle w:val="34"/>
              <w:rPr>
                <w:rFonts w:hint="eastAsia"/>
                <w:color w:val="000000" w:themeColor="text1"/>
                <w:lang w:eastAsia="zh-CN"/>
                <w14:textFill>
                  <w14:solidFill>
                    <w14:schemeClr w14:val="tx1"/>
                  </w14:solidFill>
                </w14:textFill>
              </w:rPr>
            </w:pPr>
          </w:p>
          <w:p w14:paraId="42406F27">
            <w:pPr>
              <w:rPr>
                <w:rFonts w:hint="eastAsia"/>
                <w:color w:val="000000" w:themeColor="text1"/>
                <w:lang w:eastAsia="zh-CN"/>
                <w14:textFill>
                  <w14:solidFill>
                    <w14:schemeClr w14:val="tx1"/>
                  </w14:solidFill>
                </w14:textFill>
              </w:rPr>
            </w:pPr>
          </w:p>
        </w:tc>
      </w:tr>
      <w:tr w14:paraId="26B68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tcBorders>
              <w:tl2br w:val="nil"/>
              <w:tr2bl w:val="nil"/>
            </w:tcBorders>
            <w:vAlign w:val="center"/>
          </w:tcPr>
          <w:p w14:paraId="262982B1">
            <w:pPr>
              <w:autoSpaceDE w:val="0"/>
              <w:autoSpaceDN w:val="0"/>
              <w:spacing w:line="240" w:lineRule="auto"/>
              <w:ind w:firstLine="0" w:firstLine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规划及规划环境影响评价符合性分析</w:t>
            </w:r>
          </w:p>
        </w:tc>
        <w:tc>
          <w:tcPr>
            <w:tcW w:w="7935" w:type="dxa"/>
            <w:gridSpan w:val="3"/>
            <w:tcBorders>
              <w:tl2br w:val="nil"/>
              <w:tr2bl w:val="nil"/>
            </w:tcBorders>
            <w:vAlign w:val="center"/>
          </w:tcPr>
          <w:p w14:paraId="218786A9">
            <w:pPr>
              <w:pStyle w:val="48"/>
              <w:spacing w:before="120" w:beforeLines="50"/>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（1）与《</w:t>
            </w:r>
            <w:r>
              <w:rPr>
                <w:rFonts w:hint="eastAsia"/>
                <w:b/>
                <w:bCs/>
                <w:color w:val="000000" w:themeColor="text1"/>
                <w:lang w:eastAsia="zh-CN"/>
                <w14:textFill>
                  <w14:solidFill>
                    <w14:schemeClr w14:val="tx1"/>
                  </w14:solidFill>
                </w14:textFill>
              </w:rPr>
              <w:t>高安市高新技术产业园区扩区调区控制性详细规划</w:t>
            </w:r>
            <w:r>
              <w:rPr>
                <w:rFonts w:hint="eastAsia"/>
                <w:b/>
                <w:bCs/>
                <w:color w:val="000000" w:themeColor="text1"/>
                <w14:textFill>
                  <w14:solidFill>
                    <w14:schemeClr w14:val="tx1"/>
                  </w14:solidFill>
                </w14:textFill>
              </w:rPr>
              <w:t>》相符性分析</w:t>
            </w:r>
          </w:p>
          <w:p w14:paraId="09540D8A">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江西高安高新技术产业园（原名江西高安工业园区）创建于2001年7月，坐落在高安市区东郊，320国道穿境而过，距省会南昌约45公里，距昌北机场约58公里，距九江港170公里，与“昌九”、“沪瑞”等高速公路，“京九”铁路以及沪昆高铁相接，与锦江毗邻，有着十分突出的区位优势和便捷的水、陆、空交通优势。江西高安工业园区中的新世纪产业园前身为新世纪工业城，江西省政府于2006年8月以赣府字〔2006〕17号文件批准其为省级工业园区，并更名为“江西高安工业园区”，以机械、化工、医药为主导产业，原核准面积为566.67公顷，2007年9月，原江西省环境保护局以赣环督函〔2007〕276号出具规划环评审查意见。江西高安工业园区中的建筑陶瓷产业园前身为2007年经江西省发改委批准成立的江西高安建筑陶瓷产业基地（赣发改工业字〔2007〕111号），基地的核心区域布置在高安市南面的新街、独城、八景三镇的交界处，一期规划面积为10.86平方公里（1086公顷），2007年8月，原江西省环境保护局以赣环督函〔2007〕2号出具了《江西省建筑陶瓷产业基地规划（一期）环境影响报告书》审查意见。2017年，园区管委会委托编制完成了《江西高安工业园区扩区调区规划环境影响报告书》，对江西高安工业园区进行扩区调区，将原核定的高安工业园区调扩为“一区二园”的发展格局，即：新世纪产业园、建筑陶瓷产业园。扩区调区后，园区总规划面积为2693.38公顷，形成以建筑陶瓷、绿色光源产业、高端装备制造（机械加工）为主导产业的工业发展布局，于2017年5月取得原江西省环境保护厅《关于江西高安工业园区扩区调区规划环境影响报告书审查意见的函》（赣环评函〔2017〕19号）。2017年7月，江西省人民政府以赣府厅字〔2017〕59号）文件批复，同意江西高安工业园区名字变更为“江西高安高新技术产业园区”。2017年12月，江西省人民政府以赣府厅字〔2017〕145号函复同意扩区调区，园区面积1988.67公顷。</w:t>
            </w:r>
          </w:p>
          <w:p w14:paraId="026B120C">
            <w:pPr>
              <w:pStyle w:val="48"/>
              <w:ind w:firstLine="48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2020年8月，江西省发展和改革委以“江西省发展改革委关于同意高安高新技术产业园开展扩区前期工作的复函”同意江西高安高新技术产业园开展扩区工作，扩区规划是在原规划“一区二园”基础上，在高安市田南镇扩增1个地块作为建材环保产业园，扩区后形成“一区三园”的格局，即新世纪产业园、建筑陶瓷产业园、建材环保产业园，2021年6月，《江西高安高新技术产业园扩区规划环境影响报告书》取得江西省生态环境厅审查意见（赣环环评评函〔2021〕6号)，总规划面积为2722.59h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2021年8月，江西省人民政府以赣府厅字〔2021〕64号函复同意高安高新技术产业园调整区位，园区面积1988.67公顷。2023年4月，江西省发展和改革委以“江西省发展改革委关于同意高安高新技术产业园区开展扩区调区前期工作的复函”同意江西高安高新技术产业园区开展扩区调区工作，支持高安高新技术产业园提升综合实力，拓展发展空间，优化产业布局，立足本地资源优势，做大做强新能源新材料、建筑陶瓷、机械装备智能制造等主导产业</w:t>
            </w:r>
            <w:r>
              <w:rPr>
                <w:rFonts w:hint="eastAsia"/>
                <w:color w:val="000000" w:themeColor="text1"/>
                <w:lang w:eastAsia="zh-CN"/>
                <w14:textFill>
                  <w14:solidFill>
                    <w14:schemeClr w14:val="tx1"/>
                  </w14:solidFill>
                </w14:textFill>
              </w:rPr>
              <w:t>。</w:t>
            </w:r>
          </w:p>
          <w:p w14:paraId="4CD2B5FC">
            <w:pPr>
              <w:widowControl/>
              <w:ind w:firstLine="480"/>
              <w:rPr>
                <w:color w:val="000000" w:themeColor="text1"/>
                <w:kern w:val="0"/>
                <w:lang w:bidi="ar"/>
                <w14:textFill>
                  <w14:solidFill>
                    <w14:schemeClr w14:val="tx1"/>
                  </w14:solidFill>
                </w14:textFill>
              </w:rPr>
            </w:pPr>
            <w:r>
              <w:rPr>
                <w:color w:val="000000" w:themeColor="text1"/>
                <w:kern w:val="0"/>
                <w:lang w:bidi="ar"/>
                <w14:textFill>
                  <w14:solidFill>
                    <w14:schemeClr w14:val="tx1"/>
                  </w14:solidFill>
                </w14:textFill>
              </w:rPr>
              <w:t>江西高安高新技术产业园区本轮总规划面积为3896.47公顷，仍为“一区三园”的格局，即新世纪产业园、建筑陶瓷产业园、建材环保产业园。</w:t>
            </w:r>
            <w:r>
              <w:rPr>
                <w:rFonts w:hint="eastAsia"/>
                <w:color w:val="000000" w:themeColor="text1"/>
                <w:kern w:val="0"/>
                <w:lang w:bidi="ar"/>
                <w14:textFill>
                  <w14:solidFill>
                    <w14:schemeClr w14:val="tx1"/>
                  </w14:solidFill>
                </w14:textFill>
              </w:rPr>
              <w:t>本项目位于</w:t>
            </w:r>
            <w:r>
              <w:rPr>
                <w:color w:val="000000" w:themeColor="text1"/>
                <w:kern w:val="0"/>
                <w:lang w:bidi="ar"/>
                <w14:textFill>
                  <w14:solidFill>
                    <w14:schemeClr w14:val="tx1"/>
                  </w14:solidFill>
                </w14:textFill>
              </w:rPr>
              <w:t>新世纪产业园</w:t>
            </w:r>
            <w:r>
              <w:rPr>
                <w:rFonts w:hint="eastAsia"/>
                <w:color w:val="000000" w:themeColor="text1"/>
                <w:kern w:val="0"/>
                <w:lang w:bidi="ar"/>
                <w14:textFill>
                  <w14:solidFill>
                    <w14:schemeClr w14:val="tx1"/>
                  </w14:solidFill>
                </w14:textFill>
              </w:rPr>
              <w:t>。</w:t>
            </w:r>
            <w:r>
              <w:rPr>
                <w:color w:val="000000" w:themeColor="text1"/>
                <w:kern w:val="0"/>
                <w:lang w:bidi="ar"/>
                <w14:textFill>
                  <w14:solidFill>
                    <w14:schemeClr w14:val="tx1"/>
                  </w14:solidFill>
                </w14:textFill>
              </w:rPr>
              <w:t>新世纪产业园位于高安市中心城区东部，由新世纪产业园工业园核心组团、杨家湖组团和祥符收费站组团三部分组成，沿320国道分布，规划面积1444.80公顷；原核准面积877.01公顷，如图附图26所示，调出面积共43.11公顷，调出地块一面积为23.73公顷，现状为空地，无现状工业企业，高安市国土空间规划已将该地块规划为城市商住用地，故调出，调出地块二面积为11.09公顷，现状为商住用地，并已开发建设完成，调出地块无现状工业企业，以后作为服务城市发展空间使用，另有其他零星边角共调出面积8.29公顷。</w:t>
            </w:r>
          </w:p>
          <w:p w14:paraId="481D3721">
            <w:pPr>
              <w:pStyle w:val="48"/>
              <w:ind w:firstLine="480"/>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新世纪产业园规划形成三个功能片区，其中工业园核心组团四至范围为东至东风大道，南至产业园区管委会，西至翠微路，北至平安大道，用地面积884.56公顷，打造为新能源、新材料、装备制造、绿色光源、纺织、电子信息、配套服务产业区；杨家湖组团四至范围为东至经六路，南至祥符镇城镇开发边界，西至祥符镇城镇开发边界，北至祥符镇区，用地面积144.99公顷，打造为新能源、电子信息、配套服务产业区；祥符收费站组团四至范围为东至经十二路，南至纬八路，西至经八路，北至高安东高速管理中心，用地面积415.25公顷，打造为新能源、装备制造、配套服务产业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新世纪产业园规划重点发展新能源新材料（锂电隔膜，塑膜，锂电负极材料，光伏组件电池，绿色光源等）、高端装备制造、电子信息制造等，其他产业为纺织行业、配套服务产业等。加快新材料高新产业园和电子信息产业园两大主题产业园建设，加速推进祥符收费站组团的基础设施建设。</w:t>
            </w:r>
            <w:r>
              <w:rPr>
                <w:rFonts w:hint="eastAsia"/>
                <w:color w:val="000000" w:themeColor="text1"/>
                <w:lang w:val="en-US" w:eastAsia="zh-CN"/>
                <w14:textFill>
                  <w14:solidFill>
                    <w14:schemeClr w14:val="tx1"/>
                  </w14:solidFill>
                </w14:textFill>
              </w:rPr>
              <w:t>本项目位于新世纪产业园杨家湖组团，行业类别为</w:t>
            </w:r>
            <w:r>
              <w:rPr>
                <w:rFonts w:hint="eastAsia"/>
                <w:color w:val="000000" w:themeColor="text1"/>
                <w:szCs w:val="21"/>
                <w14:textFill>
                  <w14:solidFill>
                    <w14:schemeClr w14:val="tx1"/>
                  </w14:solidFill>
                </w14:textFill>
              </w:rPr>
              <w:t>C2439其他工艺美术及礼仪用品制造</w:t>
            </w:r>
            <w:r>
              <w:rPr>
                <w:rFonts w:hint="eastAsia"/>
                <w:color w:val="000000" w:themeColor="text1"/>
                <w:szCs w:val="2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属于产业布局中的“其他产业”，与</w:t>
            </w:r>
            <w:r>
              <w:rPr>
                <w:color w:val="000000" w:themeColor="text1"/>
                <w:kern w:val="0"/>
                <w:lang w:bidi="ar"/>
                <w14:textFill>
                  <w14:solidFill>
                    <w14:schemeClr w14:val="tx1"/>
                  </w14:solidFill>
                </w14:textFill>
              </w:rPr>
              <w:t>江西高安高新技术产业园区</w:t>
            </w:r>
            <w:r>
              <w:rPr>
                <w:rFonts w:hint="eastAsia"/>
                <w:color w:val="000000" w:themeColor="text1"/>
                <w:kern w:val="0"/>
                <w:lang w:val="en-US" w:eastAsia="zh-CN" w:bidi="ar"/>
                <w14:textFill>
                  <w14:solidFill>
                    <w14:schemeClr w14:val="tx1"/>
                  </w14:solidFill>
                </w14:textFill>
              </w:rPr>
              <w:t>规划及产业定位相符。</w:t>
            </w:r>
          </w:p>
          <w:p w14:paraId="78384FA9">
            <w:pPr>
              <w:pStyle w:val="48"/>
              <w:spacing w:before="120" w:beforeLines="50"/>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2</w:t>
            </w:r>
            <w:r>
              <w:rPr>
                <w:rFonts w:hint="eastAsia"/>
                <w:b/>
                <w:bCs/>
                <w:color w:val="000000" w:themeColor="text1"/>
                <w14:textFill>
                  <w14:solidFill>
                    <w14:schemeClr w14:val="tx1"/>
                  </w14:solidFill>
                </w14:textFill>
              </w:rPr>
              <w:t>）与《江西高安高新技术产业园区扩区调区规划环境影响报告书》相符性分析</w:t>
            </w:r>
          </w:p>
          <w:p w14:paraId="35821686">
            <w:pPr>
              <w:pStyle w:val="19"/>
              <w:spacing w:line="360" w:lineRule="auto"/>
              <w:ind w:firstLine="475" w:firstLineChars="198"/>
              <w:rPr>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lang w:bidi="ar"/>
                <w14:textFill>
                  <w14:solidFill>
                    <w14:schemeClr w14:val="tx1"/>
                  </w14:solidFill>
                </w14:textFill>
              </w:rPr>
              <w:t>根据《江西高安高新技术产业园区扩区调区规划环境影响报告书》，产业园设置了环境准入要求，本项目与其相符性分析见下表</w:t>
            </w:r>
            <w:r>
              <w:rPr>
                <w:rFonts w:hint="eastAsia"/>
                <w:color w:val="000000" w:themeColor="text1"/>
                <w:sz w:val="24"/>
                <w:szCs w:val="24"/>
                <w14:textFill>
                  <w14:solidFill>
                    <w14:schemeClr w14:val="tx1"/>
                  </w14:solidFill>
                </w14:textFill>
              </w:rPr>
              <w:t>。</w:t>
            </w:r>
          </w:p>
          <w:p w14:paraId="51B55183">
            <w:pPr>
              <w:pStyle w:val="57"/>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与《江西高安高新技术产业园区扩区调区规划环境影响报告书》符合性分析</w:t>
            </w:r>
          </w:p>
          <w:tbl>
            <w:tblPr>
              <w:tblStyle w:val="144"/>
              <w:tblW w:w="4982"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28" w:type="dxa"/>
                <w:left w:w="28" w:type="dxa"/>
                <w:bottom w:w="28" w:type="dxa"/>
                <w:right w:w="28" w:type="dxa"/>
              </w:tblCellMar>
            </w:tblPr>
            <w:tblGrid>
              <w:gridCol w:w="641"/>
              <w:gridCol w:w="921"/>
              <w:gridCol w:w="3116"/>
              <w:gridCol w:w="2115"/>
              <w:gridCol w:w="991"/>
            </w:tblGrid>
            <w:tr w14:paraId="33A92B2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tcBorders>
                    <w:tl2br w:val="nil"/>
                    <w:tr2bl w:val="nil"/>
                  </w:tcBorders>
                  <w:vAlign w:val="center"/>
                </w:tcPr>
                <w:p w14:paraId="49498C4B">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清单</w:t>
                  </w:r>
                </w:p>
                <w:p w14:paraId="6A62B85F">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维度</w:t>
                  </w:r>
                </w:p>
              </w:tc>
              <w:tc>
                <w:tcPr>
                  <w:tcW w:w="591" w:type="pct"/>
                  <w:tcBorders>
                    <w:tl2br w:val="nil"/>
                    <w:tr2bl w:val="nil"/>
                  </w:tcBorders>
                  <w:vAlign w:val="center"/>
                </w:tcPr>
                <w:p w14:paraId="0613233F">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类别</w:t>
                  </w:r>
                </w:p>
              </w:tc>
              <w:tc>
                <w:tcPr>
                  <w:tcW w:w="2000" w:type="pct"/>
                  <w:tcBorders>
                    <w:tl2br w:val="nil"/>
                    <w:tr2bl w:val="nil"/>
                  </w:tcBorders>
                  <w:vAlign w:val="center"/>
                </w:tcPr>
                <w:p w14:paraId="0C6C461C">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准入内容</w:t>
                  </w:r>
                </w:p>
              </w:tc>
              <w:tc>
                <w:tcPr>
                  <w:tcW w:w="1358" w:type="pct"/>
                  <w:tcBorders>
                    <w:tl2br w:val="nil"/>
                    <w:tr2bl w:val="nil"/>
                  </w:tcBorders>
                  <w:vAlign w:val="center"/>
                </w:tcPr>
                <w:p w14:paraId="32AEF2A2">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本项目情况</w:t>
                  </w:r>
                </w:p>
              </w:tc>
              <w:tc>
                <w:tcPr>
                  <w:tcW w:w="636" w:type="pct"/>
                  <w:tcBorders>
                    <w:tl2br w:val="nil"/>
                    <w:tr2bl w:val="nil"/>
                  </w:tcBorders>
                  <w:vAlign w:val="center"/>
                </w:tcPr>
                <w:p w14:paraId="5A267B63">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是否相符</w:t>
                  </w:r>
                </w:p>
              </w:tc>
            </w:tr>
            <w:tr w14:paraId="1BD2F49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tcBorders>
                    <w:tl2br w:val="nil"/>
                    <w:tr2bl w:val="nil"/>
                  </w:tcBorders>
                  <w:vAlign w:val="center"/>
                </w:tcPr>
                <w:p w14:paraId="1AA60DA0">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空间布局约束</w:t>
                  </w:r>
                </w:p>
              </w:tc>
              <w:tc>
                <w:tcPr>
                  <w:tcW w:w="591" w:type="pct"/>
                  <w:tcBorders>
                    <w:tl2br w:val="nil"/>
                    <w:tr2bl w:val="nil"/>
                  </w:tcBorders>
                  <w:vAlign w:val="center"/>
                </w:tcPr>
                <w:p w14:paraId="1D7145A0">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新世纪</w:t>
                  </w:r>
                </w:p>
                <w:p w14:paraId="77B54A71">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产业园</w:t>
                  </w:r>
                </w:p>
              </w:tc>
              <w:tc>
                <w:tcPr>
                  <w:tcW w:w="2000" w:type="pct"/>
                  <w:tcBorders>
                    <w:tl2br w:val="nil"/>
                    <w:tr2bl w:val="nil"/>
                  </w:tcBorders>
                  <w:vAlign w:val="top"/>
                </w:tcPr>
                <w:p w14:paraId="105DEE4E">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1、新世纪产业园祥符收费站组团地块占用的生态公益林面积未得到补偿和未调整土地功能前不得占用。</w:t>
                  </w:r>
                </w:p>
                <w:p w14:paraId="7064C46F">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2、新世纪产业园工业园核心组团距离锦江岸线1公里范围内禁止新建化工项目。</w:t>
                  </w:r>
                </w:p>
                <w:p w14:paraId="5A11FD3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3、规划产业：</w:t>
                  </w:r>
                </w:p>
                <w:p w14:paraId="08734B82">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一、高端装备制造</w:t>
                  </w:r>
                </w:p>
                <w:p w14:paraId="1E10EE80">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新世纪产业园工业园核心组团、祥符收费站组团地块：选择性入园，不得新建涉五类重金属排放的含电镀工序的项目（配套工序的除外），严格控制企业废气无组织排放。</w:t>
                  </w:r>
                </w:p>
                <w:p w14:paraId="6EB0D782">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二、电子信息制造</w:t>
                  </w:r>
                </w:p>
                <w:p w14:paraId="1A480C9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世纪产业园工业园核心组团、杨家湖组团地块：不得新建涉五类重金属排放的以电镀加工为主的项目（配套工序的除外）；严格控制废水排放量大的线路板企业，线路板规模不突破园区原有环评批复规模，不新增废水排放量。</w:t>
                  </w:r>
                </w:p>
                <w:p w14:paraId="17586932">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三、新能源新材料</w:t>
                  </w:r>
                </w:p>
                <w:p w14:paraId="1ABC8186">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世纪产业园工业园核心组团、杨家湖组团、祥符收费站组团地块：重点发展低污染、科技含量高的项目；严格控制新建污染较大的太阳能电池前端工序多晶硅或单晶硅生产；新世纪产业园不宜引进碳酸锂生产企业。</w:t>
                  </w:r>
                </w:p>
                <w:p w14:paraId="6EE162B4">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四、纺织行业</w:t>
                  </w:r>
                </w:p>
                <w:p w14:paraId="1D0ABCDF">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新世纪产业园工业园核心组团地块：选择性入园，不得新建废水排放量大的湿法印花、染色、水洗等印染工艺的纺织项目。</w:t>
                  </w:r>
                </w:p>
                <w:p w14:paraId="57C5AD46">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五、其他</w:t>
                  </w:r>
                </w:p>
                <w:p w14:paraId="1789B405">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世纪产业园工业园核心组团位于高安市主导风向的上风向，建议调整土地利用性质，慎重引入大气污染型工业项目，引导园区朝规划产业方向发展，注重引入与周边企业相协调的企业。限制废水排放量大的项目入园。产业园区今后不得新引进化工、皮革、冶炼等企业，现有化工、皮革、冶炼等企业优化改造升级，提高清洁生产水平或强化污染防治措施，确保不新增污染物，有条件的情况下适时启动现有化工、皮革、冶炼等企业的搬迁。</w:t>
                  </w:r>
                </w:p>
              </w:tc>
              <w:tc>
                <w:tcPr>
                  <w:tcW w:w="1358" w:type="pct"/>
                  <w:tcBorders>
                    <w:tl2br w:val="nil"/>
                    <w:tr2bl w:val="nil"/>
                  </w:tcBorders>
                  <w:vAlign w:val="center"/>
                </w:tcPr>
                <w:p w14:paraId="49C3DCBE">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highlight w:val="yellow"/>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本项目属于C2439其他工艺美术及礼仪用品制造，本项目不涉及五类重金属的工序，不涉及禁止准入的行业。</w:t>
                  </w:r>
                </w:p>
              </w:tc>
              <w:tc>
                <w:tcPr>
                  <w:tcW w:w="636" w:type="pct"/>
                  <w:tcBorders>
                    <w:tl2br w:val="nil"/>
                    <w:tr2bl w:val="nil"/>
                  </w:tcBorders>
                  <w:vAlign w:val="center"/>
                </w:tcPr>
                <w:p w14:paraId="54028F6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highlight w:val="yellow"/>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相符</w:t>
                  </w:r>
                </w:p>
              </w:tc>
            </w:tr>
            <w:tr w14:paraId="5093873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restart"/>
                  <w:tcBorders>
                    <w:tl2br w:val="nil"/>
                    <w:tr2bl w:val="nil"/>
                  </w:tcBorders>
                  <w:vAlign w:val="center"/>
                </w:tcPr>
                <w:p w14:paraId="46F9CB80">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污染物排放管控</w:t>
                  </w:r>
                </w:p>
              </w:tc>
              <w:tc>
                <w:tcPr>
                  <w:tcW w:w="591" w:type="pct"/>
                  <w:tcBorders>
                    <w:tl2br w:val="nil"/>
                    <w:tr2bl w:val="nil"/>
                  </w:tcBorders>
                  <w:vAlign w:val="center"/>
                </w:tcPr>
                <w:p w14:paraId="786511BE">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现有源提标升级改造</w:t>
                  </w:r>
                </w:p>
              </w:tc>
              <w:tc>
                <w:tcPr>
                  <w:tcW w:w="2000" w:type="pct"/>
                  <w:tcBorders>
                    <w:tl2br w:val="nil"/>
                    <w:tr2bl w:val="nil"/>
                  </w:tcBorders>
                  <w:vAlign w:val="center"/>
                </w:tcPr>
                <w:p w14:paraId="57DEB741">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现有企业提标改造或转型升级，不断提高清洁生产水平。</w:t>
                  </w:r>
                </w:p>
              </w:tc>
              <w:tc>
                <w:tcPr>
                  <w:tcW w:w="1358" w:type="pct"/>
                  <w:tcBorders>
                    <w:tl2br w:val="nil"/>
                    <w:tr2bl w:val="nil"/>
                  </w:tcBorders>
                  <w:vAlign w:val="center"/>
                </w:tcPr>
                <w:p w14:paraId="1B2932CE">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本项目属新建企业</w:t>
                  </w:r>
                </w:p>
              </w:tc>
              <w:tc>
                <w:tcPr>
                  <w:tcW w:w="636" w:type="pct"/>
                  <w:tcBorders>
                    <w:tl2br w:val="nil"/>
                    <w:tr2bl w:val="nil"/>
                  </w:tcBorders>
                  <w:vAlign w:val="center"/>
                </w:tcPr>
                <w:p w14:paraId="1150BF84">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5D0E522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continue"/>
                  <w:tcBorders>
                    <w:tl2br w:val="nil"/>
                    <w:tr2bl w:val="nil"/>
                  </w:tcBorders>
                  <w:vAlign w:val="center"/>
                </w:tcPr>
                <w:p w14:paraId="077FDA91">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91" w:type="pct"/>
                  <w:tcBorders>
                    <w:tl2br w:val="nil"/>
                    <w:tr2bl w:val="nil"/>
                  </w:tcBorders>
                  <w:vAlign w:val="center"/>
                </w:tcPr>
                <w:p w14:paraId="252A96E9">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新增源等量或倍量替代</w:t>
                  </w:r>
                </w:p>
              </w:tc>
              <w:tc>
                <w:tcPr>
                  <w:tcW w:w="2000" w:type="pct"/>
                  <w:tcBorders>
                    <w:tl2br w:val="nil"/>
                    <w:tr2bl w:val="nil"/>
                  </w:tcBorders>
                  <w:vAlign w:val="center"/>
                </w:tcPr>
                <w:p w14:paraId="743FDED8">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区域环境质量达标，新建、改扩建项目保证区域环境质量维持基本稳定；新建、扩建、改建项目污染物排放量符合总量控制指标要求。2025年，氮氧化物、挥发性有机物、化学需氧量、氨氮重点工程减排量分别达到“十四五”减排目标。</w:t>
                  </w:r>
                </w:p>
              </w:tc>
              <w:tc>
                <w:tcPr>
                  <w:tcW w:w="1358" w:type="pct"/>
                  <w:tcBorders>
                    <w:tl2br w:val="nil"/>
                    <w:tr2bl w:val="nil"/>
                  </w:tcBorders>
                  <w:vAlign w:val="center"/>
                </w:tcPr>
                <w:p w14:paraId="7BEAB2FA">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项目按要求申请</w:t>
                  </w:r>
                  <w:r>
                    <w:rPr>
                      <w:rFonts w:hint="default" w:ascii="Times New Roman" w:hAnsi="Times New Roman" w:cs="Times New Roman"/>
                      <w:color w:val="000000" w:themeColor="text1"/>
                      <w:sz w:val="21"/>
                      <w:szCs w:val="21"/>
                      <w:highlight w:val="none"/>
                      <w14:textFill>
                        <w14:solidFill>
                          <w14:schemeClr w14:val="tx1"/>
                        </w14:solidFill>
                      </w14:textFill>
                    </w:rPr>
                    <w:t>总量</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控制指标，并满足相应总量控制</w:t>
                  </w:r>
                  <w:r>
                    <w:rPr>
                      <w:rFonts w:hint="default" w:ascii="Times New Roman" w:hAnsi="Times New Roman" w:cs="Times New Roman"/>
                      <w:color w:val="000000" w:themeColor="text1"/>
                      <w:sz w:val="21"/>
                      <w:szCs w:val="21"/>
                      <w:highlight w:val="none"/>
                      <w14:textFill>
                        <w14:solidFill>
                          <w14:schemeClr w14:val="tx1"/>
                        </w14:solidFill>
                      </w14:textFill>
                    </w:rPr>
                    <w:t>要求</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p>
              </w:tc>
              <w:tc>
                <w:tcPr>
                  <w:tcW w:w="636" w:type="pct"/>
                  <w:tcBorders>
                    <w:tl2br w:val="nil"/>
                    <w:tr2bl w:val="nil"/>
                  </w:tcBorders>
                  <w:vAlign w:val="center"/>
                </w:tcPr>
                <w:p w14:paraId="2DD587E8">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相符</w:t>
                  </w:r>
                </w:p>
              </w:tc>
            </w:tr>
            <w:tr w14:paraId="6D859BA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continue"/>
                  <w:tcBorders>
                    <w:tl2br w:val="nil"/>
                    <w:tr2bl w:val="nil"/>
                  </w:tcBorders>
                  <w:vAlign w:val="center"/>
                </w:tcPr>
                <w:p w14:paraId="483AC626">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91" w:type="pct"/>
                  <w:tcBorders>
                    <w:tl2br w:val="nil"/>
                    <w:tr2bl w:val="nil"/>
                  </w:tcBorders>
                  <w:vAlign w:val="center"/>
                </w:tcPr>
                <w:p w14:paraId="7C4D1661">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新增源排放标准限值</w:t>
                  </w:r>
                </w:p>
              </w:tc>
              <w:tc>
                <w:tcPr>
                  <w:tcW w:w="2000" w:type="pct"/>
                  <w:tcBorders>
                    <w:tl2br w:val="nil"/>
                    <w:tr2bl w:val="nil"/>
                  </w:tcBorders>
                  <w:vAlign w:val="center"/>
                </w:tcPr>
                <w:p w14:paraId="09738E70">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建、改建、扩建排放废水的项目，废水必须经预处理达到园区污水处理厂接管要求，其中一类污染物需在车间或污染治理设施排口处达标；新建、改建、扩建污水集中处理设施的出水水质应当达到《城镇污水处理厂污染物排放标准》一级A标准。严格控制五类重金属外排。</w:t>
                  </w:r>
                </w:p>
              </w:tc>
              <w:tc>
                <w:tcPr>
                  <w:tcW w:w="1358" w:type="pct"/>
                  <w:tcBorders>
                    <w:tl2br w:val="nil"/>
                    <w:tr2bl w:val="nil"/>
                  </w:tcBorders>
                  <w:vAlign w:val="center"/>
                </w:tcPr>
                <w:p w14:paraId="5A4B74C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项目废水经化粪池处理后满足园区污水处理厂接管标准要求</w:t>
                  </w:r>
                </w:p>
              </w:tc>
              <w:tc>
                <w:tcPr>
                  <w:tcW w:w="636" w:type="pct"/>
                  <w:tcBorders>
                    <w:tl2br w:val="nil"/>
                    <w:tr2bl w:val="nil"/>
                  </w:tcBorders>
                  <w:vAlign w:val="center"/>
                </w:tcPr>
                <w:p w14:paraId="451CD3C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相符</w:t>
                  </w:r>
                </w:p>
              </w:tc>
            </w:tr>
            <w:tr w14:paraId="2E779E3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continue"/>
                  <w:tcBorders>
                    <w:tl2br w:val="nil"/>
                    <w:tr2bl w:val="nil"/>
                  </w:tcBorders>
                  <w:vAlign w:val="center"/>
                </w:tcPr>
                <w:p w14:paraId="7748FFAE">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91" w:type="pct"/>
                  <w:tcBorders>
                    <w:tl2br w:val="nil"/>
                    <w:tr2bl w:val="nil"/>
                  </w:tcBorders>
                  <w:vAlign w:val="center"/>
                </w:tcPr>
                <w:p w14:paraId="31B61F68">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污染物排放绩效水平准入要求</w:t>
                  </w:r>
                </w:p>
              </w:tc>
              <w:tc>
                <w:tcPr>
                  <w:tcW w:w="2000" w:type="pct"/>
                  <w:tcBorders>
                    <w:tl2br w:val="nil"/>
                    <w:tr2bl w:val="nil"/>
                  </w:tcBorders>
                  <w:vAlign w:val="center"/>
                </w:tcPr>
                <w:p w14:paraId="58D9B724">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污染物排放应达到相应排放标准，污染物排放绩效水平应达到良好水平。水泥企业废气排放执行《水泥工业大气污染物排放标准》（GB4915-2013）表2中污染物特别排放限值。</w:t>
                  </w:r>
                </w:p>
              </w:tc>
              <w:tc>
                <w:tcPr>
                  <w:tcW w:w="1358" w:type="pct"/>
                  <w:tcBorders>
                    <w:tl2br w:val="nil"/>
                    <w:tr2bl w:val="nil"/>
                  </w:tcBorders>
                  <w:vAlign w:val="center"/>
                </w:tcPr>
                <w:p w14:paraId="20412D62">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项目污染物排放达到相应排放标准，污染物排放绩效水平达到良好水平</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p>
              </w:tc>
              <w:tc>
                <w:tcPr>
                  <w:tcW w:w="636" w:type="pct"/>
                  <w:tcBorders>
                    <w:tl2br w:val="nil"/>
                    <w:tr2bl w:val="nil"/>
                  </w:tcBorders>
                  <w:vAlign w:val="center"/>
                </w:tcPr>
                <w:p w14:paraId="7ACD3E88">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相符</w:t>
                  </w:r>
                </w:p>
              </w:tc>
            </w:tr>
            <w:tr w14:paraId="544338B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restart"/>
                  <w:tcBorders>
                    <w:tl2br w:val="nil"/>
                    <w:tr2bl w:val="nil"/>
                  </w:tcBorders>
                  <w:vAlign w:val="center"/>
                </w:tcPr>
                <w:p w14:paraId="79C11F3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环境风险防控</w:t>
                  </w:r>
                </w:p>
              </w:tc>
              <w:tc>
                <w:tcPr>
                  <w:tcW w:w="591" w:type="pct"/>
                  <w:tcBorders>
                    <w:tl2br w:val="nil"/>
                    <w:tr2bl w:val="nil"/>
                  </w:tcBorders>
                  <w:vAlign w:val="center"/>
                </w:tcPr>
                <w:p w14:paraId="33CCD160">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用地环境风险防控要求</w:t>
                  </w:r>
                </w:p>
              </w:tc>
              <w:tc>
                <w:tcPr>
                  <w:tcW w:w="2000" w:type="pct"/>
                  <w:tcBorders>
                    <w:tl2br w:val="nil"/>
                    <w:tr2bl w:val="nil"/>
                  </w:tcBorders>
                  <w:vAlign w:val="center"/>
                </w:tcPr>
                <w:p w14:paraId="2E6231FD">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区内部分紧邻规划居住用地等环境敏感目标的工业用地，严格限制涉及使用剧毒化学品的企业进入。</w:t>
                  </w:r>
                </w:p>
              </w:tc>
              <w:tc>
                <w:tcPr>
                  <w:tcW w:w="1358" w:type="pct"/>
                  <w:tcBorders>
                    <w:tl2br w:val="nil"/>
                    <w:tr2bl w:val="nil"/>
                  </w:tcBorders>
                  <w:vAlign w:val="center"/>
                </w:tcPr>
                <w:p w14:paraId="3AA3987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距离本项目最近的敏感目标</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350</w:t>
                  </w:r>
                  <w:r>
                    <w:rPr>
                      <w:rFonts w:hint="default" w:ascii="Times New Roman" w:hAnsi="Times New Roman" w:cs="Times New Roman"/>
                      <w:color w:val="000000" w:themeColor="text1"/>
                      <w:sz w:val="21"/>
                      <w:szCs w:val="21"/>
                      <w:highlight w:val="none"/>
                      <w14:textFill>
                        <w14:solidFill>
                          <w14:schemeClr w14:val="tx1"/>
                        </w14:solidFill>
                      </w14:textFill>
                    </w:rPr>
                    <w:t>m，不紧邻</w:t>
                  </w:r>
                </w:p>
              </w:tc>
              <w:tc>
                <w:tcPr>
                  <w:tcW w:w="636" w:type="pct"/>
                  <w:tcBorders>
                    <w:tl2br w:val="nil"/>
                    <w:tr2bl w:val="nil"/>
                  </w:tcBorders>
                  <w:vAlign w:val="center"/>
                </w:tcPr>
                <w:p w14:paraId="0EB6B5FC">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相符</w:t>
                  </w:r>
                </w:p>
              </w:tc>
            </w:tr>
            <w:tr w14:paraId="6BB8E04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continue"/>
                  <w:tcBorders>
                    <w:tl2br w:val="nil"/>
                    <w:tr2bl w:val="nil"/>
                  </w:tcBorders>
                  <w:vAlign w:val="center"/>
                </w:tcPr>
                <w:p w14:paraId="0BBD70C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91" w:type="pct"/>
                  <w:tcBorders>
                    <w:tl2br w:val="nil"/>
                    <w:tr2bl w:val="nil"/>
                  </w:tcBorders>
                  <w:vAlign w:val="center"/>
                </w:tcPr>
                <w:p w14:paraId="21121C85">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园区环境风险防控要求</w:t>
                  </w:r>
                </w:p>
              </w:tc>
              <w:tc>
                <w:tcPr>
                  <w:tcW w:w="2000" w:type="pct"/>
                  <w:tcBorders>
                    <w:tl2br w:val="nil"/>
                    <w:tr2bl w:val="nil"/>
                  </w:tcBorders>
                  <w:vAlign w:val="center"/>
                </w:tcPr>
                <w:p w14:paraId="14231A7A">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紧邻居住、行政等环境敏感点的工业用地，禁止新建环境风险等级高的建设项目。园区应建立三级环境风险防控体系。上轮规划提出的在新世纪产业园地块二（杨家湖组团）及地块三（祥符收费站组团）废水收集管网提升泵址处合理设置事故废水收集池本次规划环评建议继续实施。</w:t>
                  </w:r>
                </w:p>
              </w:tc>
              <w:tc>
                <w:tcPr>
                  <w:tcW w:w="1358" w:type="pct"/>
                  <w:tcBorders>
                    <w:tl2br w:val="nil"/>
                    <w:tr2bl w:val="nil"/>
                  </w:tcBorders>
                  <w:shd w:val="clear" w:color="auto" w:fill="auto"/>
                  <w:vAlign w:val="center"/>
                </w:tcPr>
                <w:p w14:paraId="583AC589">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距离本项目最近的敏感目标</w:t>
                  </w:r>
                  <w:r>
                    <w:rPr>
                      <w:rFonts w:hint="default" w:ascii="Times New Roman" w:hAnsi="Times New Roman" w:cs="Times New Roman"/>
                      <w:color w:val="000000" w:themeColor="text1"/>
                      <w:sz w:val="21"/>
                      <w:szCs w:val="21"/>
                      <w:lang w:val="en-US" w:eastAsia="zh-CN"/>
                      <w14:textFill>
                        <w14:solidFill>
                          <w14:schemeClr w14:val="tx1"/>
                        </w14:solidFill>
                      </w14:textFill>
                    </w:rPr>
                    <w:t>350</w:t>
                  </w:r>
                  <w:r>
                    <w:rPr>
                      <w:rFonts w:hint="default" w:ascii="Times New Roman" w:hAnsi="Times New Roman" w:cs="Times New Roman"/>
                      <w:color w:val="000000" w:themeColor="text1"/>
                      <w:sz w:val="21"/>
                      <w:szCs w:val="21"/>
                      <w14:textFill>
                        <w14:solidFill>
                          <w14:schemeClr w14:val="tx1"/>
                        </w14:solidFill>
                      </w14:textFill>
                    </w:rPr>
                    <w:t>m，不紧邻</w:t>
                  </w:r>
                </w:p>
              </w:tc>
              <w:tc>
                <w:tcPr>
                  <w:tcW w:w="636" w:type="pct"/>
                  <w:tcBorders>
                    <w:tl2br w:val="nil"/>
                    <w:tr2bl w:val="nil"/>
                  </w:tcBorders>
                  <w:shd w:val="clear" w:color="auto" w:fill="auto"/>
                  <w:vAlign w:val="center"/>
                </w:tcPr>
                <w:p w14:paraId="40E7970D">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602358C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continue"/>
                  <w:tcBorders>
                    <w:tl2br w:val="nil"/>
                    <w:tr2bl w:val="nil"/>
                  </w:tcBorders>
                  <w:vAlign w:val="center"/>
                </w:tcPr>
                <w:p w14:paraId="3F31B2B3">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91" w:type="pct"/>
                  <w:tcBorders>
                    <w:tl2br w:val="nil"/>
                    <w:tr2bl w:val="nil"/>
                  </w:tcBorders>
                  <w:vAlign w:val="center"/>
                </w:tcPr>
                <w:p w14:paraId="0DB316B4">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企业环境风险防控要求</w:t>
                  </w:r>
                </w:p>
              </w:tc>
              <w:tc>
                <w:tcPr>
                  <w:tcW w:w="2000" w:type="pct"/>
                  <w:tcBorders>
                    <w:tl2br w:val="nil"/>
                    <w:tr2bl w:val="nil"/>
                  </w:tcBorders>
                  <w:vAlign w:val="center"/>
                </w:tcPr>
                <w:p w14:paraId="521F10E1">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新增或改扩建存在环境风险的项目，在建设项目环评阶段须重点开展环境风险评价，与项目周边环境敏感目标之前控制合理的风险控制距离，提出并落实风险防范措施及应急联动要求，编制应急预案，并与园区应急预案联动。</w:t>
                  </w:r>
                </w:p>
              </w:tc>
              <w:tc>
                <w:tcPr>
                  <w:tcW w:w="1358" w:type="pct"/>
                  <w:tcBorders>
                    <w:tl2br w:val="nil"/>
                    <w:tr2bl w:val="nil"/>
                  </w:tcBorders>
                  <w:vAlign w:val="center"/>
                </w:tcPr>
                <w:p w14:paraId="17882A5D">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w:t>
                  </w:r>
                  <w:r>
                    <w:rPr>
                      <w:rFonts w:hint="default" w:ascii="Times New Roman" w:hAnsi="Times New Roman" w:cs="Times New Roman"/>
                      <w:color w:val="000000" w:themeColor="text1"/>
                      <w:sz w:val="21"/>
                      <w:szCs w:val="21"/>
                      <w:lang w:val="en-US" w:eastAsia="zh-CN"/>
                      <w14:textFill>
                        <w14:solidFill>
                          <w14:schemeClr w14:val="tx1"/>
                        </w14:solidFill>
                      </w14:textFill>
                    </w:rPr>
                    <w:t>环评阶段进行了环境风险评价，</w:t>
                  </w:r>
                  <w:r>
                    <w:rPr>
                      <w:rFonts w:hint="default" w:ascii="Times New Roman" w:hAnsi="Times New Roman" w:cs="Times New Roman"/>
                      <w:color w:val="000000" w:themeColor="text1"/>
                      <w:sz w:val="21"/>
                      <w:szCs w:val="21"/>
                      <w14:textFill>
                        <w14:solidFill>
                          <w14:schemeClr w14:val="tx1"/>
                        </w14:solidFill>
                      </w14:textFill>
                    </w:rPr>
                    <w:t>提出</w:t>
                  </w:r>
                  <w:r>
                    <w:rPr>
                      <w:rFonts w:hint="default" w:ascii="Times New Roman" w:hAnsi="Times New Roman" w:cs="Times New Roman"/>
                      <w:color w:val="000000" w:themeColor="text1"/>
                      <w:sz w:val="21"/>
                      <w:szCs w:val="21"/>
                      <w:lang w:eastAsia="zh-CN"/>
                      <w14:textFill>
                        <w14:solidFill>
                          <w14:schemeClr w14:val="tx1"/>
                        </w14:solidFill>
                      </w14:textFill>
                    </w:rPr>
                    <w:t>了</w:t>
                  </w:r>
                  <w:r>
                    <w:rPr>
                      <w:rFonts w:hint="default" w:ascii="Times New Roman" w:hAnsi="Times New Roman" w:cs="Times New Roman"/>
                      <w:color w:val="000000" w:themeColor="text1"/>
                      <w:sz w:val="21"/>
                      <w:szCs w:val="21"/>
                      <w14:textFill>
                        <w14:solidFill>
                          <w14:schemeClr w14:val="tx1"/>
                        </w14:solidFill>
                      </w14:textFill>
                    </w:rPr>
                    <w:t>并落实风险防范措施</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636" w:type="pct"/>
                  <w:tcBorders>
                    <w:tl2br w:val="nil"/>
                    <w:tr2bl w:val="nil"/>
                  </w:tcBorders>
                  <w:vAlign w:val="center"/>
                </w:tcPr>
                <w:p w14:paraId="74553710">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38A0E55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restart"/>
                  <w:tcBorders>
                    <w:tl2br w:val="nil"/>
                    <w:tr2bl w:val="nil"/>
                  </w:tcBorders>
                  <w:vAlign w:val="center"/>
                </w:tcPr>
                <w:p w14:paraId="4097EB1C">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资源开发利用</w:t>
                  </w:r>
                </w:p>
                <w:p w14:paraId="3119670B">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管控</w:t>
                  </w:r>
                </w:p>
              </w:tc>
              <w:tc>
                <w:tcPr>
                  <w:tcW w:w="591" w:type="pct"/>
                  <w:tcBorders>
                    <w:tl2br w:val="nil"/>
                    <w:tr2bl w:val="nil"/>
                  </w:tcBorders>
                  <w:vAlign w:val="center"/>
                </w:tcPr>
                <w:p w14:paraId="0973C3D2">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水资源利用效率要求</w:t>
                  </w:r>
                </w:p>
              </w:tc>
              <w:tc>
                <w:tcPr>
                  <w:tcW w:w="2000" w:type="pct"/>
                  <w:tcBorders>
                    <w:tl2br w:val="nil"/>
                    <w:tr2bl w:val="nil"/>
                  </w:tcBorders>
                  <w:vAlign w:val="center"/>
                </w:tcPr>
                <w:p w14:paraId="6B4CA4C4">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单位工业增加值新鲜水耗≤9(m³/万元)</w:t>
                  </w:r>
                </w:p>
              </w:tc>
              <w:tc>
                <w:tcPr>
                  <w:tcW w:w="1358" w:type="pct"/>
                  <w:tcBorders>
                    <w:tl2br w:val="nil"/>
                    <w:tr2bl w:val="nil"/>
                  </w:tcBorders>
                  <w:vAlign w:val="center"/>
                </w:tcPr>
                <w:p w14:paraId="01DAD5FB">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本项目满足水耗要求</w:t>
                  </w:r>
                </w:p>
              </w:tc>
              <w:tc>
                <w:tcPr>
                  <w:tcW w:w="636" w:type="pct"/>
                  <w:tcBorders>
                    <w:tl2br w:val="nil"/>
                    <w:tr2bl w:val="nil"/>
                  </w:tcBorders>
                  <w:vAlign w:val="center"/>
                </w:tcPr>
                <w:p w14:paraId="2C964507">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21DE4D0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continue"/>
                  <w:tcBorders>
                    <w:tl2br w:val="nil"/>
                    <w:tr2bl w:val="nil"/>
                  </w:tcBorders>
                  <w:vAlign w:val="center"/>
                </w:tcPr>
                <w:p w14:paraId="267DB9F2">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91" w:type="pct"/>
                  <w:tcBorders>
                    <w:tl2br w:val="nil"/>
                    <w:tr2bl w:val="nil"/>
                  </w:tcBorders>
                  <w:vAlign w:val="center"/>
                </w:tcPr>
                <w:p w14:paraId="2782D5CB">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土地资源利用要求</w:t>
                  </w:r>
                </w:p>
              </w:tc>
              <w:tc>
                <w:tcPr>
                  <w:tcW w:w="2000" w:type="pct"/>
                  <w:tcBorders>
                    <w:tl2br w:val="nil"/>
                    <w:tr2bl w:val="nil"/>
                  </w:tcBorders>
                  <w:vAlign w:val="center"/>
                </w:tcPr>
                <w:p w14:paraId="2BCD7D45">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满足《江西省建设用地控制指标》（2018年）中的相关要求</w:t>
                  </w:r>
                </w:p>
              </w:tc>
              <w:tc>
                <w:tcPr>
                  <w:tcW w:w="1358" w:type="pct"/>
                  <w:tcBorders>
                    <w:tl2br w:val="nil"/>
                    <w:tr2bl w:val="nil"/>
                  </w:tcBorders>
                  <w:vAlign w:val="center"/>
                </w:tcPr>
                <w:p w14:paraId="66535CB9">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满足《江西省建设用地控制指标》（2018年）中的相关要求</w:t>
                  </w:r>
                </w:p>
              </w:tc>
              <w:tc>
                <w:tcPr>
                  <w:tcW w:w="636" w:type="pct"/>
                  <w:tcBorders>
                    <w:tl2br w:val="nil"/>
                    <w:tr2bl w:val="nil"/>
                  </w:tcBorders>
                  <w:vAlign w:val="center"/>
                </w:tcPr>
                <w:p w14:paraId="7DAAA37D">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3EAB79A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28" w:type="dxa"/>
                  <w:left w:w="28" w:type="dxa"/>
                  <w:bottom w:w="28" w:type="dxa"/>
                  <w:right w:w="28" w:type="dxa"/>
                </w:tblCellMar>
              </w:tblPrEx>
              <w:trPr>
                <w:trHeight w:val="283" w:hRule="atLeast"/>
                <w:jc w:val="center"/>
              </w:trPr>
              <w:tc>
                <w:tcPr>
                  <w:tcW w:w="412" w:type="pct"/>
                  <w:vMerge w:val="continue"/>
                  <w:tcBorders>
                    <w:tl2br w:val="nil"/>
                    <w:tr2bl w:val="nil"/>
                  </w:tcBorders>
                  <w:vAlign w:val="center"/>
                </w:tcPr>
                <w:p w14:paraId="65F37E5D">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91" w:type="pct"/>
                  <w:tcBorders>
                    <w:tl2br w:val="nil"/>
                    <w:tr2bl w:val="nil"/>
                  </w:tcBorders>
                  <w:vAlign w:val="center"/>
                </w:tcPr>
                <w:p w14:paraId="6319F2C8">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能源</w:t>
                  </w:r>
                </w:p>
                <w:p w14:paraId="00EF72CA">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利用效</w:t>
                  </w:r>
                </w:p>
              </w:tc>
              <w:tc>
                <w:tcPr>
                  <w:tcW w:w="2000" w:type="pct"/>
                  <w:tcBorders>
                    <w:tl2br w:val="nil"/>
                    <w:tr2bl w:val="nil"/>
                  </w:tcBorders>
                  <w:vAlign w:val="center"/>
                </w:tcPr>
                <w:p w14:paraId="3A5EAAFE">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单位工业增加值能耗≤0.50(t标煤/万元)</w:t>
                  </w:r>
                </w:p>
              </w:tc>
              <w:tc>
                <w:tcPr>
                  <w:tcW w:w="1358" w:type="pct"/>
                  <w:tcBorders>
                    <w:tl2br w:val="nil"/>
                    <w:tr2bl w:val="nil"/>
                  </w:tcBorders>
                  <w:vAlign w:val="center"/>
                </w:tcPr>
                <w:p w14:paraId="4917963C">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本项目满足能耗要求</w:t>
                  </w:r>
                </w:p>
              </w:tc>
              <w:tc>
                <w:tcPr>
                  <w:tcW w:w="636" w:type="pct"/>
                  <w:tcBorders>
                    <w:tl2br w:val="nil"/>
                    <w:tr2bl w:val="nil"/>
                  </w:tcBorders>
                  <w:vAlign w:val="center"/>
                </w:tcPr>
                <w:p w14:paraId="2AE20456">
                  <w:pPr>
                    <w:pStyle w:val="68"/>
                    <w:keepNext w:val="0"/>
                    <w:keepLines w:val="0"/>
                    <w:pageBreakBefore w:val="0"/>
                    <w:widowControl w:val="0"/>
                    <w:kinsoku/>
                    <w:wordWrap/>
                    <w:overflowPunct/>
                    <w:topLinePunct w:val="0"/>
                    <w:autoSpaceDE/>
                    <w:autoSpaceDN/>
                    <w:bidi w:val="0"/>
                    <w:adjustRightInd w:val="0"/>
                    <w:snapToGrid w:val="0"/>
                    <w:spacing w:line="240" w:lineRule="auto"/>
                    <w:ind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bl>
          <w:p w14:paraId="62C1596A">
            <w:pPr>
              <w:spacing w:before="120" w:beforeLines="50"/>
              <w:ind w:firstLine="482"/>
              <w:rPr>
                <w:rFonts w:hint="eastAsia" w:eastAsia="宋体"/>
                <w:b/>
                <w:bCs/>
                <w:color w:val="000000" w:themeColor="text1"/>
                <w:lang w:eastAsia="zh-CN"/>
                <w14:textFill>
                  <w14:solidFill>
                    <w14:schemeClr w14:val="tx1"/>
                  </w14:solidFill>
                </w14:textFill>
              </w:rPr>
            </w:pPr>
            <w:r>
              <w:rPr>
                <w:rFonts w:hint="eastAsia" w:ascii="宋体" w:hAnsi="宋体" w:cs="宋体"/>
                <w:color w:val="000000" w:themeColor="text1"/>
                <w:kern w:val="0"/>
                <w:lang w:val="en-US" w:eastAsia="zh-CN" w:bidi="ar"/>
                <w14:textFill>
                  <w14:solidFill>
                    <w14:schemeClr w14:val="tx1"/>
                  </w14:solidFill>
                </w14:textFill>
              </w:rPr>
              <w:t>由上表可知，</w:t>
            </w:r>
            <w:r>
              <w:rPr>
                <w:rFonts w:hint="eastAsia" w:ascii="宋体" w:hAnsi="宋体" w:cs="宋体"/>
                <w:color w:val="000000" w:themeColor="text1"/>
                <w:kern w:val="0"/>
                <w:lang w:bidi="ar"/>
                <w14:textFill>
                  <w14:solidFill>
                    <w14:schemeClr w14:val="tx1"/>
                  </w14:solidFill>
                </w14:textFill>
              </w:rPr>
              <w:t>本项目不属于</w:t>
            </w:r>
            <w:r>
              <w:rPr>
                <w:rFonts w:hint="eastAsia" w:ascii="宋体" w:hAnsi="宋体" w:cs="宋体"/>
                <w:color w:val="000000" w:themeColor="text1"/>
                <w:kern w:val="0"/>
                <w:sz w:val="24"/>
                <w:szCs w:val="24"/>
                <w:lang w:bidi="ar"/>
                <w14:textFill>
                  <w14:solidFill>
                    <w14:schemeClr w14:val="tx1"/>
                  </w14:solidFill>
                </w14:textFill>
              </w:rPr>
              <w:t>《江西高安高新技术产业园区扩区调区规划环境影响报告书》</w:t>
            </w:r>
            <w:r>
              <w:rPr>
                <w:rFonts w:hint="eastAsia" w:ascii="宋体" w:hAnsi="宋体" w:cs="宋体"/>
                <w:color w:val="000000" w:themeColor="text1"/>
                <w:kern w:val="0"/>
                <w:sz w:val="24"/>
                <w:szCs w:val="24"/>
                <w:lang w:val="en-US" w:eastAsia="zh-CN" w:bidi="ar"/>
                <w14:textFill>
                  <w14:solidFill>
                    <w14:schemeClr w14:val="tx1"/>
                  </w14:solidFill>
                </w14:textFill>
              </w:rPr>
              <w:t>中的</w:t>
            </w:r>
            <w:r>
              <w:rPr>
                <w:rFonts w:hint="eastAsia" w:ascii="宋体" w:hAnsi="宋体" w:cs="宋体"/>
                <w:color w:val="000000" w:themeColor="text1"/>
                <w:kern w:val="0"/>
                <w:lang w:bidi="ar"/>
                <w14:textFill>
                  <w14:solidFill>
                    <w14:schemeClr w14:val="tx1"/>
                  </w14:solidFill>
                </w14:textFill>
              </w:rPr>
              <w:t>生态环境准入清单内禁止入园企业，符合</w:t>
            </w:r>
            <w:r>
              <w:rPr>
                <w:rFonts w:hint="eastAsia" w:ascii="宋体" w:hAnsi="宋体" w:cs="宋体"/>
                <w:color w:val="000000" w:themeColor="text1"/>
                <w:kern w:val="0"/>
                <w:sz w:val="24"/>
                <w:szCs w:val="24"/>
                <w:lang w:bidi="ar"/>
                <w14:textFill>
                  <w14:solidFill>
                    <w14:schemeClr w14:val="tx1"/>
                  </w14:solidFill>
                </w14:textFill>
              </w:rPr>
              <w:t>江西高安高新技术产业园区扩区调区规划</w:t>
            </w:r>
            <w:r>
              <w:rPr>
                <w:rFonts w:hint="eastAsia" w:ascii="宋体" w:hAnsi="宋体" w:cs="宋体"/>
                <w:color w:val="000000" w:themeColor="text1"/>
                <w:kern w:val="0"/>
                <w:sz w:val="24"/>
                <w:szCs w:val="24"/>
                <w:lang w:val="en-US" w:eastAsia="zh-CN" w:bidi="ar"/>
                <w14:textFill>
                  <w14:solidFill>
                    <w14:schemeClr w14:val="tx1"/>
                  </w14:solidFill>
                </w14:textFill>
              </w:rPr>
              <w:t>环评</w:t>
            </w:r>
            <w:r>
              <w:rPr>
                <w:rFonts w:hint="eastAsia" w:ascii="宋体" w:hAnsi="宋体" w:cs="宋体"/>
                <w:color w:val="000000" w:themeColor="text1"/>
                <w:kern w:val="0"/>
                <w:lang w:bidi="ar"/>
                <w14:textFill>
                  <w14:solidFill>
                    <w14:schemeClr w14:val="tx1"/>
                  </w14:solidFill>
                </w14:textFill>
              </w:rPr>
              <w:t>要求</w:t>
            </w:r>
            <w:r>
              <w:rPr>
                <w:rFonts w:hint="eastAsia" w:ascii="宋体" w:hAnsi="宋体" w:cs="宋体"/>
                <w:color w:val="000000" w:themeColor="text1"/>
                <w:kern w:val="0"/>
                <w:lang w:eastAsia="zh-CN" w:bidi="ar"/>
                <w14:textFill>
                  <w14:solidFill>
                    <w14:schemeClr w14:val="tx1"/>
                  </w14:solidFill>
                </w14:textFill>
              </w:rPr>
              <w:t>。</w:t>
            </w:r>
          </w:p>
          <w:p w14:paraId="64A4495B">
            <w:pPr>
              <w:numPr>
                <w:ilvl w:val="0"/>
                <w:numId w:val="15"/>
              </w:numPr>
              <w:spacing w:before="120" w:beforeLines="50"/>
              <w:ind w:firstLine="482"/>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与《江西省生态环境厅关于江西高安高新技术产业园区扩区调区规划环境影响报告书审查意见的函》（赣环环评函〔</w:t>
            </w:r>
            <w:r>
              <w:rPr>
                <w:b/>
                <w:bCs/>
                <w:color w:val="000000" w:themeColor="text1"/>
                <w14:textFill>
                  <w14:solidFill>
                    <w14:schemeClr w14:val="tx1"/>
                  </w14:solidFill>
                </w14:textFill>
              </w:rPr>
              <w:t>2024</w:t>
            </w:r>
            <w:r>
              <w:rPr>
                <w:rFonts w:hint="eastAsia"/>
                <w:b/>
                <w:bCs/>
                <w:color w:val="000000" w:themeColor="text1"/>
                <w14:textFill>
                  <w14:solidFill>
                    <w14:schemeClr w14:val="tx1"/>
                  </w14:solidFill>
                </w14:textFill>
              </w:rPr>
              <w:t>〕</w:t>
            </w:r>
            <w:r>
              <w:rPr>
                <w:b/>
                <w:bCs/>
                <w:color w:val="000000" w:themeColor="text1"/>
                <w14:textFill>
                  <w14:solidFill>
                    <w14:schemeClr w14:val="tx1"/>
                  </w14:solidFill>
                </w14:textFill>
              </w:rPr>
              <w:t>69</w:t>
            </w:r>
            <w:r>
              <w:rPr>
                <w:rFonts w:hint="eastAsia"/>
                <w:b/>
                <w:bCs/>
                <w:color w:val="000000" w:themeColor="text1"/>
                <w14:textFill>
                  <w14:solidFill>
                    <w14:schemeClr w14:val="tx1"/>
                  </w14:solidFill>
                </w14:textFill>
              </w:rPr>
              <w:t>号）相符性分析</w:t>
            </w:r>
          </w:p>
          <w:p w14:paraId="3692B396">
            <w:pPr>
              <w:keepNext w:val="0"/>
              <w:keepLines w:val="0"/>
              <w:pageBreakBefore w:val="0"/>
              <w:widowControl w:val="0"/>
              <w:numPr>
                <w:ilvl w:val="0"/>
                <w:numId w:val="0"/>
              </w:numPr>
              <w:kinsoku/>
              <w:wordWrap/>
              <w:overflowPunct/>
              <w:topLinePunct w:val="0"/>
              <w:autoSpaceDE/>
              <w:autoSpaceDN/>
              <w:bidi w:val="0"/>
              <w:adjustRightInd w:val="0"/>
              <w:snapToGrid w:val="0"/>
              <w:spacing w:before="120" w:beforeLines="50" w:line="240" w:lineRule="auto"/>
              <w:textAlignment w:val="auto"/>
              <w:rPr>
                <w:rFonts w:hint="eastAsia"/>
                <w:b/>
                <w:bCs/>
                <w:color w:val="000000" w:themeColor="text1"/>
                <w14:textFill>
                  <w14:solidFill>
                    <w14:schemeClr w14:val="tx1"/>
                  </w14:solidFill>
                </w14:textFill>
              </w:rPr>
            </w:pPr>
          </w:p>
          <w:p w14:paraId="64B1F166">
            <w:pPr>
              <w:pStyle w:val="57"/>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与赣环环评函〔2024〕69号）符合性</w:t>
            </w:r>
            <w:r>
              <w:rPr>
                <w:rFonts w:hint="eastAsia"/>
                <w:color w:val="000000" w:themeColor="text1"/>
                <w:lang w:val="en-US" w:eastAsia="zh-CN"/>
                <w14:textFill>
                  <w14:solidFill>
                    <w14:schemeClr w14:val="tx1"/>
                  </w14:solidFill>
                </w14:textFill>
              </w:rPr>
              <w:t>分析</w:t>
            </w:r>
          </w:p>
          <w:tbl>
            <w:tblPr>
              <w:tblStyle w:val="3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8"/>
              <w:gridCol w:w="1999"/>
              <w:gridCol w:w="1210"/>
            </w:tblGrid>
            <w:tr w14:paraId="2798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7029A95A">
                  <w:pPr>
                    <w:pStyle w:val="68"/>
                    <w:keepNext w:val="0"/>
                    <w:keepLines w:val="0"/>
                    <w:pageBreakBefore w:val="0"/>
                    <w:kinsoku/>
                    <w:wordWrap/>
                    <w:overflowPunct/>
                    <w:topLinePunct w:val="0"/>
                    <w:autoSpaceDE/>
                    <w:autoSpaceDN/>
                    <w:bidi w:val="0"/>
                    <w:adjustRightInd w:val="0"/>
                    <w:snapToGrid w:val="0"/>
                    <w:ind w:firstLineChars="0"/>
                    <w:jc w:val="center"/>
                    <w:textAlignment w:val="auto"/>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审查意见</w:t>
                  </w:r>
                </w:p>
              </w:tc>
              <w:tc>
                <w:tcPr>
                  <w:tcW w:w="1282" w:type="pct"/>
                  <w:vAlign w:val="center"/>
                </w:tcPr>
                <w:p w14:paraId="2F339EF8">
                  <w:pPr>
                    <w:pStyle w:val="68"/>
                    <w:keepNext w:val="0"/>
                    <w:keepLines w:val="0"/>
                    <w:pageBreakBefore w:val="0"/>
                    <w:kinsoku/>
                    <w:wordWrap/>
                    <w:overflowPunct/>
                    <w:topLinePunct w:val="0"/>
                    <w:autoSpaceDE/>
                    <w:autoSpaceDN/>
                    <w:bidi w:val="0"/>
                    <w:adjustRightInd w:val="0"/>
                    <w:snapToGrid w:val="0"/>
                    <w:ind w:firstLineChars="0"/>
                    <w:jc w:val="center"/>
                    <w:textAlignment w:val="auto"/>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本项目情况</w:t>
                  </w:r>
                </w:p>
              </w:tc>
              <w:tc>
                <w:tcPr>
                  <w:tcW w:w="775" w:type="pct"/>
                  <w:vAlign w:val="center"/>
                </w:tcPr>
                <w:p w14:paraId="03039FA4">
                  <w:pPr>
                    <w:pStyle w:val="68"/>
                    <w:keepNext w:val="0"/>
                    <w:keepLines w:val="0"/>
                    <w:pageBreakBefore w:val="0"/>
                    <w:kinsoku/>
                    <w:wordWrap/>
                    <w:overflowPunct/>
                    <w:topLinePunct w:val="0"/>
                    <w:autoSpaceDE/>
                    <w:autoSpaceDN/>
                    <w:bidi w:val="0"/>
                    <w:adjustRightInd w:val="0"/>
                    <w:snapToGrid w:val="0"/>
                    <w:ind w:firstLineChars="0"/>
                    <w:jc w:val="center"/>
                    <w:textAlignment w:val="auto"/>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是否相符</w:t>
                  </w:r>
                </w:p>
              </w:tc>
            </w:tr>
            <w:tr w14:paraId="02B27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vAlign w:val="center"/>
                </w:tcPr>
                <w:p w14:paraId="7CB2D699">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规划优化调整和实施建议</w:t>
                  </w:r>
                </w:p>
              </w:tc>
            </w:tr>
            <w:tr w14:paraId="25315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0392E2E0">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（一）新世纪产业园祥符收费站组团内涉及国家二级生态公益林，应符合用林管理要求，相关要求未落实之前，建议不开发利用。</w:t>
                  </w:r>
                </w:p>
              </w:tc>
              <w:tc>
                <w:tcPr>
                  <w:tcW w:w="1282" w:type="pct"/>
                  <w:vAlign w:val="center"/>
                </w:tcPr>
                <w:p w14:paraId="161D116B">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14:textFill>
                        <w14:solidFill>
                          <w14:schemeClr w14:val="tx1"/>
                        </w14:solidFill>
                      </w14:textFill>
                    </w:rPr>
                    <w:t>用地性质是工业用地</w:t>
                  </w:r>
                  <w:r>
                    <w:rPr>
                      <w:rFonts w:hint="eastAsia"/>
                      <w:color w:val="000000" w:themeColor="text1"/>
                      <w:sz w:val="21"/>
                      <w:szCs w:val="21"/>
                      <w:lang w:eastAsia="zh-CN"/>
                      <w14:textFill>
                        <w14:solidFill>
                          <w14:schemeClr w14:val="tx1"/>
                        </w14:solidFill>
                      </w14:textFill>
                    </w:rPr>
                    <w:t>。</w:t>
                  </w:r>
                </w:p>
              </w:tc>
              <w:tc>
                <w:tcPr>
                  <w:tcW w:w="775" w:type="pct"/>
                  <w:vAlign w:val="center"/>
                </w:tcPr>
                <w:p w14:paraId="63694B3C">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52EA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42" w:type="pct"/>
                  <w:vAlign w:val="center"/>
                </w:tcPr>
                <w:p w14:paraId="450E1EE4">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新世纪产业园工业园核心组团属于高安市中心城区，位于高安市主导风向的上风向，在引进项目过程中应充分考虑对居民区等敏感目标的影响，慎重引进大气污染型企业。针对不符合产业定位的化工、皮革、冶炼等企业，不得新增污染物排放。</w:t>
                  </w:r>
                </w:p>
              </w:tc>
              <w:tc>
                <w:tcPr>
                  <w:tcW w:w="1282" w:type="pct"/>
                  <w:vAlign w:val="center"/>
                </w:tcPr>
                <w:p w14:paraId="12EC6324">
                  <w:pPr>
                    <w:keepNext w:val="0"/>
                    <w:keepLines w:val="0"/>
                    <w:pageBreakBefore w:val="0"/>
                    <w:widowControl/>
                    <w:kinsoku/>
                    <w:wordWrap/>
                    <w:overflowPunct/>
                    <w:topLinePunct w:val="0"/>
                    <w:autoSpaceDE/>
                    <w:autoSpaceDN/>
                    <w:bidi w:val="0"/>
                    <w:adjustRightInd w:val="0"/>
                    <w:snapToGrid w:val="0"/>
                    <w:spacing w:line="360" w:lineRule="exact"/>
                    <w:ind w:firstLine="0"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kern w:val="0"/>
                      <w:sz w:val="21"/>
                      <w:szCs w:val="21"/>
                      <w14:textFill>
                        <w14:solidFill>
                          <w14:schemeClr w14:val="tx1"/>
                        </w14:solidFill>
                      </w14:textFill>
                    </w:rPr>
                    <w:t>本项目属于</w:t>
                  </w:r>
                  <w:r>
                    <w:rPr>
                      <w:rFonts w:hint="eastAsia"/>
                      <w:color w:val="000000" w:themeColor="text1"/>
                      <w:sz w:val="21"/>
                      <w:szCs w:val="21"/>
                      <w14:textFill>
                        <w14:solidFill>
                          <w14:schemeClr w14:val="tx1"/>
                        </w14:solidFill>
                      </w14:textFill>
                    </w:rPr>
                    <w:t>C2439其他工艺美术及礼仪用品制造</w:t>
                  </w:r>
                  <w:r>
                    <w:rPr>
                      <w:rFonts w:hint="eastAsia"/>
                      <w:color w:val="000000" w:themeColor="text1"/>
                      <w:kern w:val="0"/>
                      <w:sz w:val="21"/>
                      <w:szCs w:val="21"/>
                      <w14:textFill>
                        <w14:solidFill>
                          <w14:schemeClr w14:val="tx1"/>
                        </w14:solidFill>
                      </w14:textFill>
                    </w:rPr>
                    <w:t>，不属于化工、皮革、冶炼等企业</w:t>
                  </w:r>
                  <w:r>
                    <w:rPr>
                      <w:rFonts w:hint="eastAsia"/>
                      <w:color w:val="000000" w:themeColor="text1"/>
                      <w:kern w:val="0"/>
                      <w:sz w:val="21"/>
                      <w:szCs w:val="21"/>
                      <w:lang w:eastAsia="zh-CN"/>
                      <w14:textFill>
                        <w14:solidFill>
                          <w14:schemeClr w14:val="tx1"/>
                        </w14:solidFill>
                      </w14:textFill>
                    </w:rPr>
                    <w:t>。</w:t>
                  </w:r>
                </w:p>
              </w:tc>
              <w:tc>
                <w:tcPr>
                  <w:tcW w:w="775" w:type="pct"/>
                  <w:vAlign w:val="center"/>
                </w:tcPr>
                <w:p w14:paraId="097A446E">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08C3A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653E792D">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（三）建筑陶瓷产业园规划布局建筑陶瓷、新能源产业，废气污染物排放量较大，要科学确定防护距离，合理设置缓冲隔离带或绿化屏障。</w:t>
                  </w:r>
                </w:p>
              </w:tc>
              <w:tc>
                <w:tcPr>
                  <w:tcW w:w="1282" w:type="pct"/>
                  <w:vAlign w:val="center"/>
                </w:tcPr>
                <w:p w14:paraId="623F54BD">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本项目位于</w:t>
                  </w:r>
                  <w:r>
                    <w:rPr>
                      <w:color w:val="000000" w:themeColor="text1"/>
                      <w:sz w:val="21"/>
                      <w:szCs w:val="21"/>
                      <w14:textFill>
                        <w14:solidFill>
                          <w14:schemeClr w14:val="tx1"/>
                        </w14:solidFill>
                      </w14:textFill>
                    </w:rPr>
                    <w:t>新世纪产业园</w:t>
                  </w:r>
                  <w:r>
                    <w:rPr>
                      <w:rFonts w:hint="eastAsia"/>
                      <w:color w:val="000000" w:themeColor="text1"/>
                      <w:sz w:val="21"/>
                      <w:szCs w:val="21"/>
                      <w:lang w:eastAsia="zh-CN"/>
                      <w14:textFill>
                        <w14:solidFill>
                          <w14:schemeClr w14:val="tx1"/>
                        </w14:solidFill>
                      </w14:textFill>
                    </w:rPr>
                    <w:t>。</w:t>
                  </w:r>
                </w:p>
              </w:tc>
              <w:tc>
                <w:tcPr>
                  <w:tcW w:w="775" w:type="pct"/>
                  <w:vAlign w:val="center"/>
                </w:tcPr>
                <w:p w14:paraId="1B155E24">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2A04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705D8239">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（四）针对大港河氟化物因子超标问题，尽快推进高安市大港河水质净化工程及江西省建筑陶瓷产业基地污水处理厂入河排污口迁移工作。</w:t>
                  </w:r>
                </w:p>
              </w:tc>
              <w:tc>
                <w:tcPr>
                  <w:tcW w:w="1282" w:type="pct"/>
                  <w:vAlign w:val="center"/>
                </w:tcPr>
                <w:p w14:paraId="31169735">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本项目位于</w:t>
                  </w:r>
                  <w:r>
                    <w:rPr>
                      <w:color w:val="000000" w:themeColor="text1"/>
                      <w:sz w:val="21"/>
                      <w:szCs w:val="21"/>
                      <w14:textFill>
                        <w14:solidFill>
                          <w14:schemeClr w14:val="tx1"/>
                        </w14:solidFill>
                      </w14:textFill>
                    </w:rPr>
                    <w:t>新世纪产业园</w:t>
                  </w:r>
                  <w:r>
                    <w:rPr>
                      <w:rFonts w:hint="eastAsia"/>
                      <w:color w:val="000000" w:themeColor="text1"/>
                      <w:sz w:val="21"/>
                      <w:szCs w:val="21"/>
                      <w:lang w:eastAsia="zh-CN"/>
                      <w14:textFill>
                        <w14:solidFill>
                          <w14:schemeClr w14:val="tx1"/>
                        </w14:solidFill>
                      </w14:textFill>
                    </w:rPr>
                    <w:t>。</w:t>
                  </w:r>
                </w:p>
              </w:tc>
              <w:tc>
                <w:tcPr>
                  <w:tcW w:w="775" w:type="pct"/>
                  <w:vAlign w:val="center"/>
                </w:tcPr>
                <w:p w14:paraId="41AC9815">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46495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33221623">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（五）合理规划碳酸锂等新能源产业发展规模并配套固体废物处置设施建设。</w:t>
                  </w:r>
                </w:p>
              </w:tc>
              <w:tc>
                <w:tcPr>
                  <w:tcW w:w="1282" w:type="pct"/>
                  <w:vAlign w:val="center"/>
                </w:tcPr>
                <w:p w14:paraId="608322CC">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不涉及</w:t>
                  </w:r>
                </w:p>
              </w:tc>
              <w:tc>
                <w:tcPr>
                  <w:tcW w:w="775" w:type="pct"/>
                  <w:vAlign w:val="center"/>
                </w:tcPr>
                <w:p w14:paraId="72BBABA2">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4ACCB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vAlign w:val="center"/>
                </w:tcPr>
                <w:p w14:paraId="464C0F1F">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规划实施过程中的环境管理意见</w:t>
                  </w:r>
                </w:p>
              </w:tc>
            </w:tr>
            <w:tr w14:paraId="2117E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118ACA8B">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下阶段入园项目的环评重点应放在敏感目标环境空气影响分析、防护距离设置、地表水影响分析、规划相符性分析、环境风险影响分析及污染治理措施可行性论证等方面，对符合规划环评环境管控要求和生态环境准入清单的具体建设项目，应将规划环评结论作为重要依据。当规划环评中资源、环境现状调查与评价结果仍具有时效性时，规划所包含的建设项目环评中的现状调查与评价内容可适当简化。</w:t>
                  </w:r>
                </w:p>
              </w:tc>
              <w:tc>
                <w:tcPr>
                  <w:tcW w:w="1282" w:type="pct"/>
                  <w:vAlign w:val="center"/>
                </w:tcPr>
                <w:p w14:paraId="16455360">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75" w:type="pct"/>
                  <w:vAlign w:val="center"/>
                </w:tcPr>
                <w:p w14:paraId="136DB3D4">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08A93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42101771">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（二）园区管理部门应制定环境管理计划，建立有效的环境监控体系，实现园区环境目标。及时开展规划实施后不同阶段的环境影响跟踪评价，掌握规划实施后环境变化趋势。</w:t>
                  </w:r>
                </w:p>
              </w:tc>
              <w:tc>
                <w:tcPr>
                  <w:tcW w:w="1282" w:type="pct"/>
                  <w:vAlign w:val="center"/>
                </w:tcPr>
                <w:p w14:paraId="3108A515">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75" w:type="pct"/>
                  <w:vAlign w:val="center"/>
                </w:tcPr>
                <w:p w14:paraId="32753924">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6AEBF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2" w:type="pct"/>
                  <w:vAlign w:val="center"/>
                </w:tcPr>
                <w:p w14:paraId="7F17F585">
                  <w:pPr>
                    <w:pStyle w:val="68"/>
                    <w:keepNext w:val="0"/>
                    <w:keepLines w:val="0"/>
                    <w:pageBreakBefore w:val="0"/>
                    <w:kinsoku/>
                    <w:wordWrap/>
                    <w:overflowPunct/>
                    <w:topLinePunct w:val="0"/>
                    <w:autoSpaceDE/>
                    <w:autoSpaceDN/>
                    <w:bidi w:val="0"/>
                    <w:adjustRightInd w:val="0"/>
                    <w:snapToGrid w:val="0"/>
                    <w:ind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（三））高安市政府应制定污染物总量年度减排计划并严格执行，全面推进污染治理，积极优化产业结构，鼓励支持低碳产业发展，实现总量控制目标。</w:t>
                  </w:r>
                </w:p>
              </w:tc>
              <w:tc>
                <w:tcPr>
                  <w:tcW w:w="1282" w:type="pct"/>
                  <w:vAlign w:val="center"/>
                </w:tcPr>
                <w:p w14:paraId="5AD2A8BA">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775" w:type="pct"/>
                  <w:vAlign w:val="center"/>
                </w:tcPr>
                <w:p w14:paraId="3CADD463">
                  <w:pPr>
                    <w:pStyle w:val="68"/>
                    <w:keepNext w:val="0"/>
                    <w:keepLines w:val="0"/>
                    <w:pageBreakBefore w:val="0"/>
                    <w:kinsoku/>
                    <w:wordWrap/>
                    <w:overflowPunct/>
                    <w:topLinePunct w:val="0"/>
                    <w:autoSpaceDE/>
                    <w:autoSpaceDN/>
                    <w:bidi w:val="0"/>
                    <w:adjustRightInd w:val="0"/>
                    <w:snapToGrid w:val="0"/>
                    <w:ind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bl>
          <w:p w14:paraId="34DCE42C">
            <w:pPr>
              <w:rPr>
                <w:color w:val="000000" w:themeColor="text1"/>
                <w14:textFill>
                  <w14:solidFill>
                    <w14:schemeClr w14:val="tx1"/>
                  </w14:solidFill>
                </w14:textFill>
              </w:rPr>
            </w:pPr>
          </w:p>
          <w:p w14:paraId="30CF5AC8">
            <w:pPr>
              <w:ind w:left="0" w:leftChars="0" w:firstLine="0" w:firstLineChars="0"/>
              <w:rPr>
                <w:color w:val="000000" w:themeColor="text1"/>
                <w14:textFill>
                  <w14:solidFill>
                    <w14:schemeClr w14:val="tx1"/>
                  </w14:solidFill>
                </w14:textFill>
              </w:rPr>
            </w:pPr>
          </w:p>
        </w:tc>
      </w:tr>
      <w:tr w14:paraId="20462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12" w:type="dxa"/>
            <w:tcBorders>
              <w:tl2br w:val="nil"/>
              <w:tr2bl w:val="nil"/>
            </w:tcBorders>
            <w:vAlign w:val="center"/>
          </w:tcPr>
          <w:p w14:paraId="42B6A17C">
            <w:pPr>
              <w:autoSpaceDE w:val="0"/>
              <w:autoSpaceDN w:val="0"/>
              <w:spacing w:line="240" w:lineRule="auto"/>
              <w:ind w:firstLine="0" w:firstLine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其他符合性分析</w:t>
            </w:r>
          </w:p>
        </w:tc>
        <w:tc>
          <w:tcPr>
            <w:tcW w:w="7935" w:type="dxa"/>
            <w:gridSpan w:val="3"/>
            <w:tcBorders>
              <w:tl2br w:val="nil"/>
              <w:tr2bl w:val="nil"/>
            </w:tcBorders>
            <w:vAlign w:val="center"/>
          </w:tcPr>
          <w:p w14:paraId="2BF27E46">
            <w:pPr>
              <w:ind w:left="0" w:leftChars="0" w:firstLine="0" w:firstLineChars="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一</w:t>
            </w:r>
            <w:r>
              <w:rPr>
                <w:b/>
                <w:bCs/>
                <w:color w:val="000000" w:themeColor="text1"/>
                <w14:textFill>
                  <w14:solidFill>
                    <w14:schemeClr w14:val="tx1"/>
                  </w14:solidFill>
                </w14:textFill>
              </w:rPr>
              <w:t>、产业政策相符性分析</w:t>
            </w:r>
          </w:p>
          <w:p w14:paraId="10E3043F">
            <w:pPr>
              <w:adjustRightInd/>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根据《国民经济行业分类》（GB/T4754-2017），本项目属于</w:t>
            </w:r>
            <w:r>
              <w:rPr>
                <w:color w:val="000000" w:themeColor="text1"/>
                <w14:textFill>
                  <w14:solidFill>
                    <w14:schemeClr w14:val="tx1"/>
                  </w14:solidFill>
                </w14:textFill>
              </w:rPr>
              <w:t>C</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2439</w:t>
            </w:r>
            <w:r>
              <w:rPr>
                <w:rFonts w:hint="eastAsia"/>
                <w:color w:val="000000" w:themeColor="text1"/>
                <w14:textFill>
                  <w14:solidFill>
                    <w14:schemeClr w14:val="tx1"/>
                  </w14:solidFill>
                </w14:textFill>
              </w:rPr>
              <w:t>其他工艺美术及礼仪用品制造；对照《产业结构调整指导目录（2024年本）》，本项目不属于鼓励类、限制类和淘汰类，视为允许类；且该项目已在高安市发展和改革委员会备案（项目统一代码：</w:t>
            </w:r>
            <w:r>
              <w:rPr>
                <w:color w:val="000000" w:themeColor="text1"/>
                <w14:textFill>
                  <w14:solidFill>
                    <w14:schemeClr w14:val="tx1"/>
                  </w14:solidFill>
                </w14:textFill>
              </w:rPr>
              <w:t>2503-360983-04-05-864561</w:t>
            </w:r>
            <w:r>
              <w:rPr>
                <w:rFonts w:hint="eastAsia"/>
                <w:color w:val="000000" w:themeColor="text1"/>
                <w14:textFill>
                  <w14:solidFill>
                    <w14:schemeClr w14:val="tx1"/>
                  </w14:solidFill>
                </w14:textFill>
              </w:rPr>
              <w:t>），因此项目符合国家和地方产业政策要求。</w:t>
            </w:r>
          </w:p>
          <w:p w14:paraId="079E9F48">
            <w:pPr>
              <w:ind w:left="0" w:leftChars="0" w:firstLine="0" w:firstLineChars="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二、选址可行性分析</w:t>
            </w:r>
          </w:p>
          <w:p w14:paraId="457D9B6C">
            <w:pPr>
              <w:ind w:firstLine="482"/>
              <w:rPr>
                <w:rFonts w:hint="default"/>
                <w:b/>
                <w:bCs/>
                <w:color w:val="000000" w:themeColor="text1"/>
                <w:lang w:val="en-US" w:eastAsia="zh-CN"/>
                <w14:textFill>
                  <w14:solidFill>
                    <w14:schemeClr w14:val="tx1"/>
                  </w14:solidFill>
                </w14:textFill>
              </w:rPr>
            </w:pPr>
            <w:r>
              <w:rPr>
                <w:color w:val="000000" w:themeColor="text1"/>
                <w:spacing w:val="-6"/>
                <w:kern w:val="0"/>
                <w:sz w:val="24"/>
                <w:szCs w:val="24"/>
                <w:highlight w:val="none"/>
                <w14:textFill>
                  <w14:solidFill>
                    <w14:schemeClr w14:val="tx1"/>
                  </w14:solidFill>
                </w14:textFill>
              </w:rPr>
              <w:t>项目</w:t>
            </w:r>
            <w:r>
              <w:rPr>
                <w:rFonts w:hint="eastAsia"/>
                <w:color w:val="000000" w:themeColor="text1"/>
                <w:spacing w:val="-6"/>
                <w:kern w:val="0"/>
                <w:sz w:val="24"/>
                <w:szCs w:val="24"/>
                <w:highlight w:val="none"/>
                <w:lang w:val="en-US" w:eastAsia="zh-CN"/>
                <w14:textFill>
                  <w14:solidFill>
                    <w14:schemeClr w14:val="tx1"/>
                  </w14:solidFill>
                </w14:textFill>
              </w:rPr>
              <w:t>选址于</w:t>
            </w:r>
            <w:r>
              <w:rPr>
                <w:rFonts w:hint="eastAsia"/>
                <w:color w:val="000000" w:themeColor="text1"/>
                <w:lang w:val="en-US" w:eastAsia="zh-CN"/>
                <w14:textFill>
                  <w14:solidFill>
                    <w14:schemeClr w14:val="tx1"/>
                  </w14:solidFill>
                </w14:textFill>
              </w:rPr>
              <w:t>江西高安高新技术产业园区新世纪产业园</w:t>
            </w:r>
            <w:r>
              <w:rPr>
                <w:rFonts w:hint="eastAsia"/>
                <w:color w:val="000000" w:themeColor="text1"/>
                <w:spacing w:val="-6"/>
                <w:kern w:val="0"/>
                <w:sz w:val="24"/>
                <w:szCs w:val="24"/>
                <w:highlight w:val="none"/>
                <w:lang w:eastAsia="zh-CN"/>
                <w14:textFill>
                  <w14:solidFill>
                    <w14:schemeClr w14:val="tx1"/>
                  </w14:solidFill>
                </w14:textFill>
              </w:rPr>
              <w:t>，</w:t>
            </w:r>
            <w:r>
              <w:rPr>
                <w:color w:val="000000" w:themeColor="text1"/>
                <w:spacing w:val="-6"/>
                <w:kern w:val="0"/>
                <w:sz w:val="24"/>
                <w:szCs w:val="24"/>
                <w:highlight w:val="none"/>
                <w14:textFill>
                  <w14:solidFill>
                    <w14:schemeClr w14:val="tx1"/>
                  </w14:solidFill>
                </w14:textFill>
              </w:rPr>
              <w:t>项目不在当地饮用水源、风景名胜区、自然保护区等生态保护区内，满足生态保护红线要求</w:t>
            </w:r>
            <w:r>
              <w:rPr>
                <w:rFonts w:hint="eastAsia"/>
                <w:color w:val="000000" w:themeColor="text1"/>
                <w:spacing w:val="-6"/>
                <w:kern w:val="0"/>
                <w:sz w:val="24"/>
                <w:szCs w:val="24"/>
                <w:highlight w:val="none"/>
                <w:lang w:eastAsia="zh-CN"/>
                <w14:textFill>
                  <w14:solidFill>
                    <w14:schemeClr w14:val="tx1"/>
                  </w14:solidFill>
                </w14:textFill>
              </w:rPr>
              <w:t>（</w:t>
            </w:r>
            <w:r>
              <w:rPr>
                <w:rFonts w:hint="eastAsia"/>
                <w:color w:val="000000" w:themeColor="text1"/>
                <w:spacing w:val="-6"/>
                <w:kern w:val="0"/>
                <w:sz w:val="24"/>
                <w:szCs w:val="24"/>
                <w:highlight w:val="none"/>
                <w:lang w:val="en-US" w:eastAsia="zh-CN"/>
                <w14:textFill>
                  <w14:solidFill>
                    <w14:schemeClr w14:val="tx1"/>
                  </w14:solidFill>
                </w14:textFill>
              </w:rPr>
              <w:t>见附图九</w:t>
            </w:r>
            <w:r>
              <w:rPr>
                <w:rFonts w:hint="eastAsia"/>
                <w:color w:val="000000" w:themeColor="text1"/>
                <w:spacing w:val="-6"/>
                <w:kern w:val="0"/>
                <w:sz w:val="24"/>
                <w:szCs w:val="24"/>
                <w:highlight w:val="none"/>
                <w:lang w:eastAsia="zh-CN"/>
                <w14:textFill>
                  <w14:solidFill>
                    <w14:schemeClr w14:val="tx1"/>
                  </w14:solidFill>
                </w14:textFill>
              </w:rPr>
              <w:t>）。</w:t>
            </w:r>
            <w:r>
              <w:rPr>
                <w:rFonts w:hint="eastAsia"/>
                <w:color w:val="000000" w:themeColor="text1"/>
                <w:spacing w:val="-6"/>
                <w:kern w:val="0"/>
                <w:sz w:val="24"/>
                <w:szCs w:val="24"/>
                <w:highlight w:val="none"/>
                <w:lang w:val="en-US" w:eastAsia="zh-CN"/>
                <w14:textFill>
                  <w14:solidFill>
                    <w14:schemeClr w14:val="tx1"/>
                  </w14:solidFill>
                </w14:textFill>
              </w:rPr>
              <w:t>项目用地性质为工业用地，符合</w:t>
            </w:r>
            <w:r>
              <w:rPr>
                <w:rFonts w:hint="eastAsia" w:ascii="宋体" w:hAnsi="宋体" w:cs="宋体"/>
                <w:color w:val="000000" w:themeColor="text1"/>
                <w:kern w:val="0"/>
                <w:sz w:val="24"/>
                <w:szCs w:val="24"/>
                <w:lang w:bidi="ar"/>
                <w14:textFill>
                  <w14:solidFill>
                    <w14:schemeClr w14:val="tx1"/>
                  </w14:solidFill>
                </w14:textFill>
              </w:rPr>
              <w:t>江西高安高新技术产业园区</w:t>
            </w:r>
            <w:r>
              <w:rPr>
                <w:color w:val="000000" w:themeColor="text1"/>
                <w:spacing w:val="-6"/>
                <w:kern w:val="0"/>
                <w:sz w:val="24"/>
                <w:szCs w:val="24"/>
                <w:highlight w:val="none"/>
                <w14:textFill>
                  <w14:solidFill>
                    <w14:schemeClr w14:val="tx1"/>
                  </w14:solidFill>
                </w14:textFill>
              </w:rPr>
              <w:t>规划</w:t>
            </w:r>
            <w:r>
              <w:rPr>
                <w:rFonts w:hint="eastAsia"/>
                <w:color w:val="000000" w:themeColor="text1"/>
                <w:spacing w:val="-6"/>
                <w:kern w:val="0"/>
                <w:sz w:val="24"/>
                <w:szCs w:val="24"/>
                <w:highlight w:val="none"/>
                <w:lang w:val="en-US" w:eastAsia="zh-CN"/>
                <w14:textFill>
                  <w14:solidFill>
                    <w14:schemeClr w14:val="tx1"/>
                  </w14:solidFill>
                </w14:textFill>
              </w:rPr>
              <w:t>及规划环评</w:t>
            </w:r>
            <w:r>
              <w:rPr>
                <w:color w:val="000000" w:themeColor="text1"/>
                <w:spacing w:val="-6"/>
                <w:kern w:val="0"/>
                <w:sz w:val="24"/>
                <w:szCs w:val="24"/>
                <w:highlight w:val="none"/>
                <w14:textFill>
                  <w14:solidFill>
                    <w14:schemeClr w14:val="tx1"/>
                  </w14:solidFill>
                </w14:textFill>
              </w:rPr>
              <w:t>审查意见</w:t>
            </w:r>
            <w:r>
              <w:rPr>
                <w:rFonts w:hint="eastAsia"/>
                <w:color w:val="000000" w:themeColor="text1"/>
                <w:spacing w:val="-6"/>
                <w:kern w:val="0"/>
                <w:sz w:val="24"/>
                <w:szCs w:val="24"/>
                <w:highlight w:val="none"/>
                <w:lang w:val="en-US" w:eastAsia="zh-CN"/>
                <w14:textFill>
                  <w14:solidFill>
                    <w14:schemeClr w14:val="tx1"/>
                  </w14:solidFill>
                </w14:textFill>
              </w:rPr>
              <w:t>要求。</w:t>
            </w:r>
            <w:r>
              <w:rPr>
                <w:color w:val="000000" w:themeColor="text1"/>
                <w:spacing w:val="-6"/>
                <w:kern w:val="0"/>
                <w:sz w:val="24"/>
                <w:szCs w:val="24"/>
                <w:highlight w:val="none"/>
                <w14:textFill>
                  <w14:solidFill>
                    <w14:schemeClr w14:val="tx1"/>
                  </w14:solidFill>
                </w14:textFill>
              </w:rPr>
              <w:t>项目周边最近敏感点为</w:t>
            </w:r>
            <w:r>
              <w:rPr>
                <w:rFonts w:hint="eastAsia"/>
                <w:color w:val="000000" w:themeColor="text1"/>
                <w:spacing w:val="-6"/>
                <w:kern w:val="0"/>
                <w:sz w:val="24"/>
                <w:szCs w:val="24"/>
                <w:highlight w:val="none"/>
                <w:lang w:val="en-US" w:eastAsia="zh-CN"/>
                <w14:textFill>
                  <w14:solidFill>
                    <w14:schemeClr w14:val="tx1"/>
                  </w14:solidFill>
                </w14:textFill>
              </w:rPr>
              <w:t>项目东北面的牛背村</w:t>
            </w:r>
            <w:r>
              <w:rPr>
                <w:rFonts w:hint="eastAsia"/>
                <w:color w:val="000000" w:themeColor="text1"/>
                <w:spacing w:val="-6"/>
                <w:kern w:val="0"/>
                <w:sz w:val="24"/>
                <w:szCs w:val="24"/>
                <w:highlight w:val="none"/>
                <w14:textFill>
                  <w14:solidFill>
                    <w14:schemeClr w14:val="tx1"/>
                  </w14:solidFill>
                </w14:textFill>
              </w:rPr>
              <w:t>，</w:t>
            </w:r>
            <w:r>
              <w:rPr>
                <w:rFonts w:hint="eastAsia"/>
                <w:color w:val="000000" w:themeColor="text1"/>
                <w:spacing w:val="-6"/>
                <w:kern w:val="0"/>
                <w:sz w:val="24"/>
                <w:szCs w:val="24"/>
                <w:highlight w:val="none"/>
                <w:lang w:val="en-US" w:eastAsia="zh-CN"/>
                <w14:textFill>
                  <w14:solidFill>
                    <w14:schemeClr w14:val="tx1"/>
                  </w14:solidFill>
                </w14:textFill>
              </w:rPr>
              <w:t>不在项目卫生防护距离范围内（详见附图十）。</w:t>
            </w:r>
            <w:r>
              <w:rPr>
                <w:color w:val="000000" w:themeColor="text1"/>
                <w:spacing w:val="-6"/>
                <w:kern w:val="0"/>
                <w:sz w:val="24"/>
                <w:szCs w:val="24"/>
                <w:highlight w:val="none"/>
                <w14:textFill>
                  <w14:solidFill>
                    <w14:schemeClr w14:val="tx1"/>
                  </w14:solidFill>
                </w14:textFill>
              </w:rPr>
              <w:t>项目建设对周围环境及保护目标不会造成明显不良影响，总体可维持环境现状功能不变</w:t>
            </w:r>
            <w:r>
              <w:rPr>
                <w:rFonts w:hint="eastAsia"/>
                <w:color w:val="000000" w:themeColor="text1"/>
                <w:spacing w:val="-6"/>
                <w:kern w:val="0"/>
                <w:sz w:val="24"/>
                <w:szCs w:val="24"/>
                <w:highlight w:val="none"/>
                <w:lang w:eastAsia="zh-CN"/>
                <w14:textFill>
                  <w14:solidFill>
                    <w14:schemeClr w14:val="tx1"/>
                  </w14:solidFill>
                </w14:textFill>
              </w:rPr>
              <w:t>。</w:t>
            </w:r>
            <w:r>
              <w:rPr>
                <w:rFonts w:hint="eastAsia"/>
                <w:color w:val="000000" w:themeColor="text1"/>
                <w:spacing w:val="-6"/>
                <w:kern w:val="0"/>
                <w:sz w:val="24"/>
                <w:szCs w:val="24"/>
                <w:highlight w:val="none"/>
                <w:lang w:val="en-US" w:eastAsia="zh-CN"/>
                <w14:textFill>
                  <w14:solidFill>
                    <w14:schemeClr w14:val="tx1"/>
                  </w14:solidFill>
                </w14:textFill>
              </w:rPr>
              <w:t>因此，项目选址可行。</w:t>
            </w:r>
          </w:p>
          <w:p w14:paraId="70269CEE">
            <w:pPr>
              <w:ind w:left="0" w:leftChars="0" w:firstLine="0" w:firstLineChars="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三</w:t>
            </w:r>
            <w:r>
              <w:rPr>
                <w:b/>
                <w:bCs/>
                <w:color w:val="000000" w:themeColor="text1"/>
                <w14:textFill>
                  <w14:solidFill>
                    <w14:schemeClr w14:val="tx1"/>
                  </w14:solidFill>
                </w14:textFill>
              </w:rPr>
              <w:t>、</w:t>
            </w:r>
            <w:r>
              <w:rPr>
                <w:rFonts w:hint="eastAsia" w:ascii="宋体" w:hAnsi="宋体" w:cs="宋体"/>
                <w:b/>
                <w:bCs/>
                <w:color w:val="000000" w:themeColor="text1"/>
                <w14:textFill>
                  <w14:solidFill>
                    <w14:schemeClr w14:val="tx1"/>
                  </w14:solidFill>
                </w14:textFill>
              </w:rPr>
              <w:t>“</w:t>
            </w:r>
            <w:r>
              <w:rPr>
                <w:b/>
                <w:bCs/>
                <w:color w:val="000000" w:themeColor="text1"/>
                <w14:textFill>
                  <w14:solidFill>
                    <w14:schemeClr w14:val="tx1"/>
                  </w14:solidFill>
                </w14:textFill>
              </w:rPr>
              <w:t>三线一单</w:t>
            </w:r>
            <w:r>
              <w:rPr>
                <w:rFonts w:hint="eastAsia" w:ascii="宋体" w:hAnsi="宋体" w:cs="宋体"/>
                <w:b/>
                <w:bCs/>
                <w:color w:val="000000" w:themeColor="text1"/>
                <w14:textFill>
                  <w14:solidFill>
                    <w14:schemeClr w14:val="tx1"/>
                  </w14:solidFill>
                </w14:textFill>
              </w:rPr>
              <w:t>”</w:t>
            </w:r>
            <w:r>
              <w:rPr>
                <w:b/>
                <w:bCs/>
                <w:color w:val="000000" w:themeColor="text1"/>
                <w14:textFill>
                  <w14:solidFill>
                    <w14:schemeClr w14:val="tx1"/>
                  </w14:solidFill>
                </w14:textFill>
              </w:rPr>
              <w:t>相符性分析</w:t>
            </w:r>
          </w:p>
          <w:p w14:paraId="145F5192">
            <w:pPr>
              <w:ind w:firstLine="480"/>
              <w:rPr>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1</w:t>
            </w:r>
            <w:r>
              <w:rPr>
                <w:rFonts w:hint="eastAsia"/>
                <w:b/>
                <w:bCs/>
                <w:color w:val="000000" w:themeColor="text1"/>
                <w:lang w:eastAsia="zh-CN"/>
                <w14:textFill>
                  <w14:solidFill>
                    <w14:schemeClr w14:val="tx1"/>
                  </w14:solidFill>
                </w14:textFill>
              </w:rPr>
              <w:t>）</w:t>
            </w:r>
            <w:r>
              <w:rPr>
                <w:b/>
                <w:bCs/>
                <w:color w:val="000000" w:themeColor="text1"/>
                <w14:textFill>
                  <w14:solidFill>
                    <w14:schemeClr w14:val="tx1"/>
                  </w14:solidFill>
                </w14:textFill>
              </w:rPr>
              <w:t>生态红线</w:t>
            </w:r>
          </w:p>
          <w:p w14:paraId="27C9124D">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项目位于江西高安高新技术产业园区新世纪产业园，项目不在名胜古迹、风景名胜区、自然保护区、饮用水源保护区范围内；通过对照高安市生态保护红线划定范围图</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见附图九</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，项目不在生态保护红线范围内，符合生态保护红线要求</w:t>
            </w:r>
            <w:r>
              <w:rPr>
                <w:color w:val="000000" w:themeColor="text1"/>
                <w14:textFill>
                  <w14:solidFill>
                    <w14:schemeClr w14:val="tx1"/>
                  </w14:solidFill>
                </w14:textFill>
              </w:rPr>
              <w:t>。</w:t>
            </w:r>
          </w:p>
          <w:p w14:paraId="67CFD9A7">
            <w:pPr>
              <w:ind w:firstLine="480"/>
              <w:rPr>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2</w:t>
            </w:r>
            <w:r>
              <w:rPr>
                <w:rFonts w:hint="eastAsia"/>
                <w:b/>
                <w:bCs/>
                <w:color w:val="000000" w:themeColor="text1"/>
                <w:lang w:eastAsia="zh-CN"/>
                <w14:textFill>
                  <w14:solidFill>
                    <w14:schemeClr w14:val="tx1"/>
                  </w14:solidFill>
                </w14:textFill>
              </w:rPr>
              <w:t>）</w:t>
            </w:r>
            <w:r>
              <w:rPr>
                <w:b/>
                <w:bCs/>
                <w:color w:val="000000" w:themeColor="text1"/>
                <w14:textFill>
                  <w14:solidFill>
                    <w14:schemeClr w14:val="tx1"/>
                  </w14:solidFill>
                </w14:textFill>
              </w:rPr>
              <w:t>环境质量底线</w:t>
            </w:r>
          </w:p>
          <w:p w14:paraId="78DB9098">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项目所在区域的环境质量底线为：项目所在区域环境空气质量执行《环境空气质量标准》（GB3095-20</w:t>
            </w:r>
            <w:r>
              <w:rPr>
                <w:rFonts w:hint="eastAsia"/>
                <w:color w:val="000000" w:themeColor="text1"/>
                <w:lang w:val="en-US" w:eastAsia="zh-CN"/>
                <w14:textFill>
                  <w14:solidFill>
                    <w14:schemeClr w14:val="tx1"/>
                  </w14:solidFill>
                </w14:textFill>
              </w:rPr>
              <w:t>26</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过渡阶段</w:t>
            </w:r>
            <w:r>
              <w:rPr>
                <w:rFonts w:hint="eastAsia"/>
                <w:color w:val="000000" w:themeColor="text1"/>
                <w14:textFill>
                  <w14:solidFill>
                    <w14:schemeClr w14:val="tx1"/>
                  </w14:solidFill>
                </w14:textFill>
              </w:rPr>
              <w:t>二级标准，地表水环境质量执行《地表水环境质量标准》（GB3838-2002）Ⅲ类标准，声环境质量执行《声环境质量标准》（GB3096-2008）</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类标准。项目区域环境质量现状较好，具有相应的环境容量。采取本环评提出的各项污染防治措施后，可确保污染物达标排放，本项目排放的污染物不会对区域环境质量底线造成冲击，不会明显降低区域环境质量现状。因此项目的建设符合环境质量底线标准。</w:t>
            </w:r>
          </w:p>
          <w:p w14:paraId="1A471A1F">
            <w:pPr>
              <w:ind w:firstLine="480"/>
              <w:rPr>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3</w:t>
            </w:r>
            <w:r>
              <w:rPr>
                <w:rFonts w:hint="eastAsia"/>
                <w:b/>
                <w:bCs/>
                <w:color w:val="000000" w:themeColor="text1"/>
                <w:lang w:eastAsia="zh-CN"/>
                <w14:textFill>
                  <w14:solidFill>
                    <w14:schemeClr w14:val="tx1"/>
                  </w14:solidFill>
                </w14:textFill>
              </w:rPr>
              <w:t>）</w:t>
            </w:r>
            <w:r>
              <w:rPr>
                <w:b/>
                <w:bCs/>
                <w:color w:val="000000" w:themeColor="text1"/>
                <w14:textFill>
                  <w14:solidFill>
                    <w14:schemeClr w14:val="tx1"/>
                  </w14:solidFill>
                </w14:textFill>
              </w:rPr>
              <w:t>资源利用上线</w:t>
            </w:r>
          </w:p>
          <w:p w14:paraId="34C1D754">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项目用水来自</w:t>
            </w:r>
            <w:r>
              <w:rPr>
                <w:rFonts w:hint="eastAsia"/>
                <w:color w:val="000000" w:themeColor="text1"/>
                <w:lang w:val="en-US" w:eastAsia="zh-CN"/>
                <w14:textFill>
                  <w14:solidFill>
                    <w14:schemeClr w14:val="tx1"/>
                  </w14:solidFill>
                </w14:textFill>
              </w:rPr>
              <w:t>园区</w:t>
            </w:r>
            <w:r>
              <w:rPr>
                <w:rFonts w:hint="eastAsia"/>
                <w:color w:val="000000" w:themeColor="text1"/>
                <w14:textFill>
                  <w14:solidFill>
                    <w14:schemeClr w14:val="tx1"/>
                  </w14:solidFill>
                </w14:textFill>
              </w:rPr>
              <w:t>供水管网，用电来自</w:t>
            </w:r>
            <w:r>
              <w:rPr>
                <w:rFonts w:hint="eastAsia"/>
                <w:color w:val="000000" w:themeColor="text1"/>
                <w:lang w:val="en-US" w:eastAsia="zh-CN"/>
                <w14:textFill>
                  <w14:solidFill>
                    <w14:schemeClr w14:val="tx1"/>
                  </w14:solidFill>
                </w14:textFill>
              </w:rPr>
              <w:t>园区</w:t>
            </w:r>
            <w:r>
              <w:rPr>
                <w:rFonts w:hint="eastAsia"/>
                <w:color w:val="000000" w:themeColor="text1"/>
                <w14:textFill>
                  <w14:solidFill>
                    <w14:schemeClr w14:val="tx1"/>
                  </w14:solidFill>
                </w14:textFill>
              </w:rPr>
              <w:t>供电系统。本项目建成后通过内部管理、设备的选用和管理、污染治理等多方面采取合理可行的防治措施，以“节能、降耗、减污”为目标，有效地控制污染。项目用水电等资源利用不会突破区域的资源利用上线</w:t>
            </w:r>
            <w:r>
              <w:rPr>
                <w:color w:val="000000" w:themeColor="text1"/>
                <w14:textFill>
                  <w14:solidFill>
                    <w14:schemeClr w14:val="tx1"/>
                  </w14:solidFill>
                </w14:textFill>
              </w:rPr>
              <w:t>。</w:t>
            </w:r>
          </w:p>
          <w:p w14:paraId="26E2C1E7">
            <w:pPr>
              <w:ind w:firstLine="480"/>
              <w:rPr>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4</w:t>
            </w:r>
            <w:r>
              <w:rPr>
                <w:rFonts w:hint="eastAsia"/>
                <w:b/>
                <w:bCs/>
                <w:color w:val="000000" w:themeColor="text1"/>
                <w:lang w:eastAsia="zh-CN"/>
                <w14:textFill>
                  <w14:solidFill>
                    <w14:schemeClr w14:val="tx1"/>
                  </w14:solidFill>
                </w14:textFill>
              </w:rPr>
              <w:t>）</w:t>
            </w:r>
            <w:r>
              <w:rPr>
                <w:b/>
                <w:bCs/>
                <w:color w:val="000000" w:themeColor="text1"/>
                <w14:textFill>
                  <w14:solidFill>
                    <w14:schemeClr w14:val="tx1"/>
                  </w14:solidFill>
                </w14:textFill>
              </w:rPr>
              <w:t>生态环境准入清单</w:t>
            </w:r>
          </w:p>
          <w:p w14:paraId="11EE76FD">
            <w:pPr>
              <w:ind w:firstLine="48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根据江西省生态环境厅2024年4月28日发布的《江西省生态环境厅关于公布江西省生态环境分区管控成果（2023版）的函》（赣环环评函〔2024〕87号）中附件3《</w:t>
            </w:r>
            <w:bookmarkStart w:id="17" w:name="OLE_LINK9"/>
            <w:r>
              <w:rPr>
                <w:rFonts w:hint="eastAsia"/>
                <w:color w:val="000000" w:themeColor="text1"/>
                <w:kern w:val="0"/>
                <w:szCs w:val="21"/>
                <w14:textFill>
                  <w14:solidFill>
                    <w14:schemeClr w14:val="tx1"/>
                  </w14:solidFill>
                </w14:textFill>
              </w:rPr>
              <w:t>江西省环境管控单元分布图</w:t>
            </w:r>
            <w:bookmarkEnd w:id="17"/>
            <w:r>
              <w:rPr>
                <w:rFonts w:hint="eastAsia"/>
                <w:color w:val="000000" w:themeColor="text1"/>
                <w:kern w:val="0"/>
                <w:szCs w:val="21"/>
                <w14:textFill>
                  <w14:solidFill>
                    <w14:schemeClr w14:val="tx1"/>
                  </w14:solidFill>
                </w14:textFill>
              </w:rPr>
              <w:t>（2023版）》，本项目属于重点管控单元，与江西省生态环境总体准入清单中重点保护单元相符性分析见表1-4。</w:t>
            </w:r>
          </w:p>
          <w:p w14:paraId="045776BF">
            <w:pPr>
              <w:pStyle w:val="57"/>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与《江西省生态环境总体准入清单（2023 版）》相符性分析一览表</w:t>
            </w:r>
          </w:p>
          <w:tbl>
            <w:tblPr>
              <w:tblStyle w:val="36"/>
              <w:tblW w:w="4996"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427"/>
              <w:gridCol w:w="484"/>
              <w:gridCol w:w="4682"/>
              <w:gridCol w:w="2213"/>
            </w:tblGrid>
            <w:tr w14:paraId="187BAF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tcBorders>
                    <w:tl2br w:val="nil"/>
                    <w:tr2bl w:val="nil"/>
                  </w:tcBorders>
                  <w:vAlign w:val="center"/>
                </w:tcPr>
                <w:p w14:paraId="2A731EA8">
                  <w:pPr>
                    <w:spacing w:line="240" w:lineRule="auto"/>
                    <w:ind w:firstLine="0" w:firstLineChars="0"/>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维度</w:t>
                  </w:r>
                </w:p>
              </w:tc>
              <w:tc>
                <w:tcPr>
                  <w:tcW w:w="270" w:type="pct"/>
                  <w:tcBorders>
                    <w:tl2br w:val="nil"/>
                    <w:tr2bl w:val="nil"/>
                  </w:tcBorders>
                  <w:vAlign w:val="center"/>
                </w:tcPr>
                <w:p w14:paraId="1D6BDF63">
                  <w:pPr>
                    <w:spacing w:line="240" w:lineRule="auto"/>
                    <w:ind w:firstLine="0" w:firstLineChars="0"/>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序号</w:t>
                  </w:r>
                </w:p>
              </w:tc>
              <w:tc>
                <w:tcPr>
                  <w:tcW w:w="3020" w:type="pct"/>
                  <w:tcBorders>
                    <w:tl2br w:val="nil"/>
                    <w:tr2bl w:val="nil"/>
                  </w:tcBorders>
                  <w:vAlign w:val="center"/>
                </w:tcPr>
                <w:p w14:paraId="4E658FF6">
                  <w:pPr>
                    <w:spacing w:line="240" w:lineRule="auto"/>
                    <w:ind w:firstLine="0" w:firstLineChars="0"/>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生态环境准入要求</w:t>
                  </w:r>
                </w:p>
              </w:tc>
              <w:tc>
                <w:tcPr>
                  <w:tcW w:w="1431" w:type="pct"/>
                  <w:tcBorders>
                    <w:tl2br w:val="nil"/>
                    <w:tr2bl w:val="nil"/>
                  </w:tcBorders>
                  <w:vAlign w:val="center"/>
                </w:tcPr>
                <w:p w14:paraId="2950B6A5">
                  <w:pPr>
                    <w:spacing w:line="240" w:lineRule="auto"/>
                    <w:ind w:firstLine="0" w:firstLineChars="0"/>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项目相符性分析</w:t>
                  </w:r>
                </w:p>
              </w:tc>
            </w:tr>
            <w:tr w14:paraId="37FC51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restart"/>
                  <w:tcBorders>
                    <w:tl2br w:val="nil"/>
                    <w:tr2bl w:val="nil"/>
                  </w:tcBorders>
                  <w:vAlign w:val="center"/>
                </w:tcPr>
                <w:p w14:paraId="5C06FB56">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空间布局约束</w:t>
                  </w:r>
                </w:p>
              </w:tc>
              <w:tc>
                <w:tcPr>
                  <w:tcW w:w="270" w:type="pct"/>
                  <w:tcBorders>
                    <w:tl2br w:val="nil"/>
                    <w:tr2bl w:val="nil"/>
                  </w:tcBorders>
                  <w:vAlign w:val="center"/>
                </w:tcPr>
                <w:p w14:paraId="12E4F84C">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w:t>
                  </w:r>
                </w:p>
              </w:tc>
              <w:tc>
                <w:tcPr>
                  <w:tcW w:w="3020" w:type="pct"/>
                  <w:tcBorders>
                    <w:tl2br w:val="nil"/>
                    <w:tr2bl w:val="nil"/>
                  </w:tcBorders>
                  <w:vAlign w:val="center"/>
                </w:tcPr>
                <w:p w14:paraId="75163E38">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p>
              </w:tc>
              <w:tc>
                <w:tcPr>
                  <w:tcW w:w="1431" w:type="pct"/>
                  <w:tcBorders>
                    <w:tl2br w:val="nil"/>
                    <w:tr2bl w:val="nil"/>
                  </w:tcBorders>
                  <w:vAlign w:val="center"/>
                </w:tcPr>
                <w:p w14:paraId="715DD68A">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属于新、扩建不符合国家石化、现代煤化工等产业布局规划的项目；不属于法律法规和相关政策明令禁止的落后产能项目；不属于淘汰类和限制类项目；不属于不符合国家产能置换要求的钢铁、电解铝、水泥熟料、平板玻璃、船舶等严重过剩产能行业的项目；不属于两高项目。</w:t>
                  </w:r>
                </w:p>
              </w:tc>
            </w:tr>
            <w:tr w14:paraId="403037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65BEA010">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5D0F6A11">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2</w:t>
                  </w:r>
                </w:p>
              </w:tc>
              <w:tc>
                <w:tcPr>
                  <w:tcW w:w="3020" w:type="pct"/>
                  <w:tcBorders>
                    <w:tl2br w:val="nil"/>
                    <w:tr2bl w:val="nil"/>
                  </w:tcBorders>
                  <w:vAlign w:val="center"/>
                </w:tcPr>
                <w:p w14:paraId="53128754">
                  <w:pPr>
                    <w:tabs>
                      <w:tab w:val="left" w:pos="312"/>
                    </w:tabs>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县级及以上城市建成区原则上不再新建35蒸吨/小时及以下燃煤锅炉。</w:t>
                  </w:r>
                </w:p>
              </w:tc>
              <w:tc>
                <w:tcPr>
                  <w:tcW w:w="1431" w:type="pct"/>
                  <w:tcBorders>
                    <w:tl2br w:val="nil"/>
                    <w:tr2bl w:val="nil"/>
                  </w:tcBorders>
                  <w:vAlign w:val="center"/>
                </w:tcPr>
                <w:p w14:paraId="21EA9A5A">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项目不新增燃煤锅炉。</w:t>
                  </w:r>
                </w:p>
              </w:tc>
            </w:tr>
            <w:tr w14:paraId="74C685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14C65F30">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193E8297">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3</w:t>
                  </w:r>
                </w:p>
              </w:tc>
              <w:tc>
                <w:tcPr>
                  <w:tcW w:w="3020" w:type="pct"/>
                  <w:tcBorders>
                    <w:tl2br w:val="nil"/>
                    <w:tr2bl w:val="nil"/>
                  </w:tcBorders>
                  <w:vAlign w:val="center"/>
                </w:tcPr>
                <w:p w14:paraId="7201CA19">
                  <w:pPr>
                    <w:tabs>
                      <w:tab w:val="left" w:pos="312"/>
                    </w:tabs>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禁止在长江干支流、重要湖泊岸线</w:t>
                  </w:r>
                  <w:r>
                    <w:rPr>
                      <w:color w:val="000000" w:themeColor="text1"/>
                      <w:sz w:val="21"/>
                      <w14:textFill>
                        <w14:solidFill>
                          <w14:schemeClr w14:val="tx1"/>
                        </w14:solidFill>
                      </w14:textFill>
                    </w:rPr>
                    <w:t>1</w:t>
                  </w:r>
                  <w:r>
                    <w:rPr>
                      <w:rFonts w:hint="eastAsia"/>
                      <w:color w:val="000000" w:themeColor="text1"/>
                      <w:sz w:val="21"/>
                      <w14:textFill>
                        <w14:solidFill>
                          <w14:schemeClr w14:val="tx1"/>
                        </w14:solidFill>
                      </w14:textFill>
                    </w:rPr>
                    <w:t>公里范围内新建、扩建化工园区和化工项目。禁止在合规园区外新建、扩建钢铁、石化、化工、焦化、建材、有色、制浆造纸等高污染项目。</w:t>
                  </w:r>
                </w:p>
              </w:tc>
              <w:tc>
                <w:tcPr>
                  <w:tcW w:w="1431" w:type="pct"/>
                  <w:tcBorders>
                    <w:tl2br w:val="nil"/>
                    <w:tr2bl w:val="nil"/>
                  </w:tcBorders>
                  <w:vAlign w:val="center"/>
                </w:tcPr>
                <w:p w14:paraId="49B30B55">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项目不在长江干支流、重要湖泊岸线1公里范围内，不属于新建、扩建化工园区和化工项目；不属于新建、扩建钢铁、石化、化工、焦化、建材、有色、制浆造纸等高污染项目。</w:t>
                  </w:r>
                </w:p>
              </w:tc>
            </w:tr>
            <w:tr w14:paraId="1CCCEF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48038C58">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4B2BE535">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4</w:t>
                  </w:r>
                </w:p>
              </w:tc>
              <w:tc>
                <w:tcPr>
                  <w:tcW w:w="3020" w:type="pct"/>
                  <w:tcBorders>
                    <w:tl2br w:val="nil"/>
                    <w:tr2bl w:val="nil"/>
                  </w:tcBorders>
                  <w:vAlign w:val="center"/>
                </w:tcPr>
                <w:p w14:paraId="6E0508E7">
                  <w:pPr>
                    <w:tabs>
                      <w:tab w:val="left" w:pos="312"/>
                    </w:tabs>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禁止建设不符合国家和省级港口布局规划以及港口总体规划的码头项目。</w:t>
                  </w:r>
                </w:p>
              </w:tc>
              <w:tc>
                <w:tcPr>
                  <w:tcW w:w="1431" w:type="pct"/>
                  <w:tcBorders>
                    <w:tl2br w:val="nil"/>
                    <w:tr2bl w:val="nil"/>
                  </w:tcBorders>
                  <w:vAlign w:val="center"/>
                </w:tcPr>
                <w:p w14:paraId="52338046">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项目不涉及。</w:t>
                  </w:r>
                </w:p>
              </w:tc>
            </w:tr>
            <w:tr w14:paraId="74C828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28497206">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24A81F4E">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5</w:t>
                  </w:r>
                </w:p>
              </w:tc>
              <w:tc>
                <w:tcPr>
                  <w:tcW w:w="3020" w:type="pct"/>
                  <w:tcBorders>
                    <w:tl2br w:val="nil"/>
                    <w:tr2bl w:val="nil"/>
                  </w:tcBorders>
                  <w:vAlign w:val="center"/>
                </w:tcPr>
                <w:p w14:paraId="60C5C5FB">
                  <w:pPr>
                    <w:tabs>
                      <w:tab w:val="left" w:pos="312"/>
                    </w:tabs>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禁止在江河、湖泊、运河、渠道、水库最高水位线以下的滩地和岸坡堆放、存贮固体废弃物和其他污染物。</w:t>
                  </w:r>
                </w:p>
              </w:tc>
              <w:tc>
                <w:tcPr>
                  <w:tcW w:w="1431" w:type="pct"/>
                  <w:tcBorders>
                    <w:tl2br w:val="nil"/>
                    <w:tr2bl w:val="nil"/>
                  </w:tcBorders>
                  <w:vAlign w:val="center"/>
                </w:tcPr>
                <w:p w14:paraId="1E491570">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项目不在江河、湖泊、运河、渠道、水库最高水位线以下的滩地和岸坡堆放、存贮固体废弃物和其他污染物。</w:t>
                  </w:r>
                </w:p>
              </w:tc>
            </w:tr>
            <w:tr w14:paraId="7A1A0C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3DCE5204">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2F2D2804">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6</w:t>
                  </w:r>
                </w:p>
              </w:tc>
              <w:tc>
                <w:tcPr>
                  <w:tcW w:w="3020" w:type="pct"/>
                  <w:tcBorders>
                    <w:tl2br w:val="nil"/>
                    <w:tr2bl w:val="nil"/>
                  </w:tcBorders>
                  <w:vAlign w:val="center"/>
                </w:tcPr>
                <w:p w14:paraId="7264DCA5">
                  <w:pPr>
                    <w:tabs>
                      <w:tab w:val="left" w:pos="312"/>
                    </w:tabs>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城市建成区内人口密集区、环境脆弱敏感区周边的钢铁、石油、化工、有色金属、水泥、平板玻璃、建筑陶瓷等行业中的高排放、高污染项目，应当逐步进行搬迁、改造或者转型、退出。</w:t>
                  </w:r>
                </w:p>
              </w:tc>
              <w:tc>
                <w:tcPr>
                  <w:tcW w:w="1431" w:type="pct"/>
                  <w:tcBorders>
                    <w:tl2br w:val="nil"/>
                    <w:tr2bl w:val="nil"/>
                  </w:tcBorders>
                  <w:vAlign w:val="center"/>
                </w:tcPr>
                <w:p w14:paraId="227192D0">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项目不属于钢铁、石油、化工、有色金属、水泥、平板玻璃、建筑陶瓷等行业中的高排放、高污染项目。</w:t>
                  </w:r>
                </w:p>
              </w:tc>
            </w:tr>
            <w:tr w14:paraId="75718F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717E5729">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16E2B503">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7</w:t>
                  </w:r>
                </w:p>
              </w:tc>
              <w:tc>
                <w:tcPr>
                  <w:tcW w:w="3020" w:type="pct"/>
                  <w:tcBorders>
                    <w:tl2br w:val="nil"/>
                    <w:tr2bl w:val="nil"/>
                  </w:tcBorders>
                  <w:vAlign w:val="center"/>
                </w:tcPr>
                <w:p w14:paraId="1246E3F9">
                  <w:pPr>
                    <w:tabs>
                      <w:tab w:val="left" w:pos="312"/>
                    </w:tabs>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禁止在居民区和学校、医院、疗养院、养老院等单位周边新建、改扩建可能造成土壤污染的建设项目；在永久基本农田集中区域，不得新建可能造成土壤污染的项目，已经建成的，限期关闭拆除。</w:t>
                  </w:r>
                </w:p>
              </w:tc>
              <w:tc>
                <w:tcPr>
                  <w:tcW w:w="1431" w:type="pct"/>
                  <w:tcBorders>
                    <w:tl2br w:val="nil"/>
                    <w:tr2bl w:val="nil"/>
                  </w:tcBorders>
                  <w:vAlign w:val="center"/>
                </w:tcPr>
                <w:p w14:paraId="44A47D8E">
                  <w:pPr>
                    <w:spacing w:line="240" w:lineRule="auto"/>
                    <w:ind w:firstLine="0" w:firstLineChars="0"/>
                    <w:rPr>
                      <w:color w:val="000000" w:themeColor="text1"/>
                      <w:sz w:val="21"/>
                      <w:highlight w:val="yellow"/>
                      <w14:textFill>
                        <w14:solidFill>
                          <w14:schemeClr w14:val="tx1"/>
                        </w14:solidFill>
                      </w14:textFill>
                    </w:rPr>
                  </w:pPr>
                  <w:r>
                    <w:rPr>
                      <w:rFonts w:hint="eastAsia"/>
                      <w:color w:val="000000" w:themeColor="text1"/>
                      <w:sz w:val="21"/>
                      <w:szCs w:val="21"/>
                      <w14:textFill>
                        <w14:solidFill>
                          <w14:schemeClr w14:val="tx1"/>
                        </w14:solidFill>
                      </w14:textFill>
                    </w:rPr>
                    <w:t>项目</w:t>
                  </w:r>
                  <w:r>
                    <w:rPr>
                      <w:rFonts w:hint="eastAsia"/>
                      <w:color w:val="000000" w:themeColor="text1"/>
                      <w:sz w:val="21"/>
                      <w:szCs w:val="21"/>
                      <w:lang w:val="en-US" w:eastAsia="zh-CN"/>
                      <w14:textFill>
                        <w14:solidFill>
                          <w14:schemeClr w14:val="tx1"/>
                        </w14:solidFill>
                      </w14:textFill>
                    </w:rPr>
                    <w:t>位于江西高安高新技术产业园区新世纪产业园，</w:t>
                  </w:r>
                  <w:r>
                    <w:rPr>
                      <w:rFonts w:hint="eastAsia"/>
                      <w:color w:val="000000" w:themeColor="text1"/>
                      <w:sz w:val="21"/>
                      <w:szCs w:val="21"/>
                      <w14:textFill>
                        <w14:solidFill>
                          <w14:schemeClr w14:val="tx1"/>
                        </w14:solidFill>
                      </w14:textFill>
                    </w:rPr>
                    <w:t>不在永久基本农田集中区域。</w:t>
                  </w:r>
                </w:p>
              </w:tc>
            </w:tr>
            <w:tr w14:paraId="07353B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restart"/>
                  <w:tcBorders>
                    <w:tl2br w:val="nil"/>
                    <w:tr2bl w:val="nil"/>
                  </w:tcBorders>
                  <w:vAlign w:val="center"/>
                </w:tcPr>
                <w:p w14:paraId="7EF221F7">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污染物排放管控</w:t>
                  </w:r>
                </w:p>
              </w:tc>
              <w:tc>
                <w:tcPr>
                  <w:tcW w:w="270" w:type="pct"/>
                  <w:tcBorders>
                    <w:tl2br w:val="nil"/>
                    <w:tr2bl w:val="nil"/>
                  </w:tcBorders>
                  <w:vAlign w:val="center"/>
                </w:tcPr>
                <w:p w14:paraId="2A0DF28C">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8</w:t>
                  </w:r>
                </w:p>
              </w:tc>
              <w:tc>
                <w:tcPr>
                  <w:tcW w:w="3020" w:type="pct"/>
                  <w:tcBorders>
                    <w:tl2br w:val="nil"/>
                    <w:tr2bl w:val="nil"/>
                  </w:tcBorders>
                  <w:vAlign w:val="center"/>
                </w:tcPr>
                <w:p w14:paraId="741EBB66">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431" w:type="pct"/>
                  <w:tcBorders>
                    <w:tl2br w:val="nil"/>
                    <w:tr2bl w:val="nil"/>
                  </w:tcBorders>
                  <w:vAlign w:val="center"/>
                </w:tcPr>
                <w:p w14:paraId="5A083063">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w:t>
                  </w:r>
                  <w:r>
                    <w:rPr>
                      <w:rFonts w:hint="eastAsia"/>
                      <w:color w:val="000000" w:themeColor="text1"/>
                      <w:sz w:val="21"/>
                      <w:szCs w:val="21"/>
                      <w:lang w:val="en-US" w:eastAsia="zh-CN"/>
                      <w14:textFill>
                        <w14:solidFill>
                          <w14:schemeClr w14:val="tx1"/>
                        </w14:solidFill>
                      </w14:textFill>
                    </w:rPr>
                    <w:t>位于江西高安高新技术产业园区新世纪产业园，</w:t>
                  </w:r>
                  <w:r>
                    <w:rPr>
                      <w:rFonts w:hint="eastAsia"/>
                      <w:color w:val="000000" w:themeColor="text1"/>
                      <w:sz w:val="21"/>
                      <w14:textFill>
                        <w14:solidFill>
                          <w14:schemeClr w14:val="tx1"/>
                        </w14:solidFill>
                      </w14:textFill>
                    </w:rPr>
                    <w:t>不位于城镇开发边界内划定的特别用途区。</w:t>
                  </w:r>
                </w:p>
              </w:tc>
            </w:tr>
            <w:tr w14:paraId="0BE9DC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2033C3EB">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7CEFD360">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9</w:t>
                  </w:r>
                </w:p>
              </w:tc>
              <w:tc>
                <w:tcPr>
                  <w:tcW w:w="3020" w:type="pct"/>
                  <w:tcBorders>
                    <w:tl2br w:val="nil"/>
                    <w:tr2bl w:val="nil"/>
                  </w:tcBorders>
                  <w:vAlign w:val="center"/>
                </w:tcPr>
                <w:p w14:paraId="178D153F">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到2025年，全省单位生产总值能源消耗比2020年下降14%，力争达到14.5%，能源消费总量得到合理控制，氮氧化物、挥发性有机物、化学需氧量、氨氮重点工程减排量分别达到2.73万吨、1.41万吨、8.41万吨、0.55万吨。</w:t>
                  </w:r>
                </w:p>
              </w:tc>
              <w:tc>
                <w:tcPr>
                  <w:tcW w:w="1431" w:type="pct"/>
                  <w:tcBorders>
                    <w:tl2br w:val="nil"/>
                    <w:tr2bl w:val="nil"/>
                  </w:tcBorders>
                  <w:vAlign w:val="center"/>
                </w:tcPr>
                <w:p w14:paraId="1A74BFAC">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项目执行总量控制指标要求。</w:t>
                  </w:r>
                </w:p>
              </w:tc>
            </w:tr>
            <w:tr w14:paraId="2A46CB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jc w:val="center"/>
              </w:trPr>
              <w:tc>
                <w:tcPr>
                  <w:tcW w:w="279" w:type="pct"/>
                  <w:vMerge w:val="continue"/>
                  <w:tcBorders>
                    <w:tl2br w:val="nil"/>
                    <w:tr2bl w:val="nil"/>
                  </w:tcBorders>
                  <w:vAlign w:val="center"/>
                </w:tcPr>
                <w:p w14:paraId="10792FA4">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14256AC4">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10</w:t>
                  </w:r>
                </w:p>
              </w:tc>
              <w:tc>
                <w:tcPr>
                  <w:tcW w:w="3020" w:type="pct"/>
                  <w:tcBorders>
                    <w:tl2br w:val="nil"/>
                    <w:tr2bl w:val="nil"/>
                  </w:tcBorders>
                  <w:vAlign w:val="center"/>
                </w:tcPr>
                <w:p w14:paraId="7A7D9FEA">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禁止新建不符合国家产业政策的小型造纸、制革、印染、染料、炼焦、炼硫、炼砷、炼汞、炼油、电镀、农药、石棉、水泥、玻璃、钢铁、火电以及其他严重污染水环境的生产项目。</w:t>
                  </w:r>
                </w:p>
              </w:tc>
              <w:tc>
                <w:tcPr>
                  <w:tcW w:w="1431" w:type="pct"/>
                  <w:tcBorders>
                    <w:tl2br w:val="nil"/>
                    <w:tr2bl w:val="nil"/>
                  </w:tcBorders>
                  <w:vAlign w:val="center"/>
                </w:tcPr>
                <w:p w14:paraId="406CD57C">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项目不属于小型造纸、制革、印染、染料、炼焦、炼硫、炼砷、炼汞、炼油、电镀、农药、石棉、水泥、玻璃、钢铁、火电以及其他严重污染水环境的生产项目。</w:t>
                  </w:r>
                </w:p>
              </w:tc>
            </w:tr>
            <w:tr w14:paraId="4594CE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78EA1169">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46AAE41A">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11</w:t>
                  </w:r>
                </w:p>
              </w:tc>
              <w:tc>
                <w:tcPr>
                  <w:tcW w:w="3020" w:type="pct"/>
                  <w:tcBorders>
                    <w:tl2br w:val="nil"/>
                    <w:tr2bl w:val="nil"/>
                  </w:tcBorders>
                  <w:vAlign w:val="center"/>
                </w:tcPr>
                <w:p w14:paraId="24FD9622">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新建、改建、扩建造纸、焦化、氮肥、有色金属、印染、农副食品加工、原料药制造、制革、农药、电镀等重点行业建设项目，实行主要污染物排放等量或减量置换。</w:t>
                  </w:r>
                </w:p>
              </w:tc>
              <w:tc>
                <w:tcPr>
                  <w:tcW w:w="1431" w:type="pct"/>
                  <w:tcBorders>
                    <w:tl2br w:val="nil"/>
                    <w:tr2bl w:val="nil"/>
                  </w:tcBorders>
                  <w:vAlign w:val="center"/>
                </w:tcPr>
                <w:p w14:paraId="2F756447">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项目不属于新建、改建、扩建造纸、焦化、氮肥、有色金属、印染、农副食品加工、原料药制造、制革、农药、电镀等重点行业建设项目。</w:t>
                  </w:r>
                </w:p>
              </w:tc>
            </w:tr>
            <w:tr w14:paraId="13954A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0B4ADE5E">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524169DB">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12</w:t>
                  </w:r>
                </w:p>
              </w:tc>
              <w:tc>
                <w:tcPr>
                  <w:tcW w:w="3020" w:type="pct"/>
                  <w:tcBorders>
                    <w:tl2br w:val="nil"/>
                    <w:tr2bl w:val="nil"/>
                  </w:tcBorders>
                  <w:vAlign w:val="center"/>
                </w:tcPr>
                <w:p w14:paraId="3286C8C2">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严格落实钢铁、水泥、平板玻璃产能减量置换政策。推进钢铁、水泥、焦化行业及燃煤锅炉超低排放改造。</w:t>
                  </w:r>
                </w:p>
              </w:tc>
              <w:tc>
                <w:tcPr>
                  <w:tcW w:w="1431" w:type="pct"/>
                  <w:tcBorders>
                    <w:tl2br w:val="nil"/>
                    <w:tr2bl w:val="nil"/>
                  </w:tcBorders>
                  <w:vAlign w:val="center"/>
                </w:tcPr>
                <w:p w14:paraId="77D077EA">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项目不属于钢铁、水泥、平板玻璃项目。</w:t>
                  </w:r>
                </w:p>
              </w:tc>
            </w:tr>
            <w:tr w14:paraId="40B0B0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jc w:val="center"/>
              </w:trPr>
              <w:tc>
                <w:tcPr>
                  <w:tcW w:w="279" w:type="pct"/>
                  <w:vMerge w:val="continue"/>
                  <w:tcBorders>
                    <w:tl2br w:val="nil"/>
                    <w:tr2bl w:val="nil"/>
                  </w:tcBorders>
                  <w:vAlign w:val="center"/>
                </w:tcPr>
                <w:p w14:paraId="614908FC">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49EA8C34">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13</w:t>
                  </w:r>
                </w:p>
              </w:tc>
              <w:tc>
                <w:tcPr>
                  <w:tcW w:w="3020" w:type="pct"/>
                  <w:tcBorders>
                    <w:tl2br w:val="nil"/>
                    <w:tr2bl w:val="nil"/>
                  </w:tcBorders>
                  <w:vAlign w:val="center"/>
                </w:tcPr>
                <w:p w14:paraId="46118CDE">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推动全省34个涉气重点行业企业绩效分级，积极引导污染物排放总量大、污染物排放浓度高的行业企业开展超低排放改造。</w:t>
                  </w:r>
                </w:p>
              </w:tc>
              <w:tc>
                <w:tcPr>
                  <w:tcW w:w="1431" w:type="pct"/>
                  <w:tcBorders>
                    <w:tl2br w:val="nil"/>
                    <w:tr2bl w:val="nil"/>
                  </w:tcBorders>
                  <w:vAlign w:val="center"/>
                </w:tcPr>
                <w:p w14:paraId="2A5602A8">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本企业不属于污染物排放总量大、污染物排放浓度高的行业企业。</w:t>
                  </w:r>
                </w:p>
              </w:tc>
            </w:tr>
            <w:tr w14:paraId="5084DF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5582981A">
                  <w:pPr>
                    <w:spacing w:line="240" w:lineRule="auto"/>
                    <w:ind w:firstLine="0" w:firstLineChars="0"/>
                    <w:rPr>
                      <w:color w:val="000000" w:themeColor="text1"/>
                      <w:sz w:val="21"/>
                      <w14:textFill>
                        <w14:solidFill>
                          <w14:schemeClr w14:val="tx1"/>
                        </w14:solidFill>
                      </w14:textFill>
                    </w:rPr>
                  </w:pPr>
                </w:p>
              </w:tc>
              <w:tc>
                <w:tcPr>
                  <w:tcW w:w="270" w:type="pct"/>
                  <w:tcBorders>
                    <w:tl2br w:val="nil"/>
                    <w:tr2bl w:val="nil"/>
                  </w:tcBorders>
                  <w:vAlign w:val="center"/>
                </w:tcPr>
                <w:p w14:paraId="0E11EE25">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14</w:t>
                  </w:r>
                </w:p>
              </w:tc>
              <w:tc>
                <w:tcPr>
                  <w:tcW w:w="3020" w:type="pct"/>
                  <w:tcBorders>
                    <w:tl2br w:val="nil"/>
                    <w:tr2bl w:val="nil"/>
                  </w:tcBorders>
                  <w:vAlign w:val="center"/>
                </w:tcPr>
                <w:p w14:paraId="60E9CCF8">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禁止新建、扩建不符合要求的高耗能高排放项目。</w:t>
                  </w:r>
                </w:p>
              </w:tc>
              <w:tc>
                <w:tcPr>
                  <w:tcW w:w="1431" w:type="pct"/>
                  <w:tcBorders>
                    <w:tl2br w:val="nil"/>
                    <w:tr2bl w:val="nil"/>
                  </w:tcBorders>
                  <w:vAlign w:val="center"/>
                </w:tcPr>
                <w:p w14:paraId="04692389">
                  <w:pPr>
                    <w:spacing w:line="240" w:lineRule="auto"/>
                    <w:ind w:firstLine="0" w:firstLineChars="0"/>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项目不属于新建、扩建不符合要求的高耗能高排放项目。</w:t>
                  </w:r>
                </w:p>
              </w:tc>
            </w:tr>
            <w:tr w14:paraId="5944BA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restart"/>
                  <w:tcBorders>
                    <w:tl2br w:val="nil"/>
                    <w:tr2bl w:val="nil"/>
                  </w:tcBorders>
                  <w:vAlign w:val="center"/>
                </w:tcPr>
                <w:p w14:paraId="25B4BC34">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环境风险防控</w:t>
                  </w:r>
                </w:p>
              </w:tc>
              <w:tc>
                <w:tcPr>
                  <w:tcW w:w="270" w:type="pct"/>
                  <w:tcBorders>
                    <w:tl2br w:val="nil"/>
                    <w:tr2bl w:val="nil"/>
                  </w:tcBorders>
                  <w:vAlign w:val="center"/>
                </w:tcPr>
                <w:p w14:paraId="21A4EF02">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15</w:t>
                  </w:r>
                </w:p>
              </w:tc>
              <w:tc>
                <w:tcPr>
                  <w:tcW w:w="3020" w:type="pct"/>
                  <w:tcBorders>
                    <w:tl2br w:val="nil"/>
                    <w:tr2bl w:val="nil"/>
                  </w:tcBorders>
                  <w:vAlign w:val="center"/>
                </w:tcPr>
                <w:p w14:paraId="60411B36">
                  <w:pPr>
                    <w:spacing w:line="240" w:lineRule="auto"/>
                    <w:ind w:firstLine="0" w:firstLineChars="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在居民集中区、医院和学校附近、重要水源涵养生态功能区等环境风险防控重点区域，禁止新建或扩建化工石化、有色冶炼、制浆造纸等可能引发环境风险的项目。</w:t>
                  </w:r>
                </w:p>
              </w:tc>
              <w:tc>
                <w:tcPr>
                  <w:tcW w:w="1431" w:type="pct"/>
                  <w:tcBorders>
                    <w:tl2br w:val="nil"/>
                    <w:tr2bl w:val="nil"/>
                  </w:tcBorders>
                  <w:vAlign w:val="center"/>
                </w:tcPr>
                <w:p w14:paraId="3CBDD297">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项目不属于新建或扩建化工石化、有色冶炼、制浆造纸项目。</w:t>
                  </w:r>
                </w:p>
              </w:tc>
            </w:tr>
            <w:tr w14:paraId="592368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3CC22347">
                  <w:pPr>
                    <w:spacing w:line="240" w:lineRule="auto"/>
                    <w:ind w:firstLine="0" w:firstLineChars="0"/>
                    <w:jc w:val="center"/>
                    <w:rPr>
                      <w:color w:val="000000" w:themeColor="text1"/>
                      <w:sz w:val="21"/>
                      <w14:textFill>
                        <w14:solidFill>
                          <w14:schemeClr w14:val="tx1"/>
                        </w14:solidFill>
                      </w14:textFill>
                    </w:rPr>
                  </w:pPr>
                </w:p>
              </w:tc>
              <w:tc>
                <w:tcPr>
                  <w:tcW w:w="270" w:type="pct"/>
                  <w:tcBorders>
                    <w:tl2br w:val="nil"/>
                    <w:tr2bl w:val="nil"/>
                  </w:tcBorders>
                  <w:vAlign w:val="center"/>
                </w:tcPr>
                <w:p w14:paraId="7ED036F4">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16</w:t>
                  </w:r>
                </w:p>
              </w:tc>
              <w:tc>
                <w:tcPr>
                  <w:tcW w:w="3020" w:type="pct"/>
                  <w:tcBorders>
                    <w:tl2br w:val="nil"/>
                    <w:tr2bl w:val="nil"/>
                  </w:tcBorders>
                  <w:vAlign w:val="center"/>
                </w:tcPr>
                <w:p w14:paraId="14D91884">
                  <w:pPr>
                    <w:spacing w:line="240" w:lineRule="auto"/>
                    <w:ind w:firstLine="0" w:firstLineChars="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含有毒有害氰化物电镀工艺（电镀金、银、铜基合金及预镀铜打底工艺除外）。</w:t>
                  </w:r>
                </w:p>
              </w:tc>
              <w:tc>
                <w:tcPr>
                  <w:tcW w:w="1431" w:type="pct"/>
                  <w:tcBorders>
                    <w:tl2br w:val="nil"/>
                    <w:tr2bl w:val="nil"/>
                  </w:tcBorders>
                  <w:vAlign w:val="center"/>
                </w:tcPr>
                <w:p w14:paraId="678E4CC1">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项目不含有毒有害氰化物电镀工艺。</w:t>
                  </w:r>
                </w:p>
              </w:tc>
            </w:tr>
            <w:tr w14:paraId="340B22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3E7CF349">
                  <w:pPr>
                    <w:spacing w:line="240" w:lineRule="auto"/>
                    <w:ind w:firstLine="0" w:firstLineChars="0"/>
                    <w:jc w:val="center"/>
                    <w:rPr>
                      <w:color w:val="000000" w:themeColor="text1"/>
                      <w:sz w:val="21"/>
                      <w14:textFill>
                        <w14:solidFill>
                          <w14:schemeClr w14:val="tx1"/>
                        </w14:solidFill>
                      </w14:textFill>
                    </w:rPr>
                  </w:pPr>
                </w:p>
              </w:tc>
              <w:tc>
                <w:tcPr>
                  <w:tcW w:w="270" w:type="pct"/>
                  <w:tcBorders>
                    <w:tl2br w:val="nil"/>
                    <w:tr2bl w:val="nil"/>
                  </w:tcBorders>
                  <w:vAlign w:val="center"/>
                </w:tcPr>
                <w:p w14:paraId="5A8E1148">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17</w:t>
                  </w:r>
                </w:p>
              </w:tc>
              <w:tc>
                <w:tcPr>
                  <w:tcW w:w="3020" w:type="pct"/>
                  <w:tcBorders>
                    <w:tl2br w:val="nil"/>
                    <w:tr2bl w:val="nil"/>
                  </w:tcBorders>
                  <w:vAlign w:val="center"/>
                </w:tcPr>
                <w:p w14:paraId="1739E83A">
                  <w:pPr>
                    <w:spacing w:line="240" w:lineRule="auto"/>
                    <w:ind w:firstLine="0" w:firstLineChars="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tc>
              <w:tc>
                <w:tcPr>
                  <w:tcW w:w="1431" w:type="pct"/>
                  <w:tcBorders>
                    <w:tl2br w:val="nil"/>
                    <w:tr2bl w:val="nil"/>
                  </w:tcBorders>
                  <w:vAlign w:val="center"/>
                </w:tcPr>
                <w:p w14:paraId="238EB038">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项目不属于港口、码头、装卸站和船舶修造厂。</w:t>
                  </w:r>
                </w:p>
              </w:tc>
            </w:tr>
            <w:tr w14:paraId="3AE247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4D7DFF28">
                  <w:pPr>
                    <w:spacing w:line="240" w:lineRule="auto"/>
                    <w:ind w:firstLine="0" w:firstLineChars="0"/>
                    <w:jc w:val="center"/>
                    <w:rPr>
                      <w:color w:val="000000" w:themeColor="text1"/>
                      <w:sz w:val="21"/>
                      <w14:textFill>
                        <w14:solidFill>
                          <w14:schemeClr w14:val="tx1"/>
                        </w14:solidFill>
                      </w14:textFill>
                    </w:rPr>
                  </w:pPr>
                </w:p>
              </w:tc>
              <w:tc>
                <w:tcPr>
                  <w:tcW w:w="270" w:type="pct"/>
                  <w:tcBorders>
                    <w:tl2br w:val="nil"/>
                    <w:tr2bl w:val="nil"/>
                  </w:tcBorders>
                  <w:vAlign w:val="center"/>
                </w:tcPr>
                <w:p w14:paraId="75B27633">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18</w:t>
                  </w:r>
                </w:p>
              </w:tc>
              <w:tc>
                <w:tcPr>
                  <w:tcW w:w="3020" w:type="pct"/>
                  <w:tcBorders>
                    <w:tl2br w:val="nil"/>
                    <w:tr2bl w:val="nil"/>
                  </w:tcBorders>
                  <w:vAlign w:val="center"/>
                </w:tcPr>
                <w:p w14:paraId="5A6D7192">
                  <w:pPr>
                    <w:spacing w:line="240" w:lineRule="auto"/>
                    <w:ind w:firstLine="0" w:firstLineChars="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位于城镇人口密集区内，安全、卫生防护距离不能满足相关要求和不符合规划的现有危险化学品生产企业限期退出或依法关停。</w:t>
                  </w:r>
                </w:p>
              </w:tc>
              <w:tc>
                <w:tcPr>
                  <w:tcW w:w="1431" w:type="pct"/>
                  <w:tcBorders>
                    <w:tl2br w:val="nil"/>
                    <w:tr2bl w:val="nil"/>
                  </w:tcBorders>
                  <w:vAlign w:val="center"/>
                </w:tcPr>
                <w:p w14:paraId="33AACF5F">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项目不属于危险化学品生产企业。</w:t>
                  </w:r>
                </w:p>
              </w:tc>
            </w:tr>
            <w:tr w14:paraId="31E76C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15DCF69A">
                  <w:pPr>
                    <w:spacing w:line="240" w:lineRule="auto"/>
                    <w:ind w:firstLine="0" w:firstLineChars="0"/>
                    <w:jc w:val="center"/>
                    <w:rPr>
                      <w:color w:val="000000" w:themeColor="text1"/>
                      <w:sz w:val="21"/>
                      <w14:textFill>
                        <w14:solidFill>
                          <w14:schemeClr w14:val="tx1"/>
                        </w14:solidFill>
                      </w14:textFill>
                    </w:rPr>
                  </w:pPr>
                </w:p>
              </w:tc>
              <w:tc>
                <w:tcPr>
                  <w:tcW w:w="270" w:type="pct"/>
                  <w:tcBorders>
                    <w:tl2br w:val="nil"/>
                    <w:tr2bl w:val="nil"/>
                  </w:tcBorders>
                  <w:vAlign w:val="center"/>
                </w:tcPr>
                <w:p w14:paraId="58ED3F45">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19</w:t>
                  </w:r>
                </w:p>
              </w:tc>
              <w:tc>
                <w:tcPr>
                  <w:tcW w:w="3020" w:type="pct"/>
                  <w:tcBorders>
                    <w:tl2br w:val="nil"/>
                    <w:tr2bl w:val="nil"/>
                  </w:tcBorders>
                  <w:vAlign w:val="center"/>
                </w:tcPr>
                <w:p w14:paraId="20A1254B">
                  <w:pPr>
                    <w:spacing w:line="240" w:lineRule="auto"/>
                    <w:ind w:firstLine="0" w:firstLineChars="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禁止在长江干流岸线三公里范围内和重要支流岸线一公里范围内新建、改建、扩建尾矿库、冶炼渣库和磷石膏库，以提升安全、生态环境保护水平为目的的改建除外。</w:t>
                  </w:r>
                </w:p>
              </w:tc>
              <w:tc>
                <w:tcPr>
                  <w:tcW w:w="1431" w:type="pct"/>
                  <w:tcBorders>
                    <w:tl2br w:val="nil"/>
                    <w:tr2bl w:val="nil"/>
                  </w:tcBorders>
                  <w:vAlign w:val="center"/>
                </w:tcPr>
                <w:p w14:paraId="61205EF3">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项目不属于新建、改建、扩建尾矿库、冶炼渣库和磷石膏库。</w:t>
                  </w:r>
                </w:p>
              </w:tc>
            </w:tr>
            <w:tr w14:paraId="54A869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restart"/>
                  <w:tcBorders>
                    <w:tl2br w:val="nil"/>
                    <w:tr2bl w:val="nil"/>
                  </w:tcBorders>
                  <w:vAlign w:val="center"/>
                </w:tcPr>
                <w:p w14:paraId="2A2BA771">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资源利用效率要求</w:t>
                  </w:r>
                </w:p>
              </w:tc>
              <w:tc>
                <w:tcPr>
                  <w:tcW w:w="270" w:type="pct"/>
                  <w:tcBorders>
                    <w:tl2br w:val="nil"/>
                    <w:tr2bl w:val="nil"/>
                  </w:tcBorders>
                  <w:vAlign w:val="center"/>
                </w:tcPr>
                <w:p w14:paraId="67C35445">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20</w:t>
                  </w:r>
                </w:p>
              </w:tc>
              <w:tc>
                <w:tcPr>
                  <w:tcW w:w="3020" w:type="pct"/>
                  <w:tcBorders>
                    <w:tl2br w:val="nil"/>
                    <w:tr2bl w:val="nil"/>
                  </w:tcBorders>
                  <w:vAlign w:val="center"/>
                </w:tcPr>
                <w:p w14:paraId="4B84BA13">
                  <w:pPr>
                    <w:spacing w:line="240" w:lineRule="auto"/>
                    <w:ind w:firstLine="0" w:firstLineChars="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对取用水总量已达到或超过控制指标的地区，暂停审批建设项目新增取水。对取用水总量接近控制指标的地区，限制审批建设项目新增取水。</w:t>
                  </w:r>
                </w:p>
              </w:tc>
              <w:tc>
                <w:tcPr>
                  <w:tcW w:w="1431" w:type="pct"/>
                  <w:tcBorders>
                    <w:tl2br w:val="nil"/>
                    <w:tr2bl w:val="nil"/>
                  </w:tcBorders>
                  <w:vAlign w:val="center"/>
                </w:tcPr>
                <w:p w14:paraId="3DE35108">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项目不属于用水总量已达到或超过控制指标的地区。</w:t>
                  </w:r>
                </w:p>
              </w:tc>
            </w:tr>
            <w:tr w14:paraId="56E038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279" w:type="pct"/>
                  <w:vMerge w:val="continue"/>
                  <w:tcBorders>
                    <w:tl2br w:val="nil"/>
                    <w:tr2bl w:val="nil"/>
                  </w:tcBorders>
                  <w:vAlign w:val="center"/>
                </w:tcPr>
                <w:p w14:paraId="5BE3A21F">
                  <w:pPr>
                    <w:spacing w:line="240" w:lineRule="auto"/>
                    <w:ind w:firstLine="0" w:firstLineChars="0"/>
                    <w:jc w:val="center"/>
                    <w:rPr>
                      <w:color w:val="000000" w:themeColor="text1"/>
                      <w:sz w:val="21"/>
                      <w14:textFill>
                        <w14:solidFill>
                          <w14:schemeClr w14:val="tx1"/>
                        </w14:solidFill>
                      </w14:textFill>
                    </w:rPr>
                  </w:pPr>
                </w:p>
              </w:tc>
              <w:tc>
                <w:tcPr>
                  <w:tcW w:w="270" w:type="pct"/>
                  <w:tcBorders>
                    <w:tl2br w:val="nil"/>
                    <w:tr2bl w:val="nil"/>
                  </w:tcBorders>
                  <w:vAlign w:val="center"/>
                </w:tcPr>
                <w:p w14:paraId="46CF6491">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21</w:t>
                  </w:r>
                </w:p>
              </w:tc>
              <w:tc>
                <w:tcPr>
                  <w:tcW w:w="3020" w:type="pct"/>
                  <w:tcBorders>
                    <w:tl2br w:val="nil"/>
                    <w:tr2bl w:val="nil"/>
                  </w:tcBorders>
                  <w:vAlign w:val="center"/>
                </w:tcPr>
                <w:p w14:paraId="1D51D855">
                  <w:pPr>
                    <w:spacing w:line="240" w:lineRule="auto"/>
                    <w:ind w:firstLine="0" w:firstLineChars="0"/>
                    <w:jc w:val="left"/>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在禁燃区内，禁止新建、扩建燃用高污染燃料的项目和设施，已建成的应逐步改用天然气、电或者其他清洁能源。</w:t>
                  </w:r>
                </w:p>
              </w:tc>
              <w:tc>
                <w:tcPr>
                  <w:tcW w:w="1431" w:type="pct"/>
                  <w:tcBorders>
                    <w:tl2br w:val="nil"/>
                    <w:tr2bl w:val="nil"/>
                  </w:tcBorders>
                  <w:vAlign w:val="center"/>
                </w:tcPr>
                <w:p w14:paraId="67E4FD8F">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项目不在禁燃区。</w:t>
                  </w:r>
                </w:p>
              </w:tc>
            </w:tr>
          </w:tbl>
          <w:p w14:paraId="05FF9D6E">
            <w:pPr>
              <w:pStyle w:val="57"/>
              <w:numPr>
                <w:ilvl w:val="0"/>
                <w:numId w:val="0"/>
              </w:numPr>
              <w:spacing w:before="120" w:beforeLines="50" w:line="360" w:lineRule="auto"/>
              <w:ind w:firstLine="480" w:firstLineChars="200"/>
              <w:jc w:val="both"/>
              <w:rPr>
                <w:b w:val="0"/>
                <w:color w:val="000000" w:themeColor="text1"/>
                <w:sz w:val="24"/>
                <w:szCs w:val="24"/>
                <w:lang w:eastAsia="zh-CN"/>
                <w14:textFill>
                  <w14:solidFill>
                    <w14:schemeClr w14:val="tx1"/>
                  </w14:solidFill>
                </w14:textFill>
              </w:rPr>
            </w:pPr>
            <w:r>
              <w:rPr>
                <w:rFonts w:hint="eastAsia"/>
                <w:b w:val="0"/>
                <w:color w:val="000000" w:themeColor="text1"/>
                <w:sz w:val="24"/>
                <w:szCs w:val="24"/>
                <w:lang w:eastAsia="zh-CN"/>
                <w14:textFill>
                  <w14:solidFill>
                    <w14:schemeClr w14:val="tx1"/>
                  </w14:solidFill>
                </w14:textFill>
              </w:rPr>
              <w:t>依据《宜春市人民政府办公室关于公布宜春市生态环境分区管控成果（2023版）的通知》（宜府办发〔2024〕9号），高安市设2个优先保护单元，5个重点管控单元，2个一般管控单元。项目位于江西高安高新技术产业园区新世纪产业园，属于</w:t>
            </w:r>
            <w:bookmarkStart w:id="18" w:name="OLE_LINK33"/>
            <w:r>
              <w:rPr>
                <w:rFonts w:hint="eastAsia"/>
                <w:b w:val="0"/>
                <w:color w:val="000000" w:themeColor="text1"/>
                <w:sz w:val="24"/>
                <w:szCs w:val="24"/>
                <w:lang w:eastAsia="zh-CN"/>
                <w14:textFill>
                  <w14:solidFill>
                    <w14:schemeClr w14:val="tx1"/>
                  </w14:solidFill>
                </w14:textFill>
              </w:rPr>
              <w:t>江西省宜春市高安市重点管控单元</w:t>
            </w:r>
            <w:bookmarkEnd w:id="18"/>
            <w:r>
              <w:rPr>
                <w:rFonts w:hint="eastAsia"/>
                <w:b w:val="0"/>
                <w:color w:val="000000" w:themeColor="text1"/>
                <w:sz w:val="24"/>
                <w:szCs w:val="24"/>
                <w:lang w:eastAsia="zh-CN"/>
                <w14:textFill>
                  <w14:solidFill>
                    <w14:schemeClr w14:val="tx1"/>
                  </w14:solidFill>
                </w14:textFill>
              </w:rPr>
              <w:t>（环境管控单元编码：ZH36098320002），如图1-1。</w:t>
            </w:r>
          </w:p>
          <w:p w14:paraId="43F90FD9">
            <w:pPr>
              <w:pStyle w:val="57"/>
              <w:keepNext w:val="0"/>
              <w:keepLines w:val="0"/>
              <w:pageBreakBefore w:val="0"/>
              <w:widowControl w:val="0"/>
              <w:numPr>
                <w:ilvl w:val="0"/>
                <w:numId w:val="0"/>
              </w:numPr>
              <w:kinsoku/>
              <w:wordWrap/>
              <w:overflowPunct/>
              <w:topLinePunct w:val="0"/>
              <w:autoSpaceDE/>
              <w:autoSpaceDN/>
              <w:bidi w:val="0"/>
              <w:adjustRightInd w:val="0"/>
              <w:snapToGrid w:val="0"/>
              <w:spacing w:before="120" w:beforeLines="50" w:line="360" w:lineRule="auto"/>
              <w:ind w:firstLine="0" w:firstLineChars="0"/>
              <w:jc w:val="both"/>
              <w:textAlignment w:val="auto"/>
              <w:rPr>
                <w:b w:val="0"/>
                <w:color w:val="000000" w:themeColor="text1"/>
                <w:sz w:val="24"/>
                <w:szCs w:val="24"/>
                <w:lang w:eastAsia="zh-CN"/>
                <w14:textFill>
                  <w14:solidFill>
                    <w14:schemeClr w14:val="tx1"/>
                  </w14:solidFill>
                </w14:textFill>
              </w:rPr>
            </w:pPr>
            <w:r>
              <w:rPr>
                <w:color w:val="000000" w:themeColor="text1"/>
                <w14:textFill>
                  <w14:solidFill>
                    <w14:schemeClr w14:val="tx1"/>
                  </w14:solidFill>
                </w14:textFill>
              </w:rPr>
              <w:drawing>
                <wp:inline distT="0" distB="0" distL="0" distR="0">
                  <wp:extent cx="4615180" cy="2371725"/>
                  <wp:effectExtent l="0" t="0" r="13970" b="9525"/>
                  <wp:docPr id="7087515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51585" name="图片 1"/>
                          <pic:cNvPicPr>
                            <a:picLocks noChangeAspect="1"/>
                          </pic:cNvPicPr>
                        </pic:nvPicPr>
                        <pic:blipFill>
                          <a:blip r:embed="rId17"/>
                          <a:stretch>
                            <a:fillRect/>
                          </a:stretch>
                        </pic:blipFill>
                        <pic:spPr>
                          <a:xfrm>
                            <a:off x="0" y="0"/>
                            <a:ext cx="4615180" cy="2371725"/>
                          </a:xfrm>
                          <a:prstGeom prst="rect">
                            <a:avLst/>
                          </a:prstGeom>
                        </pic:spPr>
                      </pic:pic>
                    </a:graphicData>
                  </a:graphic>
                </wp:inline>
              </w:drawing>
            </w:r>
          </w:p>
          <w:p w14:paraId="0DAE28C8">
            <w:pPr>
              <w:pStyle w:val="58"/>
              <w:spacing w:after="120"/>
              <w:ind w:firstLine="42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项目所在环境管控单元分析图</w:t>
            </w:r>
          </w:p>
          <w:p w14:paraId="3C16C570">
            <w:pPr>
              <w:pStyle w:val="57"/>
              <w:spacing w:before="120" w:beforeLines="5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项目与宜春市生态环境总体准入清单相符性</w:t>
            </w:r>
          </w:p>
          <w:tbl>
            <w:tblPr>
              <w:tblStyle w:val="3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484"/>
              <w:gridCol w:w="543"/>
              <w:gridCol w:w="689"/>
              <w:gridCol w:w="3763"/>
              <w:gridCol w:w="1847"/>
              <w:gridCol w:w="486"/>
            </w:tblGrid>
            <w:tr w14:paraId="160FAA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507632D9">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序号</w:t>
                  </w:r>
                </w:p>
              </w:tc>
              <w:tc>
                <w:tcPr>
                  <w:tcW w:w="353" w:type="pct"/>
                  <w:tcBorders>
                    <w:tl2br w:val="nil"/>
                    <w:tr2bl w:val="nil"/>
                  </w:tcBorders>
                  <w:vAlign w:val="center"/>
                </w:tcPr>
                <w:p w14:paraId="61898513">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维度</w:t>
                  </w:r>
                </w:p>
              </w:tc>
              <w:tc>
                <w:tcPr>
                  <w:tcW w:w="447" w:type="pct"/>
                  <w:tcBorders>
                    <w:tl2br w:val="nil"/>
                    <w:tr2bl w:val="nil"/>
                  </w:tcBorders>
                  <w:vAlign w:val="center"/>
                </w:tcPr>
                <w:p w14:paraId="73C3065C">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清单编制要求</w:t>
                  </w:r>
                </w:p>
              </w:tc>
              <w:tc>
                <w:tcPr>
                  <w:tcW w:w="2414" w:type="pct"/>
                  <w:tcBorders>
                    <w:tl2br w:val="nil"/>
                    <w:tr2bl w:val="nil"/>
                  </w:tcBorders>
                  <w:vAlign w:val="center"/>
                </w:tcPr>
                <w:p w14:paraId="1BD7FD2C">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准入清单</w:t>
                  </w:r>
                </w:p>
              </w:tc>
              <w:tc>
                <w:tcPr>
                  <w:tcW w:w="1188" w:type="pct"/>
                  <w:tcBorders>
                    <w:tl2br w:val="nil"/>
                    <w:tr2bl w:val="nil"/>
                  </w:tcBorders>
                  <w:vAlign w:val="center"/>
                </w:tcPr>
                <w:p w14:paraId="48183D4D">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项目情况</w:t>
                  </w:r>
                </w:p>
              </w:tc>
              <w:tc>
                <w:tcPr>
                  <w:tcW w:w="317" w:type="pct"/>
                  <w:tcBorders>
                    <w:tl2br w:val="nil"/>
                    <w:tr2bl w:val="nil"/>
                  </w:tcBorders>
                  <w:vAlign w:val="center"/>
                </w:tcPr>
                <w:p w14:paraId="64F49547">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相符性分析</w:t>
                  </w:r>
                </w:p>
              </w:tc>
            </w:tr>
            <w:tr w14:paraId="427E1A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721169D4">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353" w:type="pct"/>
                  <w:vMerge w:val="restart"/>
                  <w:tcBorders>
                    <w:tl2br w:val="nil"/>
                    <w:tr2bl w:val="nil"/>
                  </w:tcBorders>
                  <w:vAlign w:val="center"/>
                </w:tcPr>
                <w:p w14:paraId="2115E294">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空间布局约束</w:t>
                  </w:r>
                </w:p>
              </w:tc>
              <w:tc>
                <w:tcPr>
                  <w:tcW w:w="447" w:type="pct"/>
                  <w:tcBorders>
                    <w:tl2br w:val="nil"/>
                    <w:tr2bl w:val="nil"/>
                  </w:tcBorders>
                  <w:vAlign w:val="center"/>
                </w:tcPr>
                <w:p w14:paraId="5FA20548">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禁止开发建设活动的要求</w:t>
                  </w:r>
                </w:p>
              </w:tc>
              <w:tc>
                <w:tcPr>
                  <w:tcW w:w="2414" w:type="pct"/>
                  <w:tcBorders>
                    <w:tl2br w:val="nil"/>
                    <w:tr2bl w:val="nil"/>
                  </w:tcBorders>
                  <w:vAlign w:val="center"/>
                </w:tcPr>
                <w:p w14:paraId="649D03E7">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禁止新建《产业结构调整指导目录》限制类和淘汰类项目，现有产业改、扩建不得使用《产业结构调整指导目录》规定的淘汰类规模和生产工艺。</w:t>
                  </w:r>
                </w:p>
              </w:tc>
              <w:tc>
                <w:tcPr>
                  <w:tcW w:w="1188" w:type="pct"/>
                  <w:tcBorders>
                    <w:tl2br w:val="nil"/>
                    <w:tr2bl w:val="nil"/>
                  </w:tcBorders>
                  <w:vAlign w:val="center"/>
                </w:tcPr>
                <w:p w14:paraId="76AB8EFB">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本项目为允许类项目。</w:t>
                  </w:r>
                </w:p>
              </w:tc>
              <w:tc>
                <w:tcPr>
                  <w:tcW w:w="317" w:type="pct"/>
                  <w:tcBorders>
                    <w:tl2br w:val="nil"/>
                    <w:tr2bl w:val="nil"/>
                  </w:tcBorders>
                  <w:vAlign w:val="center"/>
                </w:tcPr>
                <w:p w14:paraId="2E9919C3">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3973AC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bottom w:val="single" w:color="auto" w:sz="4" w:space="0"/>
                    <w:tl2br w:val="nil"/>
                    <w:tr2bl w:val="nil"/>
                  </w:tcBorders>
                  <w:vAlign w:val="center"/>
                </w:tcPr>
                <w:p w14:paraId="7ADC65DD">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353" w:type="pct"/>
                  <w:vMerge w:val="continue"/>
                  <w:tcBorders>
                    <w:tl2br w:val="nil"/>
                    <w:tr2bl w:val="nil"/>
                  </w:tcBorders>
                  <w:vAlign w:val="center"/>
                </w:tcPr>
                <w:p w14:paraId="743CD913">
                  <w:pPr>
                    <w:spacing w:line="240" w:lineRule="auto"/>
                    <w:ind w:firstLine="0" w:firstLineChars="0"/>
                    <w:jc w:val="center"/>
                    <w:rPr>
                      <w:color w:val="000000" w:themeColor="text1"/>
                      <w:sz w:val="21"/>
                      <w:szCs w:val="21"/>
                      <w14:textFill>
                        <w14:solidFill>
                          <w14:schemeClr w14:val="tx1"/>
                        </w14:solidFill>
                      </w14:textFill>
                    </w:rPr>
                  </w:pPr>
                </w:p>
              </w:tc>
              <w:tc>
                <w:tcPr>
                  <w:tcW w:w="447" w:type="pct"/>
                  <w:vMerge w:val="restart"/>
                  <w:tcBorders>
                    <w:tl2br w:val="nil"/>
                    <w:tr2bl w:val="nil"/>
                  </w:tcBorders>
                  <w:vAlign w:val="center"/>
                </w:tcPr>
                <w:p w14:paraId="5D60AF9A">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限制开发建设活动的要求</w:t>
                  </w:r>
                </w:p>
              </w:tc>
              <w:tc>
                <w:tcPr>
                  <w:tcW w:w="2414" w:type="pct"/>
                  <w:tcBorders>
                    <w:tl2br w:val="nil"/>
                    <w:tr2bl w:val="nil"/>
                  </w:tcBorders>
                  <w:vAlign w:val="center"/>
                </w:tcPr>
                <w:p w14:paraId="2FB10980">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严禁在距离水源地以及流域面积大于1000平方公里的河流和禾水、渌水岸线1公里范围内新（改、扩）建尾矿库。</w:t>
                  </w:r>
                </w:p>
              </w:tc>
              <w:tc>
                <w:tcPr>
                  <w:tcW w:w="1188" w:type="pct"/>
                  <w:tcBorders>
                    <w:tl2br w:val="nil"/>
                    <w:tr2bl w:val="nil"/>
                  </w:tcBorders>
                  <w:vAlign w:val="center"/>
                </w:tcPr>
                <w:p w14:paraId="35C63EE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项目不属于在赣江岸线一公里范围内新建、扩建化工园区和化工项目，不属于冶炼渣库和磷石膏库项目。</w:t>
                  </w:r>
                </w:p>
              </w:tc>
              <w:tc>
                <w:tcPr>
                  <w:tcW w:w="317" w:type="pct"/>
                  <w:tcBorders>
                    <w:tl2br w:val="nil"/>
                    <w:tr2bl w:val="nil"/>
                  </w:tcBorders>
                  <w:vAlign w:val="center"/>
                </w:tcPr>
                <w:p w14:paraId="11670D3E">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0CB842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op w:val="single" w:color="auto" w:sz="4" w:space="0"/>
                    <w:tl2br w:val="nil"/>
                    <w:tr2bl w:val="nil"/>
                  </w:tcBorders>
                  <w:vAlign w:val="center"/>
                </w:tcPr>
                <w:p w14:paraId="25A53F2B">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353" w:type="pct"/>
                  <w:vMerge w:val="continue"/>
                  <w:tcBorders>
                    <w:tl2br w:val="nil"/>
                    <w:tr2bl w:val="nil"/>
                  </w:tcBorders>
                  <w:vAlign w:val="center"/>
                </w:tcPr>
                <w:p w14:paraId="4F751582">
                  <w:pPr>
                    <w:spacing w:line="240" w:lineRule="auto"/>
                    <w:ind w:firstLine="0" w:firstLineChars="0"/>
                    <w:jc w:val="center"/>
                    <w:rPr>
                      <w:color w:val="000000" w:themeColor="text1"/>
                      <w:sz w:val="21"/>
                      <w:szCs w:val="21"/>
                      <w14:textFill>
                        <w14:solidFill>
                          <w14:schemeClr w14:val="tx1"/>
                        </w14:solidFill>
                      </w14:textFill>
                    </w:rPr>
                  </w:pPr>
                </w:p>
              </w:tc>
              <w:tc>
                <w:tcPr>
                  <w:tcW w:w="447" w:type="pct"/>
                  <w:vMerge w:val="continue"/>
                  <w:tcBorders>
                    <w:tl2br w:val="nil"/>
                    <w:tr2bl w:val="nil"/>
                  </w:tcBorders>
                  <w:vAlign w:val="center"/>
                </w:tcPr>
                <w:p w14:paraId="59C7019A">
                  <w:pPr>
                    <w:spacing w:line="240" w:lineRule="auto"/>
                    <w:ind w:firstLine="0" w:firstLineChars="0"/>
                    <w:jc w:val="center"/>
                    <w:rPr>
                      <w:color w:val="000000" w:themeColor="text1"/>
                      <w:sz w:val="21"/>
                      <w:szCs w:val="21"/>
                      <w14:textFill>
                        <w14:solidFill>
                          <w14:schemeClr w14:val="tx1"/>
                        </w14:solidFill>
                      </w14:textFill>
                    </w:rPr>
                  </w:pPr>
                </w:p>
              </w:tc>
              <w:tc>
                <w:tcPr>
                  <w:tcW w:w="2414" w:type="pct"/>
                  <w:tcBorders>
                    <w:tl2br w:val="nil"/>
                    <w:tr2bl w:val="nil"/>
                  </w:tcBorders>
                  <w:vAlign w:val="center"/>
                </w:tcPr>
                <w:p w14:paraId="5825988D">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不得在城镇居民聚集区域、规划区，主导风上风向，以城镇中心为界线，向外延伸5公里，新建化工（单纯混合、复配除外）、农药（原药生产）、钢铁、焦化、水泥（熟料）、有色金属冶炼等大气污染型项目。</w:t>
                  </w:r>
                </w:p>
              </w:tc>
              <w:tc>
                <w:tcPr>
                  <w:tcW w:w="1188" w:type="pct"/>
                  <w:tcBorders>
                    <w:tl2br w:val="nil"/>
                    <w:tr2bl w:val="nil"/>
                  </w:tcBorders>
                  <w:vAlign w:val="center"/>
                </w:tcPr>
                <w:p w14:paraId="355A3E14">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项目不属于新建化工（单纯混合、复配除外）、农药（原药生产）、钢铁、焦化、水泥（熟料）、有色金属冶炼等大气污染型项目。</w:t>
                  </w:r>
                </w:p>
              </w:tc>
              <w:tc>
                <w:tcPr>
                  <w:tcW w:w="317" w:type="pct"/>
                  <w:tcBorders>
                    <w:tl2br w:val="nil"/>
                    <w:tr2bl w:val="nil"/>
                  </w:tcBorders>
                  <w:vAlign w:val="center"/>
                </w:tcPr>
                <w:p w14:paraId="620C4B79">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4FC331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op w:val="single" w:color="auto" w:sz="4" w:space="0"/>
                    <w:tl2br w:val="nil"/>
                    <w:tr2bl w:val="nil"/>
                  </w:tcBorders>
                  <w:vAlign w:val="center"/>
                </w:tcPr>
                <w:p w14:paraId="6F59E9F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353" w:type="pct"/>
                  <w:vMerge w:val="continue"/>
                  <w:tcBorders>
                    <w:tl2br w:val="nil"/>
                    <w:tr2bl w:val="nil"/>
                  </w:tcBorders>
                  <w:vAlign w:val="center"/>
                </w:tcPr>
                <w:p w14:paraId="6770C260">
                  <w:pPr>
                    <w:spacing w:line="240" w:lineRule="auto"/>
                    <w:ind w:firstLine="0" w:firstLineChars="0"/>
                    <w:jc w:val="center"/>
                    <w:rPr>
                      <w:color w:val="000000" w:themeColor="text1"/>
                      <w:sz w:val="21"/>
                      <w:szCs w:val="21"/>
                      <w14:textFill>
                        <w14:solidFill>
                          <w14:schemeClr w14:val="tx1"/>
                        </w14:solidFill>
                      </w14:textFill>
                    </w:rPr>
                  </w:pPr>
                </w:p>
              </w:tc>
              <w:tc>
                <w:tcPr>
                  <w:tcW w:w="447" w:type="pct"/>
                  <w:vMerge w:val="continue"/>
                  <w:tcBorders>
                    <w:tl2br w:val="nil"/>
                    <w:tr2bl w:val="nil"/>
                  </w:tcBorders>
                  <w:vAlign w:val="center"/>
                </w:tcPr>
                <w:p w14:paraId="6BDDD894">
                  <w:pPr>
                    <w:spacing w:line="240" w:lineRule="auto"/>
                    <w:ind w:firstLine="0" w:firstLineChars="0"/>
                    <w:jc w:val="center"/>
                    <w:rPr>
                      <w:color w:val="000000" w:themeColor="text1"/>
                      <w:sz w:val="21"/>
                      <w:szCs w:val="21"/>
                      <w14:textFill>
                        <w14:solidFill>
                          <w14:schemeClr w14:val="tx1"/>
                        </w14:solidFill>
                      </w14:textFill>
                    </w:rPr>
                  </w:pPr>
                </w:p>
              </w:tc>
              <w:tc>
                <w:tcPr>
                  <w:tcW w:w="2414" w:type="pct"/>
                  <w:tcBorders>
                    <w:tl2br w:val="nil"/>
                    <w:tr2bl w:val="nil"/>
                  </w:tcBorders>
                  <w:vAlign w:val="center"/>
                </w:tcPr>
                <w:p w14:paraId="38CAA1B3">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生态保护红线内，自然保护地核心保护区原则上禁止人为活动，其他区域严格禁止开发性、生产性建设活动。</w:t>
                  </w:r>
                </w:p>
              </w:tc>
              <w:tc>
                <w:tcPr>
                  <w:tcW w:w="1188" w:type="pct"/>
                  <w:tcBorders>
                    <w:tl2br w:val="nil"/>
                    <w:tr2bl w:val="nil"/>
                  </w:tcBorders>
                  <w:vAlign w:val="center"/>
                </w:tcPr>
                <w:p w14:paraId="50AA1449">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项目不在生态保护红线内。</w:t>
                  </w:r>
                </w:p>
              </w:tc>
              <w:tc>
                <w:tcPr>
                  <w:tcW w:w="317" w:type="pct"/>
                  <w:tcBorders>
                    <w:tl2br w:val="nil"/>
                    <w:tr2bl w:val="nil"/>
                  </w:tcBorders>
                  <w:vAlign w:val="center"/>
                </w:tcPr>
                <w:p w14:paraId="27D9209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6A72ED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op w:val="single" w:color="auto" w:sz="4" w:space="0"/>
                    <w:tl2br w:val="nil"/>
                    <w:tr2bl w:val="nil"/>
                  </w:tcBorders>
                  <w:vAlign w:val="center"/>
                </w:tcPr>
                <w:p w14:paraId="0E55428B">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353" w:type="pct"/>
                  <w:vMerge w:val="continue"/>
                  <w:tcBorders>
                    <w:tl2br w:val="nil"/>
                    <w:tr2bl w:val="nil"/>
                  </w:tcBorders>
                  <w:vAlign w:val="center"/>
                </w:tcPr>
                <w:p w14:paraId="77E684AB">
                  <w:pPr>
                    <w:spacing w:line="240" w:lineRule="auto"/>
                    <w:ind w:firstLine="0" w:firstLineChars="0"/>
                    <w:jc w:val="center"/>
                    <w:rPr>
                      <w:color w:val="000000" w:themeColor="text1"/>
                      <w:sz w:val="21"/>
                      <w:szCs w:val="21"/>
                      <w14:textFill>
                        <w14:solidFill>
                          <w14:schemeClr w14:val="tx1"/>
                        </w14:solidFill>
                      </w14:textFill>
                    </w:rPr>
                  </w:pPr>
                </w:p>
              </w:tc>
              <w:tc>
                <w:tcPr>
                  <w:tcW w:w="447" w:type="pct"/>
                  <w:vMerge w:val="continue"/>
                  <w:tcBorders>
                    <w:tl2br w:val="nil"/>
                    <w:tr2bl w:val="nil"/>
                  </w:tcBorders>
                  <w:vAlign w:val="center"/>
                </w:tcPr>
                <w:p w14:paraId="617C7A79">
                  <w:pPr>
                    <w:spacing w:line="240" w:lineRule="auto"/>
                    <w:ind w:firstLine="0" w:firstLineChars="0"/>
                    <w:jc w:val="center"/>
                    <w:rPr>
                      <w:color w:val="000000" w:themeColor="text1"/>
                      <w:sz w:val="21"/>
                      <w:szCs w:val="21"/>
                      <w14:textFill>
                        <w14:solidFill>
                          <w14:schemeClr w14:val="tx1"/>
                        </w14:solidFill>
                      </w14:textFill>
                    </w:rPr>
                  </w:pPr>
                </w:p>
              </w:tc>
              <w:tc>
                <w:tcPr>
                  <w:tcW w:w="2414" w:type="pct"/>
                  <w:tcBorders>
                    <w:tl2br w:val="nil"/>
                    <w:tr2bl w:val="nil"/>
                  </w:tcBorders>
                  <w:vAlign w:val="center"/>
                </w:tcPr>
                <w:p w14:paraId="7F735297">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加强重金属污染源头防控，减少使用高铊矿石原料。废水、废气排放的涉铊企业要设置除铊治理设施，需相应达到排放标准要求，对于生产废水零排放的项目，企业废水总排口中铊不得检出。</w:t>
                  </w:r>
                </w:p>
              </w:tc>
              <w:tc>
                <w:tcPr>
                  <w:tcW w:w="1188" w:type="pct"/>
                  <w:tcBorders>
                    <w:tl2br w:val="nil"/>
                    <w:tr2bl w:val="nil"/>
                  </w:tcBorders>
                  <w:vAlign w:val="center"/>
                </w:tcPr>
                <w:p w14:paraId="06345482">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项目不使用高铊矿石原料。</w:t>
                  </w:r>
                </w:p>
              </w:tc>
              <w:tc>
                <w:tcPr>
                  <w:tcW w:w="317" w:type="pct"/>
                  <w:tcBorders>
                    <w:tl2br w:val="nil"/>
                    <w:tr2bl w:val="nil"/>
                  </w:tcBorders>
                  <w:vAlign w:val="center"/>
                </w:tcPr>
                <w:p w14:paraId="209AB733">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6F57AB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op w:val="single" w:color="auto" w:sz="4" w:space="0"/>
                    <w:tl2br w:val="nil"/>
                    <w:tr2bl w:val="nil"/>
                  </w:tcBorders>
                  <w:vAlign w:val="center"/>
                </w:tcPr>
                <w:p w14:paraId="0145A8C6">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353" w:type="pct"/>
                  <w:vMerge w:val="continue"/>
                  <w:tcBorders>
                    <w:tl2br w:val="nil"/>
                    <w:tr2bl w:val="nil"/>
                  </w:tcBorders>
                  <w:vAlign w:val="center"/>
                </w:tcPr>
                <w:p w14:paraId="68685C2A">
                  <w:pPr>
                    <w:spacing w:line="240" w:lineRule="auto"/>
                    <w:ind w:firstLine="0" w:firstLineChars="0"/>
                    <w:jc w:val="center"/>
                    <w:rPr>
                      <w:color w:val="000000" w:themeColor="text1"/>
                      <w:sz w:val="21"/>
                      <w:szCs w:val="21"/>
                      <w14:textFill>
                        <w14:solidFill>
                          <w14:schemeClr w14:val="tx1"/>
                        </w14:solidFill>
                      </w14:textFill>
                    </w:rPr>
                  </w:pPr>
                </w:p>
              </w:tc>
              <w:tc>
                <w:tcPr>
                  <w:tcW w:w="447" w:type="pct"/>
                  <w:tcBorders>
                    <w:tl2br w:val="nil"/>
                    <w:tr2bl w:val="nil"/>
                  </w:tcBorders>
                  <w:vAlign w:val="center"/>
                </w:tcPr>
                <w:p w14:paraId="06A4A5DB">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不符合空间布局要求活动的退出要求</w:t>
                  </w:r>
                </w:p>
              </w:tc>
              <w:tc>
                <w:tcPr>
                  <w:tcW w:w="2414" w:type="pct"/>
                  <w:tcBorders>
                    <w:tl2br w:val="nil"/>
                    <w:tr2bl w:val="nil"/>
                  </w:tcBorders>
                  <w:vAlign w:val="center"/>
                </w:tcPr>
                <w:p w14:paraId="757B8564">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城市建成区现有重污染企业（钢铁、水泥、浮化玻璃等）限期退出或改造；依法依规清除距离赣江岸线</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公里范围内未入园的化工企业，依法关闭</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小化工</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企业，全面加强化工企业环境监管。</w:t>
                  </w:r>
                </w:p>
              </w:tc>
              <w:tc>
                <w:tcPr>
                  <w:tcW w:w="1188" w:type="pct"/>
                  <w:tcBorders>
                    <w:tl2br w:val="nil"/>
                    <w:tr2bl w:val="nil"/>
                  </w:tcBorders>
                  <w:vAlign w:val="center"/>
                </w:tcPr>
                <w:p w14:paraId="1EB94E6F">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本项目不属于钢铁、水泥、浮化玻璃等行业。</w:t>
                  </w:r>
                </w:p>
              </w:tc>
              <w:tc>
                <w:tcPr>
                  <w:tcW w:w="317" w:type="pct"/>
                  <w:tcBorders>
                    <w:tl2br w:val="nil"/>
                    <w:tr2bl w:val="nil"/>
                  </w:tcBorders>
                  <w:vAlign w:val="center"/>
                </w:tcPr>
                <w:p w14:paraId="4602AA9A">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6E612D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13D6C8B9">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w:t>
                  </w:r>
                </w:p>
              </w:tc>
              <w:tc>
                <w:tcPr>
                  <w:tcW w:w="353" w:type="pct"/>
                  <w:vMerge w:val="restart"/>
                  <w:tcBorders>
                    <w:tl2br w:val="nil"/>
                    <w:tr2bl w:val="nil"/>
                  </w:tcBorders>
                  <w:vAlign w:val="center"/>
                </w:tcPr>
                <w:p w14:paraId="31DF1A0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污染物排放管控</w:t>
                  </w:r>
                </w:p>
              </w:tc>
              <w:tc>
                <w:tcPr>
                  <w:tcW w:w="447" w:type="pct"/>
                  <w:tcBorders>
                    <w:tl2br w:val="nil"/>
                    <w:tr2bl w:val="nil"/>
                  </w:tcBorders>
                  <w:vAlign w:val="center"/>
                </w:tcPr>
                <w:p w14:paraId="56F56610">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允许排放量要求</w:t>
                  </w:r>
                </w:p>
              </w:tc>
              <w:tc>
                <w:tcPr>
                  <w:tcW w:w="2414" w:type="pct"/>
                  <w:tcBorders>
                    <w:tl2br w:val="nil"/>
                    <w:tr2bl w:val="nil"/>
                  </w:tcBorders>
                  <w:vAlign w:val="center"/>
                </w:tcPr>
                <w:p w14:paraId="1F595B84">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到2025年，全市氮氧化物、挥发性有机物、化学需氧量、氨氮重点工程减排量分别达到2665吨、1920吨、10088吨、653吨。强化涉铊项目环境监管，铊污染物水环境承载能力不足的地区限制引入碳酸锂等涉铊项目。</w:t>
                  </w:r>
                </w:p>
              </w:tc>
              <w:tc>
                <w:tcPr>
                  <w:tcW w:w="1188" w:type="pct"/>
                  <w:tcBorders>
                    <w:tl2br w:val="nil"/>
                    <w:tr2bl w:val="nil"/>
                  </w:tcBorders>
                  <w:vAlign w:val="center"/>
                </w:tcPr>
                <w:p w14:paraId="4218996A">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本项目执行总量控制指标要求且项目不属于涉铊项目。</w:t>
                  </w:r>
                </w:p>
              </w:tc>
              <w:tc>
                <w:tcPr>
                  <w:tcW w:w="317" w:type="pct"/>
                  <w:tcBorders>
                    <w:tl2br w:val="nil"/>
                    <w:tr2bl w:val="nil"/>
                  </w:tcBorders>
                  <w:vAlign w:val="center"/>
                </w:tcPr>
                <w:p w14:paraId="44C255C5">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53D59B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2116884E">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w:t>
                  </w:r>
                </w:p>
              </w:tc>
              <w:tc>
                <w:tcPr>
                  <w:tcW w:w="353" w:type="pct"/>
                  <w:vMerge w:val="continue"/>
                  <w:tcBorders>
                    <w:tl2br w:val="nil"/>
                    <w:tr2bl w:val="nil"/>
                  </w:tcBorders>
                  <w:vAlign w:val="center"/>
                </w:tcPr>
                <w:p w14:paraId="7877D64C">
                  <w:pPr>
                    <w:spacing w:line="240" w:lineRule="auto"/>
                    <w:ind w:firstLine="0" w:firstLineChars="0"/>
                    <w:jc w:val="center"/>
                    <w:rPr>
                      <w:color w:val="000000" w:themeColor="text1"/>
                      <w:sz w:val="21"/>
                      <w:szCs w:val="21"/>
                      <w14:textFill>
                        <w14:solidFill>
                          <w14:schemeClr w14:val="tx1"/>
                        </w14:solidFill>
                      </w14:textFill>
                    </w:rPr>
                  </w:pPr>
                </w:p>
              </w:tc>
              <w:tc>
                <w:tcPr>
                  <w:tcW w:w="447" w:type="pct"/>
                  <w:tcBorders>
                    <w:tl2br w:val="nil"/>
                    <w:tr2bl w:val="nil"/>
                  </w:tcBorders>
                  <w:vAlign w:val="center"/>
                </w:tcPr>
                <w:p w14:paraId="28652A2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现有源提标升级改造</w:t>
                  </w:r>
                </w:p>
              </w:tc>
              <w:tc>
                <w:tcPr>
                  <w:tcW w:w="2414" w:type="pct"/>
                  <w:tcBorders>
                    <w:tl2br w:val="nil"/>
                    <w:tr2bl w:val="nil"/>
                  </w:tcBorders>
                  <w:vAlign w:val="center"/>
                </w:tcPr>
                <w:p w14:paraId="4C0E0C07">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1188" w:type="pct"/>
                  <w:tcBorders>
                    <w:tl2br w:val="nil"/>
                    <w:tr2bl w:val="nil"/>
                  </w:tcBorders>
                  <w:vAlign w:val="center"/>
                </w:tcPr>
                <w:p w14:paraId="51F052CA">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317" w:type="pct"/>
                  <w:tcBorders>
                    <w:tl2br w:val="nil"/>
                    <w:tr2bl w:val="nil"/>
                  </w:tcBorders>
                  <w:vAlign w:val="center"/>
                </w:tcPr>
                <w:p w14:paraId="0BA4FEF4">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738572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4348DB39">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353" w:type="pct"/>
                  <w:tcBorders>
                    <w:tl2br w:val="nil"/>
                    <w:tr2bl w:val="nil"/>
                  </w:tcBorders>
                  <w:vAlign w:val="center"/>
                </w:tcPr>
                <w:p w14:paraId="5D0EE469">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环境风险防控</w:t>
                  </w:r>
                </w:p>
              </w:tc>
              <w:tc>
                <w:tcPr>
                  <w:tcW w:w="447" w:type="pct"/>
                  <w:tcBorders>
                    <w:tl2br w:val="nil"/>
                    <w:tr2bl w:val="nil"/>
                  </w:tcBorders>
                  <w:vAlign w:val="center"/>
                </w:tcPr>
                <w:p w14:paraId="1F5D6DA8">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联防联控要求</w:t>
                  </w:r>
                </w:p>
              </w:tc>
              <w:tc>
                <w:tcPr>
                  <w:tcW w:w="2414" w:type="pct"/>
                  <w:tcBorders>
                    <w:tl2br w:val="nil"/>
                    <w:tr2bl w:val="nil"/>
                  </w:tcBorders>
                  <w:vAlign w:val="center"/>
                </w:tcPr>
                <w:p w14:paraId="5E4493E1">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建立企业、园区、地方政府之间环境风险联防联控体系和联合应急体系；增强与萍乡、新余等地的联系，完善流域合作，推动建立跨区域的袁河流域水污染防治联动协作机制。</w:t>
                  </w:r>
                </w:p>
              </w:tc>
              <w:tc>
                <w:tcPr>
                  <w:tcW w:w="1188" w:type="pct"/>
                  <w:tcBorders>
                    <w:tl2br w:val="nil"/>
                    <w:tr2bl w:val="nil"/>
                  </w:tcBorders>
                  <w:vAlign w:val="center"/>
                </w:tcPr>
                <w:p w14:paraId="07EA146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317" w:type="pct"/>
                  <w:tcBorders>
                    <w:tl2br w:val="nil"/>
                    <w:tr2bl w:val="nil"/>
                  </w:tcBorders>
                  <w:vAlign w:val="center"/>
                </w:tcPr>
                <w:p w14:paraId="3A1C8775">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780FBB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23356386">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353" w:type="pct"/>
                  <w:vMerge w:val="restart"/>
                  <w:tcBorders>
                    <w:tl2br w:val="nil"/>
                    <w:tr2bl w:val="nil"/>
                  </w:tcBorders>
                  <w:vAlign w:val="center"/>
                </w:tcPr>
                <w:p w14:paraId="5237CB1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资源利用效率要求</w:t>
                  </w:r>
                </w:p>
              </w:tc>
              <w:tc>
                <w:tcPr>
                  <w:tcW w:w="447" w:type="pct"/>
                  <w:tcBorders>
                    <w:tl2br w:val="nil"/>
                    <w:tr2bl w:val="nil"/>
                  </w:tcBorders>
                  <w:vAlign w:val="center"/>
                </w:tcPr>
                <w:p w14:paraId="41763EA4">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水资源利用效率要求</w:t>
                  </w:r>
                </w:p>
              </w:tc>
              <w:tc>
                <w:tcPr>
                  <w:tcW w:w="2414" w:type="pct"/>
                  <w:tcBorders>
                    <w:tl2br w:val="nil"/>
                    <w:tr2bl w:val="nil"/>
                  </w:tcBorders>
                  <w:vAlign w:val="center"/>
                </w:tcPr>
                <w:p w14:paraId="704DEFE5">
                  <w:pPr>
                    <w:spacing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到</w:t>
                  </w:r>
                  <w:r>
                    <w:rPr>
                      <w:color w:val="000000" w:themeColor="text1"/>
                      <w:sz w:val="21"/>
                      <w:szCs w:val="21"/>
                      <w14:textFill>
                        <w14:solidFill>
                          <w14:schemeClr w14:val="tx1"/>
                        </w14:solidFill>
                      </w14:textFill>
                    </w:rPr>
                    <w:t>2025</w:t>
                  </w:r>
                  <w:r>
                    <w:rPr>
                      <w:rFonts w:hint="eastAsia"/>
                      <w:color w:val="000000" w:themeColor="text1"/>
                      <w:sz w:val="21"/>
                      <w:szCs w:val="21"/>
                      <w14:textFill>
                        <w14:solidFill>
                          <w14:schemeClr w14:val="tx1"/>
                        </w14:solidFill>
                      </w14:textFill>
                    </w:rPr>
                    <w:t>年全市水资源利用量控制在</w:t>
                  </w:r>
                  <w:r>
                    <w:rPr>
                      <w:color w:val="000000" w:themeColor="text1"/>
                      <w:sz w:val="21"/>
                      <w:szCs w:val="21"/>
                      <w14:textFill>
                        <w14:solidFill>
                          <w14:schemeClr w14:val="tx1"/>
                        </w14:solidFill>
                      </w14:textFill>
                    </w:rPr>
                    <w:t>36.87</w:t>
                  </w:r>
                  <w:r>
                    <w:rPr>
                      <w:rFonts w:hint="eastAsia"/>
                      <w:color w:val="000000" w:themeColor="text1"/>
                      <w:sz w:val="21"/>
                      <w:szCs w:val="21"/>
                      <w14:textFill>
                        <w14:solidFill>
                          <w14:schemeClr w14:val="tx1"/>
                        </w14:solidFill>
                      </w14:textFill>
                    </w:rPr>
                    <w:t>亿立方米，万元国内生产总值用水量比</w:t>
                  </w:r>
                  <w:r>
                    <w:rPr>
                      <w:color w:val="000000" w:themeColor="text1"/>
                      <w:sz w:val="21"/>
                      <w:szCs w:val="21"/>
                      <w14:textFill>
                        <w14:solidFill>
                          <w14:schemeClr w14:val="tx1"/>
                        </w14:solidFill>
                      </w14:textFill>
                    </w:rPr>
                    <w:t>2020</w:t>
                  </w:r>
                  <w:r>
                    <w:rPr>
                      <w:rFonts w:hint="eastAsia"/>
                      <w:color w:val="000000" w:themeColor="text1"/>
                      <w:sz w:val="21"/>
                      <w:szCs w:val="21"/>
                      <w14:textFill>
                        <w14:solidFill>
                          <w14:schemeClr w14:val="tx1"/>
                        </w14:solidFill>
                      </w14:textFill>
                    </w:rPr>
                    <w:t>年下降</w:t>
                  </w:r>
                  <w:r>
                    <w:rPr>
                      <w:color w:val="000000" w:themeColor="text1"/>
                      <w:sz w:val="21"/>
                      <w:szCs w:val="21"/>
                      <w14:textFill>
                        <w14:solidFill>
                          <w14:schemeClr w14:val="tx1"/>
                        </w14:solidFill>
                      </w14:textFill>
                    </w:rPr>
                    <w:t>23%</w:t>
                  </w:r>
                  <w:r>
                    <w:rPr>
                      <w:rFonts w:hint="eastAsia"/>
                      <w:color w:val="000000" w:themeColor="text1"/>
                      <w:sz w:val="21"/>
                      <w:szCs w:val="21"/>
                      <w14:textFill>
                        <w14:solidFill>
                          <w14:schemeClr w14:val="tx1"/>
                        </w14:solidFill>
                      </w14:textFill>
                    </w:rPr>
                    <w:t>，万元工业增加值用水量比</w:t>
                  </w:r>
                  <w:r>
                    <w:rPr>
                      <w:color w:val="000000" w:themeColor="text1"/>
                      <w:sz w:val="21"/>
                      <w:szCs w:val="21"/>
                      <w14:textFill>
                        <w14:solidFill>
                          <w14:schemeClr w14:val="tx1"/>
                        </w14:solidFill>
                      </w14:textFill>
                    </w:rPr>
                    <w:t>2020</w:t>
                  </w:r>
                  <w:r>
                    <w:rPr>
                      <w:rFonts w:hint="eastAsia"/>
                      <w:color w:val="000000" w:themeColor="text1"/>
                      <w:sz w:val="21"/>
                      <w:szCs w:val="21"/>
                      <w14:textFill>
                        <w14:solidFill>
                          <w14:schemeClr w14:val="tx1"/>
                        </w14:solidFill>
                      </w14:textFill>
                    </w:rPr>
                    <w:t>年下降</w:t>
                  </w:r>
                  <w:r>
                    <w:rPr>
                      <w:color w:val="000000" w:themeColor="text1"/>
                      <w:sz w:val="21"/>
                      <w:szCs w:val="21"/>
                      <w14:textFill>
                        <w14:solidFill>
                          <w14:schemeClr w14:val="tx1"/>
                        </w14:solidFill>
                      </w14:textFill>
                    </w:rPr>
                    <w:t>16%</w:t>
                  </w:r>
                  <w:r>
                    <w:rPr>
                      <w:rFonts w:hint="eastAsia"/>
                      <w:color w:val="000000" w:themeColor="text1"/>
                      <w:sz w:val="21"/>
                      <w:szCs w:val="21"/>
                      <w14:textFill>
                        <w14:solidFill>
                          <w14:schemeClr w14:val="tx1"/>
                        </w14:solidFill>
                      </w14:textFill>
                    </w:rPr>
                    <w:t>。</w:t>
                  </w:r>
                </w:p>
              </w:tc>
              <w:tc>
                <w:tcPr>
                  <w:tcW w:w="1188" w:type="pct"/>
                  <w:tcBorders>
                    <w:tl2br w:val="nil"/>
                    <w:tr2bl w:val="nil"/>
                  </w:tcBorders>
                  <w:vAlign w:val="center"/>
                </w:tcPr>
                <w:p w14:paraId="78F9079E">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本项目水资源消耗量不大。</w:t>
                  </w:r>
                </w:p>
              </w:tc>
              <w:tc>
                <w:tcPr>
                  <w:tcW w:w="317" w:type="pct"/>
                  <w:tcBorders>
                    <w:tl2br w:val="nil"/>
                    <w:tr2bl w:val="nil"/>
                  </w:tcBorders>
                  <w:vAlign w:val="center"/>
                </w:tcPr>
                <w:p w14:paraId="04A63A1A">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3D1C28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67FC887D">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w:t>
                  </w:r>
                </w:p>
              </w:tc>
              <w:tc>
                <w:tcPr>
                  <w:tcW w:w="353" w:type="pct"/>
                  <w:vMerge w:val="continue"/>
                  <w:tcBorders>
                    <w:tl2br w:val="nil"/>
                    <w:tr2bl w:val="nil"/>
                  </w:tcBorders>
                  <w:vAlign w:val="center"/>
                </w:tcPr>
                <w:p w14:paraId="5E0D12AD">
                  <w:pPr>
                    <w:spacing w:line="240" w:lineRule="auto"/>
                    <w:ind w:firstLine="0" w:firstLineChars="0"/>
                    <w:jc w:val="center"/>
                    <w:rPr>
                      <w:color w:val="000000" w:themeColor="text1"/>
                      <w:sz w:val="21"/>
                      <w:szCs w:val="21"/>
                      <w14:textFill>
                        <w14:solidFill>
                          <w14:schemeClr w14:val="tx1"/>
                        </w14:solidFill>
                      </w14:textFill>
                    </w:rPr>
                  </w:pPr>
                </w:p>
              </w:tc>
              <w:tc>
                <w:tcPr>
                  <w:tcW w:w="447" w:type="pct"/>
                  <w:tcBorders>
                    <w:tl2br w:val="nil"/>
                    <w:tr2bl w:val="nil"/>
                  </w:tcBorders>
                  <w:vAlign w:val="center"/>
                </w:tcPr>
                <w:p w14:paraId="36926CEF">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地下水开采要求</w:t>
                  </w:r>
                </w:p>
              </w:tc>
              <w:tc>
                <w:tcPr>
                  <w:tcW w:w="2414" w:type="pct"/>
                  <w:tcBorders>
                    <w:tl2br w:val="nil"/>
                    <w:tr2bl w:val="nil"/>
                  </w:tcBorders>
                  <w:vAlign w:val="center"/>
                </w:tcPr>
                <w:p w14:paraId="2A69F0DB">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禁止在塌陷区、地质灾害危险区域开采地下水。</w:t>
                  </w:r>
                </w:p>
              </w:tc>
              <w:tc>
                <w:tcPr>
                  <w:tcW w:w="1188" w:type="pct"/>
                  <w:tcBorders>
                    <w:tl2br w:val="nil"/>
                    <w:tr2bl w:val="nil"/>
                  </w:tcBorders>
                  <w:vAlign w:val="center"/>
                </w:tcPr>
                <w:p w14:paraId="3D49C7D8">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项目不属于塌陷区、地质灾害危险区域。</w:t>
                  </w:r>
                </w:p>
              </w:tc>
              <w:tc>
                <w:tcPr>
                  <w:tcW w:w="317" w:type="pct"/>
                  <w:tcBorders>
                    <w:tl2br w:val="nil"/>
                    <w:tr2bl w:val="nil"/>
                  </w:tcBorders>
                  <w:vAlign w:val="center"/>
                </w:tcPr>
                <w:p w14:paraId="52846B7B">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6952C9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23821C02">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w:t>
                  </w:r>
                </w:p>
              </w:tc>
              <w:tc>
                <w:tcPr>
                  <w:tcW w:w="353" w:type="pct"/>
                  <w:vMerge w:val="continue"/>
                  <w:tcBorders>
                    <w:tl2br w:val="nil"/>
                    <w:tr2bl w:val="nil"/>
                  </w:tcBorders>
                  <w:vAlign w:val="center"/>
                </w:tcPr>
                <w:p w14:paraId="51794AC6">
                  <w:pPr>
                    <w:spacing w:line="240" w:lineRule="auto"/>
                    <w:ind w:firstLine="0" w:firstLineChars="0"/>
                    <w:jc w:val="center"/>
                    <w:rPr>
                      <w:color w:val="000000" w:themeColor="text1"/>
                      <w:sz w:val="21"/>
                      <w:szCs w:val="21"/>
                      <w14:textFill>
                        <w14:solidFill>
                          <w14:schemeClr w14:val="tx1"/>
                        </w14:solidFill>
                      </w14:textFill>
                    </w:rPr>
                  </w:pPr>
                </w:p>
              </w:tc>
              <w:tc>
                <w:tcPr>
                  <w:tcW w:w="447" w:type="pct"/>
                  <w:tcBorders>
                    <w:tl2br w:val="nil"/>
                    <w:tr2bl w:val="nil"/>
                  </w:tcBorders>
                  <w:vAlign w:val="center"/>
                </w:tcPr>
                <w:p w14:paraId="353663CC">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能源利用总量及效率要求</w:t>
                  </w:r>
                </w:p>
              </w:tc>
              <w:tc>
                <w:tcPr>
                  <w:tcW w:w="2414" w:type="pct"/>
                  <w:tcBorders>
                    <w:tl2br w:val="nil"/>
                    <w:tr2bl w:val="nil"/>
                  </w:tcBorders>
                  <w:vAlign w:val="center"/>
                </w:tcPr>
                <w:p w14:paraId="029F6919">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到</w:t>
                  </w:r>
                  <w:r>
                    <w:rPr>
                      <w:color w:val="000000" w:themeColor="text1"/>
                      <w:sz w:val="21"/>
                      <w:szCs w:val="21"/>
                      <w14:textFill>
                        <w14:solidFill>
                          <w14:schemeClr w14:val="tx1"/>
                        </w14:solidFill>
                      </w14:textFill>
                    </w:rPr>
                    <w:t>2025</w:t>
                  </w:r>
                  <w:r>
                    <w:rPr>
                      <w:rFonts w:hint="eastAsia"/>
                      <w:color w:val="000000" w:themeColor="text1"/>
                      <w:sz w:val="21"/>
                      <w:szCs w:val="21"/>
                      <w14:textFill>
                        <w14:solidFill>
                          <w14:schemeClr w14:val="tx1"/>
                        </w14:solidFill>
                      </w14:textFill>
                    </w:rPr>
                    <w:t>年，全市单位生产总值能源消耗比</w:t>
                  </w:r>
                  <w:r>
                    <w:rPr>
                      <w:color w:val="000000" w:themeColor="text1"/>
                      <w:sz w:val="21"/>
                      <w:szCs w:val="21"/>
                      <w14:textFill>
                        <w14:solidFill>
                          <w14:schemeClr w14:val="tx1"/>
                        </w14:solidFill>
                      </w14:textFill>
                    </w:rPr>
                    <w:t>2020</w:t>
                  </w:r>
                  <w:r>
                    <w:rPr>
                      <w:rFonts w:hint="eastAsia"/>
                      <w:color w:val="000000" w:themeColor="text1"/>
                      <w:sz w:val="21"/>
                      <w:szCs w:val="21"/>
                      <w14:textFill>
                        <w14:solidFill>
                          <w14:schemeClr w14:val="tx1"/>
                        </w14:solidFill>
                      </w14:textFill>
                    </w:rPr>
                    <w:t>年下降</w:t>
                  </w:r>
                  <w:r>
                    <w:rPr>
                      <w:color w:val="000000" w:themeColor="text1"/>
                      <w:sz w:val="21"/>
                      <w:szCs w:val="21"/>
                      <w14:textFill>
                        <w14:solidFill>
                          <w14:schemeClr w14:val="tx1"/>
                        </w14:solidFill>
                      </w14:textFill>
                    </w:rPr>
                    <w:t>15.5%</w:t>
                  </w:r>
                  <w:r>
                    <w:rPr>
                      <w:rFonts w:hint="eastAsia"/>
                      <w:color w:val="000000" w:themeColor="text1"/>
                      <w:sz w:val="21"/>
                      <w:szCs w:val="21"/>
                      <w14:textFill>
                        <w14:solidFill>
                          <w14:schemeClr w14:val="tx1"/>
                        </w14:solidFill>
                      </w14:textFill>
                    </w:rPr>
                    <w:t>，力争达到</w:t>
                  </w:r>
                  <w:r>
                    <w:rPr>
                      <w:color w:val="000000" w:themeColor="text1"/>
                      <w:sz w:val="21"/>
                      <w:szCs w:val="21"/>
                      <w14:textFill>
                        <w14:solidFill>
                          <w14:schemeClr w14:val="tx1"/>
                        </w14:solidFill>
                      </w14:textFill>
                    </w:rPr>
                    <w:t>16%</w:t>
                  </w:r>
                  <w:r>
                    <w:rPr>
                      <w:rFonts w:hint="eastAsia"/>
                      <w:color w:val="000000" w:themeColor="text1"/>
                      <w:sz w:val="21"/>
                      <w:szCs w:val="21"/>
                      <w14:textFill>
                        <w14:solidFill>
                          <w14:schemeClr w14:val="tx1"/>
                        </w14:solidFill>
                      </w14:textFill>
                    </w:rPr>
                    <w:t>，能源消费总量得到合理控制。</w:t>
                  </w:r>
                </w:p>
              </w:tc>
              <w:tc>
                <w:tcPr>
                  <w:tcW w:w="1188" w:type="pct"/>
                  <w:tcBorders>
                    <w:tl2br w:val="nil"/>
                    <w:tr2bl w:val="nil"/>
                  </w:tcBorders>
                  <w:vAlign w:val="center"/>
                </w:tcPr>
                <w:p w14:paraId="388F8B58">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本项目采用行业低能设备，节电节水。</w:t>
                  </w:r>
                </w:p>
              </w:tc>
              <w:tc>
                <w:tcPr>
                  <w:tcW w:w="317" w:type="pct"/>
                  <w:tcBorders>
                    <w:tl2br w:val="nil"/>
                    <w:tr2bl w:val="nil"/>
                  </w:tcBorders>
                  <w:vAlign w:val="center"/>
                </w:tcPr>
                <w:p w14:paraId="75E18FB3">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r w14:paraId="35ACCB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1" w:type="pct"/>
                  <w:tcBorders>
                    <w:tl2br w:val="nil"/>
                    <w:tr2bl w:val="nil"/>
                  </w:tcBorders>
                  <w:vAlign w:val="center"/>
                </w:tcPr>
                <w:p w14:paraId="3D8B2B8E">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13</w:t>
                  </w:r>
                </w:p>
              </w:tc>
              <w:tc>
                <w:tcPr>
                  <w:tcW w:w="353" w:type="pct"/>
                  <w:vMerge w:val="continue"/>
                  <w:tcBorders>
                    <w:tl2br w:val="nil"/>
                    <w:tr2bl w:val="nil"/>
                  </w:tcBorders>
                  <w:vAlign w:val="center"/>
                </w:tcPr>
                <w:p w14:paraId="1F12C659">
                  <w:pPr>
                    <w:spacing w:line="240" w:lineRule="auto"/>
                    <w:ind w:firstLine="0" w:firstLineChars="0"/>
                    <w:jc w:val="center"/>
                    <w:rPr>
                      <w:color w:val="000000" w:themeColor="text1"/>
                      <w:sz w:val="21"/>
                      <w:szCs w:val="21"/>
                      <w14:textFill>
                        <w14:solidFill>
                          <w14:schemeClr w14:val="tx1"/>
                        </w14:solidFill>
                      </w14:textFill>
                    </w:rPr>
                  </w:pPr>
                </w:p>
              </w:tc>
              <w:tc>
                <w:tcPr>
                  <w:tcW w:w="447" w:type="pct"/>
                  <w:tcBorders>
                    <w:tl2br w:val="nil"/>
                    <w:tr2bl w:val="nil"/>
                  </w:tcBorders>
                  <w:vAlign w:val="center"/>
                </w:tcPr>
                <w:p w14:paraId="2E4FFD0E">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禁燃区要求</w:t>
                  </w:r>
                </w:p>
              </w:tc>
              <w:tc>
                <w:tcPr>
                  <w:tcW w:w="2414" w:type="pct"/>
                  <w:tcBorders>
                    <w:tl2br w:val="nil"/>
                    <w:tr2bl w:val="nil"/>
                  </w:tcBorders>
                  <w:vAlign w:val="center"/>
                </w:tcPr>
                <w:p w14:paraId="4DABC8D1">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禁止新建、扩建燃用高污染燃料的项目和设施，已建成的应逐步或依法限期改用天然气、电或者其他清洁能源。</w:t>
                  </w:r>
                </w:p>
              </w:tc>
              <w:tc>
                <w:tcPr>
                  <w:tcW w:w="1188" w:type="pct"/>
                  <w:tcBorders>
                    <w:tl2br w:val="nil"/>
                    <w:tr2bl w:val="nil"/>
                  </w:tcBorders>
                  <w:vAlign w:val="center"/>
                </w:tcPr>
                <w:p w14:paraId="5243E5BF">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本项目不在禁燃区。</w:t>
                  </w:r>
                </w:p>
              </w:tc>
              <w:tc>
                <w:tcPr>
                  <w:tcW w:w="317" w:type="pct"/>
                  <w:tcBorders>
                    <w:tl2br w:val="nil"/>
                    <w:tr2bl w:val="nil"/>
                  </w:tcBorders>
                  <w:vAlign w:val="center"/>
                </w:tcPr>
                <w:p w14:paraId="11D1B8D7">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相符</w:t>
                  </w:r>
                </w:p>
              </w:tc>
            </w:tr>
          </w:tbl>
          <w:p w14:paraId="5E0165CD">
            <w:pPr>
              <w:pStyle w:val="57"/>
              <w:spacing w:before="120" w:beforeLines="5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项目与江西省宜春市高安市重点管控单元2要求相符性分析</w:t>
            </w:r>
          </w:p>
          <w:tbl>
            <w:tblPr>
              <w:tblStyle w:val="3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839"/>
              <w:gridCol w:w="3265"/>
              <w:gridCol w:w="2120"/>
              <w:gridCol w:w="487"/>
            </w:tblGrid>
            <w:tr w14:paraId="1C566E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tblHeader/>
                <w:jc w:val="center"/>
              </w:trPr>
              <w:tc>
                <w:tcPr>
                  <w:tcW w:w="705" w:type="pct"/>
                  <w:tcBorders>
                    <w:tl2br w:val="nil"/>
                    <w:tr2bl w:val="nil"/>
                  </w:tcBorders>
                  <w:vAlign w:val="center"/>
                </w:tcPr>
                <w:p w14:paraId="1DB639C7">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环境管控单名称</w:t>
                  </w:r>
                </w:p>
              </w:tc>
              <w:tc>
                <w:tcPr>
                  <w:tcW w:w="2627" w:type="pct"/>
                  <w:gridSpan w:val="2"/>
                  <w:tcBorders>
                    <w:tl2br w:val="nil"/>
                    <w:tr2bl w:val="nil"/>
                  </w:tcBorders>
                  <w:vAlign w:val="center"/>
                </w:tcPr>
                <w:p w14:paraId="72D33CB7">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江西省宜春市高安市重点管控单元2</w:t>
                  </w:r>
                </w:p>
              </w:tc>
              <w:tc>
                <w:tcPr>
                  <w:tcW w:w="1357" w:type="pct"/>
                  <w:vMerge w:val="restart"/>
                  <w:tcBorders>
                    <w:tl2br w:val="nil"/>
                    <w:tr2bl w:val="nil"/>
                  </w:tcBorders>
                  <w:vAlign w:val="center"/>
                </w:tcPr>
                <w:p w14:paraId="2CCD25E1">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本项目情况</w:t>
                  </w:r>
                </w:p>
              </w:tc>
              <w:tc>
                <w:tcPr>
                  <w:tcW w:w="311" w:type="pct"/>
                  <w:vMerge w:val="restart"/>
                  <w:tcBorders>
                    <w:tl2br w:val="nil"/>
                    <w:tr2bl w:val="nil"/>
                  </w:tcBorders>
                  <w:vAlign w:val="center"/>
                </w:tcPr>
                <w:p w14:paraId="5532E3B5">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jc w:val="both"/>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相符性</w:t>
                  </w:r>
                </w:p>
              </w:tc>
            </w:tr>
            <w:tr w14:paraId="035E2E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tblHeader/>
                <w:jc w:val="center"/>
              </w:trPr>
              <w:tc>
                <w:tcPr>
                  <w:tcW w:w="705" w:type="pct"/>
                  <w:tcBorders>
                    <w:tl2br w:val="nil"/>
                    <w:tr2bl w:val="nil"/>
                  </w:tcBorders>
                  <w:vAlign w:val="center"/>
                </w:tcPr>
                <w:p w14:paraId="3B77BB1C">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环境管控单元编码</w:t>
                  </w:r>
                </w:p>
              </w:tc>
              <w:tc>
                <w:tcPr>
                  <w:tcW w:w="2627" w:type="pct"/>
                  <w:gridSpan w:val="2"/>
                  <w:tcBorders>
                    <w:tl2br w:val="nil"/>
                    <w:tr2bl w:val="nil"/>
                  </w:tcBorders>
                  <w:vAlign w:val="center"/>
                </w:tcPr>
                <w:p w14:paraId="7B51EAAC">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b/>
                      <w:bCs/>
                      <w:color w:val="000000" w:themeColor="text1"/>
                      <w14:textFill>
                        <w14:solidFill>
                          <w14:schemeClr w14:val="tx1"/>
                        </w14:solidFill>
                      </w14:textFill>
                    </w:rPr>
                    <w:t>ZH36098320002</w:t>
                  </w:r>
                </w:p>
              </w:tc>
              <w:tc>
                <w:tcPr>
                  <w:tcW w:w="1357" w:type="pct"/>
                  <w:vMerge w:val="continue"/>
                  <w:tcBorders>
                    <w:tl2br w:val="nil"/>
                    <w:tr2bl w:val="nil"/>
                  </w:tcBorders>
                  <w:vAlign w:val="center"/>
                </w:tcPr>
                <w:p w14:paraId="10A4CFF5">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p>
              </w:tc>
              <w:tc>
                <w:tcPr>
                  <w:tcW w:w="311" w:type="pct"/>
                  <w:vMerge w:val="continue"/>
                  <w:tcBorders>
                    <w:tl2br w:val="nil"/>
                    <w:tr2bl w:val="nil"/>
                  </w:tcBorders>
                  <w:vAlign w:val="center"/>
                </w:tcPr>
                <w:p w14:paraId="1DCAAD11">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p>
              </w:tc>
            </w:tr>
            <w:tr w14:paraId="0A5659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tblHeader/>
                <w:jc w:val="center"/>
              </w:trPr>
              <w:tc>
                <w:tcPr>
                  <w:tcW w:w="705" w:type="pct"/>
                  <w:tcBorders>
                    <w:tl2br w:val="nil"/>
                    <w:tr2bl w:val="nil"/>
                  </w:tcBorders>
                  <w:vAlign w:val="center"/>
                </w:tcPr>
                <w:p w14:paraId="4F290AB5">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环境管控单元范围</w:t>
                  </w:r>
                </w:p>
              </w:tc>
              <w:tc>
                <w:tcPr>
                  <w:tcW w:w="2627" w:type="pct"/>
                  <w:gridSpan w:val="2"/>
                  <w:tcBorders>
                    <w:tl2br w:val="nil"/>
                    <w:tr2bl w:val="nil"/>
                  </w:tcBorders>
                  <w:vAlign w:val="center"/>
                </w:tcPr>
                <w:p w14:paraId="748C912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高安市工业园区（新世纪产业园、建筑陶瓷产业园、建材环保产业园）</w:t>
                  </w:r>
                </w:p>
              </w:tc>
              <w:tc>
                <w:tcPr>
                  <w:tcW w:w="1357" w:type="pct"/>
                  <w:tcBorders>
                    <w:tl2br w:val="nil"/>
                    <w:tr2bl w:val="nil"/>
                  </w:tcBorders>
                  <w:vAlign w:val="center"/>
                </w:tcPr>
                <w:p w14:paraId="4FAA59D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新世纪产业园</w:t>
                  </w:r>
                </w:p>
              </w:tc>
              <w:tc>
                <w:tcPr>
                  <w:tcW w:w="311" w:type="pct"/>
                  <w:vMerge w:val="continue"/>
                  <w:tcBorders>
                    <w:tl2br w:val="nil"/>
                    <w:tr2bl w:val="nil"/>
                  </w:tcBorders>
                  <w:vAlign w:val="center"/>
                </w:tcPr>
                <w:p w14:paraId="5546707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b/>
                      <w:bCs/>
                      <w:color w:val="000000" w:themeColor="text1"/>
                      <w14:textFill>
                        <w14:solidFill>
                          <w14:schemeClr w14:val="tx1"/>
                        </w14:solidFill>
                      </w14:textFill>
                    </w:rPr>
                  </w:pPr>
                </w:p>
              </w:tc>
            </w:tr>
            <w:tr w14:paraId="7826DD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05" w:type="pct"/>
                  <w:vMerge w:val="restart"/>
                  <w:tcBorders>
                    <w:tl2br w:val="nil"/>
                    <w:tr2bl w:val="nil"/>
                  </w:tcBorders>
                  <w:vAlign w:val="center"/>
                </w:tcPr>
                <w:p w14:paraId="773E970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空间布局约束</w:t>
                  </w:r>
                </w:p>
              </w:tc>
              <w:tc>
                <w:tcPr>
                  <w:tcW w:w="537" w:type="pct"/>
                  <w:tcBorders>
                    <w:tl2br w:val="nil"/>
                    <w:tr2bl w:val="nil"/>
                  </w:tcBorders>
                  <w:vAlign w:val="center"/>
                </w:tcPr>
                <w:p w14:paraId="0A23E94F">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2090" w:type="pct"/>
                  <w:tcBorders>
                    <w:tl2br w:val="nil"/>
                    <w:tr2bl w:val="nil"/>
                  </w:tcBorders>
                  <w:vAlign w:val="center"/>
                </w:tcPr>
                <w:p w14:paraId="37341007">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禁止新建不符合产业定位或碳排放要求的“两高”项目。</w:t>
                  </w:r>
                </w:p>
              </w:tc>
              <w:tc>
                <w:tcPr>
                  <w:tcW w:w="1357" w:type="pct"/>
                  <w:tcBorders>
                    <w:tl2br w:val="nil"/>
                    <w:tr2bl w:val="nil"/>
                  </w:tcBorders>
                  <w:vAlign w:val="center"/>
                </w:tcPr>
                <w:p w14:paraId="304D4B4B">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项目不属于不符合产业定位或碳排放要求的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两高</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项目。</w:t>
                  </w:r>
                </w:p>
              </w:tc>
              <w:tc>
                <w:tcPr>
                  <w:tcW w:w="311" w:type="pct"/>
                  <w:vMerge w:val="restart"/>
                  <w:tcBorders>
                    <w:tl2br w:val="nil"/>
                    <w:tr2bl w:val="nil"/>
                  </w:tcBorders>
                  <w:vAlign w:val="center"/>
                </w:tcPr>
                <w:p w14:paraId="204E553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BB1C5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05" w:type="pct"/>
                  <w:vMerge w:val="continue"/>
                  <w:tcBorders>
                    <w:tl2br w:val="nil"/>
                    <w:tr2bl w:val="nil"/>
                  </w:tcBorders>
                  <w:vAlign w:val="center"/>
                </w:tcPr>
                <w:p w14:paraId="777FA22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767D8B6F">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090" w:type="pct"/>
                  <w:tcBorders>
                    <w:tl2br w:val="nil"/>
                    <w:tr2bl w:val="nil"/>
                  </w:tcBorders>
                  <w:vAlign w:val="center"/>
                </w:tcPr>
                <w:p w14:paraId="495B2187">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入园项目应符合《产业结构调整指导 目录》《长江经济带发展负面清单指南（试行，</w:t>
                  </w:r>
                  <w:r>
                    <w:rPr>
                      <w:color w:val="000000" w:themeColor="text1"/>
                      <w14:textFill>
                        <w14:solidFill>
                          <w14:schemeClr w14:val="tx1"/>
                        </w14:solidFill>
                      </w14:textFill>
                    </w:rPr>
                    <w:t>2022</w:t>
                  </w:r>
                  <w:r>
                    <w:rPr>
                      <w:rFonts w:hint="eastAsia"/>
                      <w:color w:val="000000" w:themeColor="text1"/>
                      <w14:textFill>
                        <w14:solidFill>
                          <w14:schemeClr w14:val="tx1"/>
                        </w14:solidFill>
                      </w14:textFill>
                    </w:rPr>
                    <w:t>版）的通知》（长江办〔</w:t>
                  </w:r>
                  <w:r>
                    <w:rPr>
                      <w:color w:val="000000" w:themeColor="text1"/>
                      <w14:textFill>
                        <w14:solidFill>
                          <w14:schemeClr w14:val="tx1"/>
                        </w14:solidFill>
                      </w14:textFill>
                    </w:rPr>
                    <w:t>2022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号）等国家和地方产业政策和园区布局规划等要求。</w:t>
                  </w:r>
                </w:p>
              </w:tc>
              <w:tc>
                <w:tcPr>
                  <w:tcW w:w="1357" w:type="pct"/>
                  <w:tcBorders>
                    <w:tl2br w:val="nil"/>
                    <w:tr2bl w:val="nil"/>
                  </w:tcBorders>
                  <w:vAlign w:val="center"/>
                </w:tcPr>
                <w:p w14:paraId="482209CA">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项目符合《产业结构调整指导目录》《长江经济带发展负面清单指南（试行，</w:t>
                  </w:r>
                  <w:r>
                    <w:rPr>
                      <w:color w:val="000000" w:themeColor="text1"/>
                      <w14:textFill>
                        <w14:solidFill>
                          <w14:schemeClr w14:val="tx1"/>
                        </w14:solidFill>
                      </w14:textFill>
                    </w:rPr>
                    <w:t>2022</w:t>
                  </w:r>
                  <w:r>
                    <w:rPr>
                      <w:rFonts w:hint="eastAsia"/>
                      <w:color w:val="000000" w:themeColor="text1"/>
                      <w14:textFill>
                        <w14:solidFill>
                          <w14:schemeClr w14:val="tx1"/>
                        </w14:solidFill>
                      </w14:textFill>
                    </w:rPr>
                    <w:t>版）的通知》（长江办〔</w:t>
                  </w:r>
                  <w:r>
                    <w:rPr>
                      <w:color w:val="000000" w:themeColor="text1"/>
                      <w14:textFill>
                        <w14:solidFill>
                          <w14:schemeClr w14:val="tx1"/>
                        </w14:solidFill>
                      </w14:textFill>
                    </w:rPr>
                    <w:t>2022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号）等国家和地方产业政策和园区布局规划等要求。</w:t>
                  </w:r>
                </w:p>
              </w:tc>
              <w:tc>
                <w:tcPr>
                  <w:tcW w:w="311" w:type="pct"/>
                  <w:vMerge w:val="continue"/>
                  <w:tcBorders>
                    <w:tl2br w:val="nil"/>
                    <w:tr2bl w:val="nil"/>
                  </w:tcBorders>
                  <w:vAlign w:val="center"/>
                </w:tcPr>
                <w:p w14:paraId="5CDE6AB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58EFC1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05" w:type="pct"/>
                  <w:vMerge w:val="continue"/>
                  <w:tcBorders>
                    <w:tl2br w:val="nil"/>
                    <w:tr2bl w:val="nil"/>
                  </w:tcBorders>
                  <w:vAlign w:val="center"/>
                </w:tcPr>
                <w:p w14:paraId="4DE44F1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4ABBFA5B">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2090" w:type="pct"/>
                  <w:tcBorders>
                    <w:tl2br w:val="nil"/>
                    <w:tr2bl w:val="nil"/>
                  </w:tcBorders>
                  <w:vAlign w:val="center"/>
                </w:tcPr>
                <w:p w14:paraId="2880415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逐步迁出（调整）不符合园区规划的陶瓷、化工、皮革等污染严重产业，依法取缔超标严重且治理无望的企业。</w:t>
                  </w:r>
                </w:p>
              </w:tc>
              <w:tc>
                <w:tcPr>
                  <w:tcW w:w="1357" w:type="pct"/>
                  <w:tcBorders>
                    <w:tl2br w:val="nil"/>
                    <w:tr2bl w:val="nil"/>
                  </w:tcBorders>
                  <w:vAlign w:val="center"/>
                </w:tcPr>
                <w:p w14:paraId="5B5756A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项目不属于陶瓷、化工、皮革等污染严重产业。</w:t>
                  </w:r>
                </w:p>
              </w:tc>
              <w:tc>
                <w:tcPr>
                  <w:tcW w:w="311" w:type="pct"/>
                  <w:vMerge w:val="continue"/>
                  <w:tcBorders>
                    <w:tl2br w:val="nil"/>
                    <w:tr2bl w:val="nil"/>
                  </w:tcBorders>
                  <w:vAlign w:val="center"/>
                </w:tcPr>
                <w:p w14:paraId="40A36F4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65F38C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05" w:type="pct"/>
                  <w:vMerge w:val="continue"/>
                  <w:tcBorders>
                    <w:tl2br w:val="nil"/>
                    <w:tr2bl w:val="nil"/>
                  </w:tcBorders>
                  <w:vAlign w:val="center"/>
                </w:tcPr>
                <w:p w14:paraId="00DAFCB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6C1C99D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2090" w:type="pct"/>
                  <w:tcBorders>
                    <w:tl2br w:val="nil"/>
                    <w:tr2bl w:val="nil"/>
                  </w:tcBorders>
                  <w:vAlign w:val="center"/>
                </w:tcPr>
                <w:p w14:paraId="2047C0C1">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严控碳酸锂产能，不再引进单一的锂云母生产碳酸锂项目。</w:t>
                  </w:r>
                </w:p>
              </w:tc>
              <w:tc>
                <w:tcPr>
                  <w:tcW w:w="1357" w:type="pct"/>
                  <w:tcBorders>
                    <w:tl2br w:val="nil"/>
                    <w:tr2bl w:val="nil"/>
                  </w:tcBorders>
                  <w:vAlign w:val="center"/>
                </w:tcPr>
                <w:p w14:paraId="7BBA68BA">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项目不涉及。</w:t>
                  </w:r>
                </w:p>
              </w:tc>
              <w:tc>
                <w:tcPr>
                  <w:tcW w:w="311" w:type="pct"/>
                  <w:vMerge w:val="continue"/>
                  <w:tcBorders>
                    <w:tl2br w:val="nil"/>
                    <w:tr2bl w:val="nil"/>
                  </w:tcBorders>
                  <w:vAlign w:val="center"/>
                </w:tcPr>
                <w:p w14:paraId="3950A5C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1FACC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05" w:type="pct"/>
                  <w:vMerge w:val="continue"/>
                  <w:tcBorders>
                    <w:tl2br w:val="nil"/>
                    <w:tr2bl w:val="nil"/>
                  </w:tcBorders>
                  <w:vAlign w:val="center"/>
                </w:tcPr>
                <w:p w14:paraId="4B524A4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2EF8BCF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2090" w:type="pct"/>
                  <w:tcBorders>
                    <w:tl2br w:val="nil"/>
                    <w:tr2bl w:val="nil"/>
                  </w:tcBorders>
                  <w:vAlign w:val="center"/>
                </w:tcPr>
                <w:p w14:paraId="17773A63">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新建碳酸锂项目规模不得小于</w:t>
                  </w:r>
                  <w:r>
                    <w:rPr>
                      <w:color w:val="000000" w:themeColor="text1"/>
                      <w14:textFill>
                        <w14:solidFill>
                          <w14:schemeClr w14:val="tx1"/>
                        </w14:solidFill>
                      </w14:textFill>
                    </w:rPr>
                    <w:t>5000</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年，碳酸锂及中间产品。</w:t>
                  </w:r>
                </w:p>
              </w:tc>
              <w:tc>
                <w:tcPr>
                  <w:tcW w:w="1357" w:type="pct"/>
                  <w:tcBorders>
                    <w:tl2br w:val="nil"/>
                    <w:tr2bl w:val="nil"/>
                  </w:tcBorders>
                  <w:vAlign w:val="center"/>
                </w:tcPr>
                <w:p w14:paraId="5407A0D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项目不涉及。</w:t>
                  </w:r>
                </w:p>
              </w:tc>
              <w:tc>
                <w:tcPr>
                  <w:tcW w:w="311" w:type="pct"/>
                  <w:vMerge w:val="continue"/>
                  <w:tcBorders>
                    <w:tl2br w:val="nil"/>
                    <w:tr2bl w:val="nil"/>
                  </w:tcBorders>
                  <w:vAlign w:val="center"/>
                </w:tcPr>
                <w:p w14:paraId="43B2066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4B9349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705" w:type="pct"/>
                  <w:vMerge w:val="restart"/>
                  <w:tcBorders>
                    <w:tl2br w:val="nil"/>
                    <w:tr2bl w:val="nil"/>
                  </w:tcBorders>
                  <w:vAlign w:val="center"/>
                </w:tcPr>
                <w:p w14:paraId="13869B64">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污染物排放管控</w:t>
                  </w:r>
                </w:p>
              </w:tc>
              <w:tc>
                <w:tcPr>
                  <w:tcW w:w="537" w:type="pct"/>
                  <w:tcBorders>
                    <w:tl2br w:val="nil"/>
                    <w:tr2bl w:val="nil"/>
                  </w:tcBorders>
                  <w:vAlign w:val="center"/>
                </w:tcPr>
                <w:p w14:paraId="17117EA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2090" w:type="pct"/>
                  <w:tcBorders>
                    <w:tl2br w:val="nil"/>
                    <w:tr2bl w:val="nil"/>
                  </w:tcBorders>
                  <w:vAlign w:val="center"/>
                </w:tcPr>
                <w:p w14:paraId="2E040BF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color w:val="000000" w:themeColor="text1"/>
                      <w14:textFill>
                        <w14:solidFill>
                          <w14:schemeClr w14:val="tx1"/>
                        </w14:solidFill>
                      </w14:textFill>
                    </w:rPr>
                    <w:t>2025</w:t>
                  </w:r>
                  <w:r>
                    <w:rPr>
                      <w:rFonts w:hint="eastAsia"/>
                      <w:color w:val="000000" w:themeColor="text1"/>
                      <w14:textFill>
                        <w14:solidFill>
                          <w14:schemeClr w14:val="tx1"/>
                        </w14:solidFill>
                      </w14:textFill>
                    </w:rPr>
                    <w:t>年，氮氧化物、挥发性有机物、化学需氧量和氨氮重点工程排放量减少分别为</w:t>
                  </w:r>
                  <w:r>
                    <w:rPr>
                      <w:color w:val="000000" w:themeColor="text1"/>
                      <w14:textFill>
                        <w14:solidFill>
                          <w14:schemeClr w14:val="tx1"/>
                        </w14:solidFill>
                      </w14:textFill>
                    </w:rPr>
                    <w:t>550</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300</w:t>
                  </w:r>
                  <w:r>
                    <w:rPr>
                      <w:rFonts w:hint="eastAsia"/>
                      <w:color w:val="000000" w:themeColor="text1"/>
                      <w14:textFill>
                        <w14:solidFill>
                          <w14:schemeClr w14:val="tx1"/>
                        </w14:solidFill>
                      </w14:textFill>
                    </w:rPr>
                    <w:t>吨、</w:t>
                  </w:r>
                  <w:r>
                    <w:rPr>
                      <w:color w:val="000000" w:themeColor="text1"/>
                      <w14:textFill>
                        <w14:solidFill>
                          <w14:schemeClr w14:val="tx1"/>
                        </w14:solidFill>
                      </w14:textFill>
                    </w:rPr>
                    <w:t>1418.5</w:t>
                  </w:r>
                  <w:r>
                    <w:rPr>
                      <w:rFonts w:hint="eastAsia"/>
                      <w:color w:val="000000" w:themeColor="text1"/>
                      <w14:textFill>
                        <w14:solidFill>
                          <w14:schemeClr w14:val="tx1"/>
                        </w14:solidFill>
                      </w14:textFill>
                    </w:rPr>
                    <w:t xml:space="preserve">吨和 </w:t>
                  </w:r>
                  <w:r>
                    <w:rPr>
                      <w:color w:val="000000" w:themeColor="text1"/>
                      <w14:textFill>
                        <w14:solidFill>
                          <w14:schemeClr w14:val="tx1"/>
                        </w14:solidFill>
                      </w14:textFill>
                    </w:rPr>
                    <w:t>87.5</w:t>
                  </w:r>
                  <w:r>
                    <w:rPr>
                      <w:rFonts w:hint="eastAsia"/>
                      <w:color w:val="000000" w:themeColor="text1"/>
                      <w14:textFill>
                        <w14:solidFill>
                          <w14:schemeClr w14:val="tx1"/>
                        </w14:solidFill>
                      </w14:textFill>
                    </w:rPr>
                    <w:t>吨</w:t>
                  </w:r>
                </w:p>
              </w:tc>
              <w:tc>
                <w:tcPr>
                  <w:tcW w:w="1357" w:type="pct"/>
                  <w:tcBorders>
                    <w:tl2br w:val="nil"/>
                    <w:tr2bl w:val="nil"/>
                  </w:tcBorders>
                  <w:vAlign w:val="center"/>
                </w:tcPr>
                <w:p w14:paraId="6C4CDFB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本项目执行总量控制指标要求。</w:t>
                  </w:r>
                </w:p>
              </w:tc>
              <w:tc>
                <w:tcPr>
                  <w:tcW w:w="311" w:type="pct"/>
                  <w:vMerge w:val="restart"/>
                  <w:tcBorders>
                    <w:tl2br w:val="nil"/>
                    <w:tr2bl w:val="nil"/>
                  </w:tcBorders>
                  <w:vAlign w:val="center"/>
                </w:tcPr>
                <w:p w14:paraId="5C307F5F">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8720C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05" w:type="pct"/>
                  <w:vMerge w:val="continue"/>
                  <w:tcBorders>
                    <w:tl2br w:val="nil"/>
                    <w:tr2bl w:val="nil"/>
                  </w:tcBorders>
                  <w:vAlign w:val="center"/>
                </w:tcPr>
                <w:p w14:paraId="18C68B24">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7BCD2E63">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090" w:type="pct"/>
                  <w:tcBorders>
                    <w:tl2br w:val="nil"/>
                    <w:tr2bl w:val="nil"/>
                  </w:tcBorders>
                  <w:vAlign w:val="center"/>
                </w:tcPr>
                <w:p w14:paraId="6250400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鼓励全市陶瓷行业减量替代，替代比例应不低于</w:t>
                  </w:r>
                  <w:r>
                    <w:rPr>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p>
              </w:tc>
              <w:tc>
                <w:tcPr>
                  <w:tcW w:w="1357" w:type="pct"/>
                  <w:tcBorders>
                    <w:tl2br w:val="nil"/>
                    <w:tr2bl w:val="nil"/>
                  </w:tcBorders>
                  <w:vAlign w:val="center"/>
                </w:tcPr>
                <w:p w14:paraId="3BB47D3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项目不涉及。</w:t>
                  </w:r>
                </w:p>
              </w:tc>
              <w:tc>
                <w:tcPr>
                  <w:tcW w:w="311" w:type="pct"/>
                  <w:vMerge w:val="continue"/>
                  <w:tcBorders>
                    <w:tl2br w:val="nil"/>
                    <w:tr2bl w:val="nil"/>
                  </w:tcBorders>
                  <w:vAlign w:val="center"/>
                </w:tcPr>
                <w:p w14:paraId="1633B34B">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2609B4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05" w:type="pct"/>
                  <w:vMerge w:val="continue"/>
                  <w:tcBorders>
                    <w:tl2br w:val="nil"/>
                    <w:tr2bl w:val="nil"/>
                  </w:tcBorders>
                  <w:vAlign w:val="center"/>
                </w:tcPr>
                <w:p w14:paraId="783E7383">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690A714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2090" w:type="pct"/>
                  <w:tcBorders>
                    <w:tl2br w:val="nil"/>
                    <w:tr2bl w:val="nil"/>
                  </w:tcBorders>
                  <w:vAlign w:val="center"/>
                </w:tcPr>
                <w:p w14:paraId="0EE252F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污染物排放应达到相应排放标准。</w:t>
                  </w:r>
                </w:p>
              </w:tc>
              <w:tc>
                <w:tcPr>
                  <w:tcW w:w="1357" w:type="pct"/>
                  <w:tcBorders>
                    <w:tl2br w:val="nil"/>
                    <w:tr2bl w:val="nil"/>
                  </w:tcBorders>
                  <w:vAlign w:val="center"/>
                </w:tcPr>
                <w:p w14:paraId="1B968B0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项目污染物排放可达到相应排放标准。</w:t>
                  </w:r>
                </w:p>
              </w:tc>
              <w:tc>
                <w:tcPr>
                  <w:tcW w:w="311" w:type="pct"/>
                  <w:vMerge w:val="continue"/>
                  <w:tcBorders>
                    <w:tl2br w:val="nil"/>
                    <w:tr2bl w:val="nil"/>
                  </w:tcBorders>
                  <w:vAlign w:val="center"/>
                </w:tcPr>
                <w:p w14:paraId="79615513">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625BDE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05" w:type="pct"/>
                  <w:vMerge w:val="continue"/>
                  <w:tcBorders>
                    <w:tl2br w:val="nil"/>
                    <w:tr2bl w:val="nil"/>
                  </w:tcBorders>
                  <w:vAlign w:val="center"/>
                </w:tcPr>
                <w:p w14:paraId="30DDAC53">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75331C1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2090" w:type="pct"/>
                  <w:tcBorders>
                    <w:tl2br w:val="nil"/>
                    <w:tr2bl w:val="nil"/>
                  </w:tcBorders>
                  <w:vAlign w:val="center"/>
                </w:tcPr>
                <w:p w14:paraId="4328BC07">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污染物排放绩效水平应达到良好水平</w:t>
                  </w:r>
                </w:p>
              </w:tc>
              <w:tc>
                <w:tcPr>
                  <w:tcW w:w="1357" w:type="pct"/>
                  <w:tcBorders>
                    <w:tl2br w:val="nil"/>
                    <w:tr2bl w:val="nil"/>
                  </w:tcBorders>
                  <w:vAlign w:val="center"/>
                </w:tcPr>
                <w:p w14:paraId="0CC2242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项目污染物排放绩效水平可达到良好水平</w:t>
                  </w:r>
                </w:p>
              </w:tc>
              <w:tc>
                <w:tcPr>
                  <w:tcW w:w="311" w:type="pct"/>
                  <w:vMerge w:val="continue"/>
                  <w:tcBorders>
                    <w:tl2br w:val="nil"/>
                    <w:tr2bl w:val="nil"/>
                  </w:tcBorders>
                  <w:vAlign w:val="center"/>
                </w:tcPr>
                <w:p w14:paraId="0EF183D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6F117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05" w:type="pct"/>
                  <w:vMerge w:val="restart"/>
                  <w:tcBorders>
                    <w:tl2br w:val="nil"/>
                    <w:tr2bl w:val="nil"/>
                  </w:tcBorders>
                  <w:vAlign w:val="center"/>
                </w:tcPr>
                <w:p w14:paraId="797740FC">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环境风险防控</w:t>
                  </w:r>
                </w:p>
              </w:tc>
              <w:tc>
                <w:tcPr>
                  <w:tcW w:w="537" w:type="pct"/>
                  <w:tcBorders>
                    <w:tl2br w:val="nil"/>
                    <w:tr2bl w:val="nil"/>
                  </w:tcBorders>
                  <w:vAlign w:val="center"/>
                </w:tcPr>
                <w:p w14:paraId="636A858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2090" w:type="pct"/>
                  <w:tcBorders>
                    <w:tl2br w:val="nil"/>
                    <w:tr2bl w:val="nil"/>
                  </w:tcBorders>
                  <w:vAlign w:val="center"/>
                </w:tcPr>
                <w:p w14:paraId="6F050698">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住宅、学校、养老机构应在毗邻地块土壤污染风险管控和修复完成后再投入使用。</w:t>
                  </w:r>
                </w:p>
              </w:tc>
              <w:tc>
                <w:tcPr>
                  <w:tcW w:w="1357" w:type="pct"/>
                  <w:tcBorders>
                    <w:tl2br w:val="nil"/>
                    <w:tr2bl w:val="nil"/>
                  </w:tcBorders>
                  <w:vAlign w:val="center"/>
                </w:tcPr>
                <w:p w14:paraId="2EDAE995">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项目不属于住宅、学校、养老机构。</w:t>
                  </w:r>
                </w:p>
              </w:tc>
              <w:tc>
                <w:tcPr>
                  <w:tcW w:w="311" w:type="pct"/>
                  <w:vMerge w:val="restart"/>
                  <w:tcBorders>
                    <w:tl2br w:val="nil"/>
                    <w:tr2bl w:val="nil"/>
                  </w:tcBorders>
                  <w:vAlign w:val="center"/>
                </w:tcPr>
                <w:p w14:paraId="1F3FD66B">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056F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05" w:type="pct"/>
                  <w:vMerge w:val="continue"/>
                  <w:tcBorders>
                    <w:tl2br w:val="nil"/>
                    <w:tr2bl w:val="nil"/>
                  </w:tcBorders>
                  <w:vAlign w:val="center"/>
                </w:tcPr>
                <w:p w14:paraId="0D615091">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74F1D60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090" w:type="pct"/>
                  <w:tcBorders>
                    <w:tl2br w:val="nil"/>
                    <w:tr2bl w:val="nil"/>
                  </w:tcBorders>
                  <w:vAlign w:val="center"/>
                </w:tcPr>
                <w:p w14:paraId="695C83D8">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紧邻居住、科教、医院等环境敏感点的工业用地，禁止新建环境风险等级高的建设项目。</w:t>
                  </w:r>
                </w:p>
              </w:tc>
              <w:tc>
                <w:tcPr>
                  <w:tcW w:w="1357" w:type="pct"/>
                  <w:tcBorders>
                    <w:tl2br w:val="nil"/>
                    <w:tr2bl w:val="nil"/>
                  </w:tcBorders>
                  <w:vAlign w:val="center"/>
                </w:tcPr>
                <w:p w14:paraId="1D3AE603">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项目不属于环境风险等级高的建设项目。</w:t>
                  </w:r>
                </w:p>
              </w:tc>
              <w:tc>
                <w:tcPr>
                  <w:tcW w:w="311" w:type="pct"/>
                  <w:vMerge w:val="continue"/>
                  <w:tcBorders>
                    <w:tl2br w:val="nil"/>
                    <w:tr2bl w:val="nil"/>
                  </w:tcBorders>
                  <w:vAlign w:val="center"/>
                </w:tcPr>
                <w:p w14:paraId="7796D42F">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3269D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continue"/>
                  <w:tcBorders>
                    <w:tl2br w:val="nil"/>
                    <w:tr2bl w:val="nil"/>
                  </w:tcBorders>
                  <w:vAlign w:val="center"/>
                </w:tcPr>
                <w:p w14:paraId="62AADF08">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5BF0ED9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2090" w:type="pct"/>
                  <w:tcBorders>
                    <w:tl2br w:val="nil"/>
                    <w:tr2bl w:val="nil"/>
                  </w:tcBorders>
                  <w:vAlign w:val="center"/>
                </w:tcPr>
                <w:p w14:paraId="503B3103">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建立环境风险防范和应急救援体系。</w:t>
                  </w:r>
                </w:p>
              </w:tc>
              <w:tc>
                <w:tcPr>
                  <w:tcW w:w="1357" w:type="pct"/>
                  <w:tcBorders>
                    <w:tl2br w:val="nil"/>
                    <w:tr2bl w:val="nil"/>
                  </w:tcBorders>
                  <w:vAlign w:val="center"/>
                </w:tcPr>
                <w:p w14:paraId="09D42AA4">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企业拟建立环境风险防范和应急救援体系。</w:t>
                  </w:r>
                </w:p>
              </w:tc>
              <w:tc>
                <w:tcPr>
                  <w:tcW w:w="311" w:type="pct"/>
                  <w:vMerge w:val="continue"/>
                  <w:tcBorders>
                    <w:tl2br w:val="nil"/>
                    <w:tr2bl w:val="nil"/>
                  </w:tcBorders>
                  <w:vAlign w:val="center"/>
                </w:tcPr>
                <w:p w14:paraId="2B74944B">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20FA10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continue"/>
                  <w:tcBorders>
                    <w:tl2br w:val="nil"/>
                    <w:tr2bl w:val="nil"/>
                  </w:tcBorders>
                  <w:vAlign w:val="center"/>
                </w:tcPr>
                <w:p w14:paraId="47C7D74A">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1732A09F">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4</w:t>
                  </w:r>
                </w:p>
              </w:tc>
              <w:tc>
                <w:tcPr>
                  <w:tcW w:w="2090" w:type="pct"/>
                  <w:tcBorders>
                    <w:tl2br w:val="nil"/>
                    <w:tr2bl w:val="nil"/>
                  </w:tcBorders>
                  <w:vAlign w:val="center"/>
                </w:tcPr>
                <w:p w14:paraId="589B067A">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落实工业企业环境风险防范主体责任，以涉危险废物、涉重金属排放企业为重点，合理布设生产设施，强化事故排水收集截留设施、输送设施建设，合理设置消防处置用事故水池和初期雨水收集池。</w:t>
                  </w:r>
                </w:p>
              </w:tc>
              <w:tc>
                <w:tcPr>
                  <w:tcW w:w="1357" w:type="pct"/>
                  <w:tcBorders>
                    <w:tl2br w:val="nil"/>
                    <w:tr2bl w:val="nil"/>
                  </w:tcBorders>
                  <w:vAlign w:val="center"/>
                </w:tcPr>
                <w:p w14:paraId="4E5452E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项目合理布设生产设施，强化事故排水收集截留设施、输送设施建设。</w:t>
                  </w:r>
                </w:p>
              </w:tc>
              <w:tc>
                <w:tcPr>
                  <w:tcW w:w="311" w:type="pct"/>
                  <w:vMerge w:val="continue"/>
                  <w:tcBorders>
                    <w:tl2br w:val="nil"/>
                    <w:tr2bl w:val="nil"/>
                  </w:tcBorders>
                  <w:vAlign w:val="center"/>
                </w:tcPr>
                <w:p w14:paraId="13FE61C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2F61FC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continue"/>
                  <w:tcBorders>
                    <w:tl2br w:val="nil"/>
                    <w:tr2bl w:val="nil"/>
                  </w:tcBorders>
                  <w:vAlign w:val="center"/>
                </w:tcPr>
                <w:p w14:paraId="66495FD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492E793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5</w:t>
                  </w:r>
                </w:p>
              </w:tc>
              <w:tc>
                <w:tcPr>
                  <w:tcW w:w="2090" w:type="pct"/>
                  <w:tcBorders>
                    <w:tl2br w:val="nil"/>
                    <w:tr2bl w:val="nil"/>
                  </w:tcBorders>
                  <w:vAlign w:val="center"/>
                </w:tcPr>
                <w:p w14:paraId="27EDF28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废水、废气排放的涉铊企业要设置除铊治理设施，需相应达到排放标准要求，对于生产废水零排放的项目，企业废水总排口中铊不得检出。</w:t>
                  </w:r>
                </w:p>
              </w:tc>
              <w:tc>
                <w:tcPr>
                  <w:tcW w:w="1357" w:type="pct"/>
                  <w:tcBorders>
                    <w:tl2br w:val="nil"/>
                    <w:tr2bl w:val="nil"/>
                  </w:tcBorders>
                  <w:vAlign w:val="center"/>
                </w:tcPr>
                <w:p w14:paraId="6E7CF1F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项目不涉铊。</w:t>
                  </w:r>
                </w:p>
              </w:tc>
              <w:tc>
                <w:tcPr>
                  <w:tcW w:w="311" w:type="pct"/>
                  <w:vMerge w:val="continue"/>
                  <w:tcBorders>
                    <w:tl2br w:val="nil"/>
                    <w:tr2bl w:val="nil"/>
                  </w:tcBorders>
                  <w:vAlign w:val="center"/>
                </w:tcPr>
                <w:p w14:paraId="4A5B65EC">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07A86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continue"/>
                  <w:tcBorders>
                    <w:tl2br w:val="nil"/>
                    <w:tr2bl w:val="nil"/>
                  </w:tcBorders>
                  <w:vAlign w:val="center"/>
                </w:tcPr>
                <w:p w14:paraId="6FB6CDE4">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5D97445B">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6</w:t>
                  </w:r>
                </w:p>
              </w:tc>
              <w:tc>
                <w:tcPr>
                  <w:tcW w:w="2090" w:type="pct"/>
                  <w:tcBorders>
                    <w:tl2br w:val="nil"/>
                    <w:tr2bl w:val="nil"/>
                  </w:tcBorders>
                  <w:vAlign w:val="center"/>
                </w:tcPr>
                <w:p w14:paraId="5305856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碳酸锂及中间产品生产不得以危险废物、五类重金属、高氟等工业固废作为原料，严禁非法随意添加环评批复外的原辅材料。</w:t>
                  </w:r>
                </w:p>
              </w:tc>
              <w:tc>
                <w:tcPr>
                  <w:tcW w:w="1357" w:type="pct"/>
                  <w:tcBorders>
                    <w:tl2br w:val="nil"/>
                    <w:tr2bl w:val="nil"/>
                  </w:tcBorders>
                  <w:vAlign w:val="center"/>
                </w:tcPr>
                <w:p w14:paraId="15DAEDA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项目不涉及。</w:t>
                  </w:r>
                </w:p>
              </w:tc>
              <w:tc>
                <w:tcPr>
                  <w:tcW w:w="311" w:type="pct"/>
                  <w:vMerge w:val="continue"/>
                  <w:tcBorders>
                    <w:tl2br w:val="nil"/>
                    <w:tr2bl w:val="nil"/>
                  </w:tcBorders>
                  <w:vAlign w:val="center"/>
                </w:tcPr>
                <w:p w14:paraId="0ADAD19E">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67BBC7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restart"/>
                  <w:tcBorders>
                    <w:tl2br w:val="nil"/>
                    <w:tr2bl w:val="nil"/>
                  </w:tcBorders>
                  <w:vAlign w:val="center"/>
                </w:tcPr>
                <w:p w14:paraId="522C49BC">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资源利用效率</w:t>
                  </w:r>
                </w:p>
              </w:tc>
              <w:tc>
                <w:tcPr>
                  <w:tcW w:w="537" w:type="pct"/>
                  <w:tcBorders>
                    <w:tl2br w:val="nil"/>
                    <w:tr2bl w:val="nil"/>
                  </w:tcBorders>
                  <w:vAlign w:val="center"/>
                </w:tcPr>
                <w:p w14:paraId="1BF3EC4C">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p>
              </w:tc>
              <w:tc>
                <w:tcPr>
                  <w:tcW w:w="2090" w:type="pct"/>
                  <w:tcBorders>
                    <w:tl2br w:val="nil"/>
                    <w:tr2bl w:val="nil"/>
                  </w:tcBorders>
                  <w:vAlign w:val="center"/>
                </w:tcPr>
                <w:p w14:paraId="08158F8F">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到</w:t>
                  </w:r>
                  <w:r>
                    <w:rPr>
                      <w:color w:val="000000" w:themeColor="text1"/>
                      <w14:textFill>
                        <w14:solidFill>
                          <w14:schemeClr w14:val="tx1"/>
                        </w14:solidFill>
                      </w14:textFill>
                    </w:rPr>
                    <w:t>2025</w:t>
                  </w:r>
                  <w:r>
                    <w:rPr>
                      <w:rFonts w:hint="eastAsia"/>
                      <w:color w:val="000000" w:themeColor="text1"/>
                      <w14:textFill>
                        <w14:solidFill>
                          <w14:schemeClr w14:val="tx1"/>
                        </w14:solidFill>
                      </w14:textFill>
                    </w:rPr>
                    <w:t xml:space="preserve">年，规模以上工业用水重复利用率稳定在 </w:t>
                  </w:r>
                  <w:r>
                    <w:rPr>
                      <w:color w:val="000000" w:themeColor="text1"/>
                      <w14:textFill>
                        <w14:solidFill>
                          <w14:schemeClr w14:val="tx1"/>
                        </w14:solidFill>
                      </w14:textFill>
                    </w:rPr>
                    <w:t>93.3%</w:t>
                  </w:r>
                  <w:r>
                    <w:rPr>
                      <w:rFonts w:hint="eastAsia"/>
                      <w:color w:val="000000" w:themeColor="text1"/>
                      <w14:textFill>
                        <w14:solidFill>
                          <w14:schemeClr w14:val="tx1"/>
                        </w14:solidFill>
                      </w14:textFill>
                    </w:rPr>
                    <w:t>以上，力争达到</w:t>
                  </w:r>
                  <w:r>
                    <w:rPr>
                      <w:color w:val="000000" w:themeColor="text1"/>
                      <w14:textFill>
                        <w14:solidFill>
                          <w14:schemeClr w14:val="tx1"/>
                        </w14:solidFill>
                      </w14:textFill>
                    </w:rPr>
                    <w:t>94%</w:t>
                  </w:r>
                  <w:r>
                    <w:rPr>
                      <w:rFonts w:hint="eastAsia"/>
                      <w:color w:val="000000" w:themeColor="text1"/>
                      <w14:textFill>
                        <w14:solidFill>
                          <w14:schemeClr w14:val="tx1"/>
                        </w14:solidFill>
                      </w14:textFill>
                    </w:rPr>
                    <w:t>。</w:t>
                  </w:r>
                </w:p>
              </w:tc>
              <w:tc>
                <w:tcPr>
                  <w:tcW w:w="1357" w:type="pct"/>
                  <w:tcBorders>
                    <w:tl2br w:val="nil"/>
                    <w:tr2bl w:val="nil"/>
                  </w:tcBorders>
                  <w:vAlign w:val="center"/>
                </w:tcPr>
                <w:p w14:paraId="3E3127C2">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本项目水资源消耗量不大。</w:t>
                  </w:r>
                </w:p>
              </w:tc>
              <w:tc>
                <w:tcPr>
                  <w:tcW w:w="311" w:type="pct"/>
                  <w:vMerge w:val="restart"/>
                  <w:tcBorders>
                    <w:tl2br w:val="nil"/>
                    <w:tr2bl w:val="nil"/>
                  </w:tcBorders>
                  <w:vAlign w:val="center"/>
                </w:tcPr>
                <w:p w14:paraId="7ECF09E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B1DB3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continue"/>
                  <w:tcBorders>
                    <w:tl2br w:val="nil"/>
                    <w:tr2bl w:val="nil"/>
                  </w:tcBorders>
                  <w:vAlign w:val="center"/>
                </w:tcPr>
                <w:p w14:paraId="36FC8FE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41605355">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p>
              </w:tc>
              <w:tc>
                <w:tcPr>
                  <w:tcW w:w="2090" w:type="pct"/>
                  <w:tcBorders>
                    <w:tl2br w:val="nil"/>
                    <w:tr2bl w:val="nil"/>
                  </w:tcBorders>
                  <w:vAlign w:val="center"/>
                </w:tcPr>
                <w:p w14:paraId="12292A9F">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到</w:t>
                  </w:r>
                  <w:r>
                    <w:rPr>
                      <w:color w:val="000000" w:themeColor="text1"/>
                      <w14:textFill>
                        <w14:solidFill>
                          <w14:schemeClr w14:val="tx1"/>
                        </w14:solidFill>
                      </w14:textFill>
                    </w:rPr>
                    <w:t>2025</w:t>
                  </w:r>
                  <w:r>
                    <w:rPr>
                      <w:rFonts w:hint="eastAsia"/>
                      <w:color w:val="000000" w:themeColor="text1"/>
                      <w14:textFill>
                        <w14:solidFill>
                          <w14:schemeClr w14:val="tx1"/>
                        </w14:solidFill>
                      </w14:textFill>
                    </w:rPr>
                    <w:t>年，万元工业增加值用水量较</w:t>
                  </w:r>
                  <w:r>
                    <w:rPr>
                      <w:color w:val="000000" w:themeColor="text1"/>
                      <w14:textFill>
                        <w14:solidFill>
                          <w14:schemeClr w14:val="tx1"/>
                        </w14:solidFill>
                      </w14:textFill>
                    </w:rPr>
                    <w:t>2020</w:t>
                  </w:r>
                  <w:r>
                    <w:rPr>
                      <w:rFonts w:hint="eastAsia"/>
                      <w:color w:val="000000" w:themeColor="text1"/>
                      <w14:textFill>
                        <w14:solidFill>
                          <w14:schemeClr w14:val="tx1"/>
                        </w14:solidFill>
                      </w14:textFill>
                    </w:rPr>
                    <w:t xml:space="preserve">年下降 </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 xml:space="preserve">；万元国内生产总值用水量较 </w:t>
                  </w:r>
                  <w:r>
                    <w:rPr>
                      <w:color w:val="000000" w:themeColor="text1"/>
                      <w14:textFill>
                        <w14:solidFill>
                          <w14:schemeClr w14:val="tx1"/>
                        </w14:solidFill>
                      </w14:textFill>
                    </w:rPr>
                    <w:t xml:space="preserve">2020 </w:t>
                  </w:r>
                  <w:r>
                    <w:rPr>
                      <w:rFonts w:hint="eastAsia"/>
                      <w:color w:val="000000" w:themeColor="text1"/>
                      <w14:textFill>
                        <w14:solidFill>
                          <w14:schemeClr w14:val="tx1"/>
                        </w14:solidFill>
                      </w14:textFill>
                    </w:rPr>
                    <w:t>年下降</w:t>
                  </w:r>
                  <w:r>
                    <w:rPr>
                      <w:color w:val="000000" w:themeColor="text1"/>
                      <w14:textFill>
                        <w14:solidFill>
                          <w14:schemeClr w14:val="tx1"/>
                        </w14:solidFill>
                      </w14:textFill>
                    </w:rPr>
                    <w:t>23%</w:t>
                  </w:r>
                  <w:r>
                    <w:rPr>
                      <w:rFonts w:hint="eastAsia"/>
                      <w:color w:val="000000" w:themeColor="text1"/>
                      <w14:textFill>
                        <w14:solidFill>
                          <w14:schemeClr w14:val="tx1"/>
                        </w14:solidFill>
                      </w14:textFill>
                    </w:rPr>
                    <w:t>。</w:t>
                  </w:r>
                </w:p>
              </w:tc>
              <w:tc>
                <w:tcPr>
                  <w:tcW w:w="1357" w:type="pct"/>
                  <w:tcBorders>
                    <w:tl2br w:val="nil"/>
                    <w:tr2bl w:val="nil"/>
                  </w:tcBorders>
                  <w:vAlign w:val="center"/>
                </w:tcPr>
                <w:p w14:paraId="5054D4DA">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本项目水资源消耗量不大。</w:t>
                  </w:r>
                </w:p>
              </w:tc>
              <w:tc>
                <w:tcPr>
                  <w:tcW w:w="311" w:type="pct"/>
                  <w:vMerge w:val="continue"/>
                  <w:tcBorders>
                    <w:tl2br w:val="nil"/>
                    <w:tr2bl w:val="nil"/>
                  </w:tcBorders>
                  <w:vAlign w:val="center"/>
                </w:tcPr>
                <w:p w14:paraId="617686C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6B3570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continue"/>
                  <w:tcBorders>
                    <w:tl2br w:val="nil"/>
                    <w:tr2bl w:val="nil"/>
                  </w:tcBorders>
                  <w:vAlign w:val="center"/>
                </w:tcPr>
                <w:p w14:paraId="70FC357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629FCBF7">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3</w:t>
                  </w:r>
                </w:p>
              </w:tc>
              <w:tc>
                <w:tcPr>
                  <w:tcW w:w="2090" w:type="pct"/>
                  <w:tcBorders>
                    <w:tl2br w:val="nil"/>
                    <w:tr2bl w:val="nil"/>
                  </w:tcBorders>
                  <w:vAlign w:val="center"/>
                </w:tcPr>
                <w:p w14:paraId="169CEE74">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十四五</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能耗强度降低</w:t>
                  </w:r>
                  <w:r>
                    <w:rPr>
                      <w:color w:val="000000" w:themeColor="text1"/>
                      <w14:textFill>
                        <w14:solidFill>
                          <w14:schemeClr w14:val="tx1"/>
                        </w14:solidFill>
                      </w14:textFill>
                    </w:rPr>
                    <w:t>17.5%</w:t>
                  </w:r>
                  <w:r>
                    <w:rPr>
                      <w:rFonts w:hint="eastAsia"/>
                      <w:color w:val="000000" w:themeColor="text1"/>
                      <w14:textFill>
                        <w14:solidFill>
                          <w14:schemeClr w14:val="tx1"/>
                        </w14:solidFill>
                      </w14:textFill>
                    </w:rPr>
                    <w:t>。</w:t>
                  </w:r>
                </w:p>
              </w:tc>
              <w:tc>
                <w:tcPr>
                  <w:tcW w:w="1357" w:type="pct"/>
                  <w:tcBorders>
                    <w:tl2br w:val="nil"/>
                    <w:tr2bl w:val="nil"/>
                  </w:tcBorders>
                  <w:vAlign w:val="center"/>
                </w:tcPr>
                <w:p w14:paraId="1D749D4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本项目采用行业低能设备，节电节水。</w:t>
                  </w:r>
                </w:p>
              </w:tc>
              <w:tc>
                <w:tcPr>
                  <w:tcW w:w="311" w:type="pct"/>
                  <w:vMerge w:val="continue"/>
                  <w:tcBorders>
                    <w:tl2br w:val="nil"/>
                    <w:tr2bl w:val="nil"/>
                  </w:tcBorders>
                  <w:vAlign w:val="center"/>
                </w:tcPr>
                <w:p w14:paraId="1DC35F8D">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r w14:paraId="794F37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5" w:type="pct"/>
                  <w:vMerge w:val="continue"/>
                  <w:tcBorders>
                    <w:tl2br w:val="nil"/>
                    <w:tr2bl w:val="nil"/>
                  </w:tcBorders>
                  <w:vAlign w:val="center"/>
                </w:tcPr>
                <w:p w14:paraId="7C1B5589">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c>
                <w:tcPr>
                  <w:tcW w:w="537" w:type="pct"/>
                  <w:tcBorders>
                    <w:tl2br w:val="nil"/>
                    <w:tr2bl w:val="nil"/>
                  </w:tcBorders>
                  <w:vAlign w:val="center"/>
                </w:tcPr>
                <w:p w14:paraId="41ABBFA4">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4</w:t>
                  </w:r>
                </w:p>
              </w:tc>
              <w:tc>
                <w:tcPr>
                  <w:tcW w:w="2090" w:type="pct"/>
                  <w:tcBorders>
                    <w:tl2br w:val="nil"/>
                    <w:tr2bl w:val="nil"/>
                  </w:tcBorders>
                  <w:vAlign w:val="center"/>
                </w:tcPr>
                <w:p w14:paraId="3FAD67C6">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禁止新增工业用水取用地下水，经依法批准开采的矿泉水、地热水除外。</w:t>
                  </w:r>
                </w:p>
              </w:tc>
              <w:tc>
                <w:tcPr>
                  <w:tcW w:w="1357" w:type="pct"/>
                  <w:tcBorders>
                    <w:tl2br w:val="nil"/>
                    <w:tr2bl w:val="nil"/>
                  </w:tcBorders>
                  <w:vAlign w:val="center"/>
                </w:tcPr>
                <w:p w14:paraId="7A72EC45">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项目不取用地下水。</w:t>
                  </w:r>
                </w:p>
              </w:tc>
              <w:tc>
                <w:tcPr>
                  <w:tcW w:w="311" w:type="pct"/>
                  <w:vMerge w:val="continue"/>
                  <w:tcBorders>
                    <w:tl2br w:val="nil"/>
                    <w:tr2bl w:val="nil"/>
                  </w:tcBorders>
                  <w:vAlign w:val="center"/>
                </w:tcPr>
                <w:p w14:paraId="25DF0F00">
                  <w:pPr>
                    <w:pStyle w:val="139"/>
                    <w:keepNext w:val="0"/>
                    <w:keepLines w:val="0"/>
                    <w:pageBreakBefore w:val="0"/>
                    <w:widowControl w:val="0"/>
                    <w:kinsoku/>
                    <w:wordWrap/>
                    <w:overflowPunct/>
                    <w:topLinePunct w:val="0"/>
                    <w:autoSpaceDE/>
                    <w:autoSpaceDN/>
                    <w:bidi w:val="0"/>
                    <w:adjustRightInd w:val="0"/>
                    <w:snapToGrid w:val="0"/>
                    <w:spacing w:line="240" w:lineRule="auto"/>
                    <w:ind w:firstLine="0"/>
                    <w:textAlignment w:val="auto"/>
                    <w:rPr>
                      <w:color w:val="000000" w:themeColor="text1"/>
                      <w14:textFill>
                        <w14:solidFill>
                          <w14:schemeClr w14:val="tx1"/>
                        </w14:solidFill>
                      </w14:textFill>
                    </w:rPr>
                  </w:pPr>
                </w:p>
              </w:tc>
            </w:tr>
          </w:tbl>
          <w:p w14:paraId="3AAB95B0">
            <w:pPr>
              <w:adjustRightInd/>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综上所述，本项目不在生态保护红线内，不触及环境质量底线，符合资源利用上线要求，符合生态环境准入清单要求，符合当地</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三线一单</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要求，因此项目建设符合生态环境分区管控要求。</w:t>
            </w:r>
          </w:p>
          <w:p w14:paraId="639A4964">
            <w:pPr>
              <w:adjustRightInd/>
              <w:ind w:left="0" w:leftChars="0" w:firstLine="0" w:firstLineChars="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四</w:t>
            </w:r>
            <w:r>
              <w:rPr>
                <w:b/>
                <w:bCs/>
                <w:color w:val="000000" w:themeColor="text1"/>
                <w14:textFill>
                  <w14:solidFill>
                    <w14:schemeClr w14:val="tx1"/>
                  </w14:solidFill>
                </w14:textFill>
              </w:rPr>
              <w:t>、与挥发性有机物相关环保政策相符性分析</w:t>
            </w:r>
          </w:p>
          <w:p w14:paraId="30FE73F8">
            <w:pPr>
              <w:adjustRightInd/>
              <w:ind w:firstLine="480"/>
              <w:rPr>
                <w:color w:val="000000" w:themeColor="text1"/>
                <w14:textFill>
                  <w14:solidFill>
                    <w14:schemeClr w14:val="tx1"/>
                  </w14:solidFill>
                </w14:textFill>
              </w:rPr>
            </w:pPr>
            <w:r>
              <w:rPr>
                <w:color w:val="000000" w:themeColor="text1"/>
                <w14:textFill>
                  <w14:solidFill>
                    <w14:schemeClr w14:val="tx1"/>
                  </w14:solidFill>
                </w14:textFill>
              </w:rPr>
              <w:t>项目与《重点行业挥发性有机物综合治理方案》（环大气[2019]53号）、</w:t>
            </w:r>
            <w:r>
              <w:rPr>
                <w:color w:val="000000" w:themeColor="text1"/>
                <w:sz w:val="24"/>
                <w14:textFill>
                  <w14:solidFill>
                    <w14:schemeClr w14:val="tx1"/>
                  </w14:solidFill>
                </w14:textFill>
              </w:rPr>
              <w:t>《挥发性有机物（VOCs）污染防治技术政策》（生态环境部，2013年第31号公告）</w:t>
            </w:r>
            <w:r>
              <w:rPr>
                <w:rFonts w:hint="eastAsia"/>
                <w:color w:val="000000" w:themeColor="text1"/>
                <w:sz w:val="24"/>
                <w:lang w:eastAsia="zh-CN"/>
                <w14:textFill>
                  <w14:solidFill>
                    <w14:schemeClr w14:val="tx1"/>
                  </w14:solidFill>
                </w14:textFill>
              </w:rPr>
              <w:t>、</w:t>
            </w:r>
            <w:r>
              <w:rPr>
                <w:color w:val="000000" w:themeColor="text1"/>
                <w14:textFill>
                  <w14:solidFill>
                    <w14:schemeClr w14:val="tx1"/>
                  </w14:solidFill>
                </w14:textFill>
              </w:rPr>
              <w:t>《江西省重点行业挥发性有机物综合治理方案》（赣环大气[2019]20号）、《2020年挥发性有机物治理攻坚方案》（环大气〔2020〕33号）、《挥发性有机物无组织排放控制标准》（GB37822-2019）、《江西省深入打好污染防治攻坚战挥发性有机物治理专项行动实施方案》（赣环委字〔2022〕22号）</w:t>
            </w:r>
            <w:r>
              <w:rPr>
                <w:rFonts w:hint="eastAsia"/>
                <w:color w:val="000000" w:themeColor="text1"/>
                <w:lang w:eastAsia="zh-CN"/>
                <w14:textFill>
                  <w14:solidFill>
                    <w14:schemeClr w14:val="tx1"/>
                  </w14:solidFill>
                </w14:textFill>
              </w:rPr>
              <w:t>、</w:t>
            </w:r>
            <w:r>
              <w:rPr>
                <w:rFonts w:ascii="宋体" w:hAnsi="宋体" w:eastAsia="Times New Roman"/>
                <w:color w:val="000000" w:themeColor="text1"/>
                <w:sz w:val="24"/>
                <w:szCs w:val="24"/>
                <w14:textFill>
                  <w14:solidFill>
                    <w14:schemeClr w14:val="tx1"/>
                  </w14:solidFill>
                </w14:textFill>
              </w:rPr>
              <w:t>《低挥发性有机化合物含量涂料产品技术要求》（</w:t>
            </w:r>
            <w:r>
              <w:rPr>
                <w:rFonts w:eastAsia="Times New Roman"/>
                <w:color w:val="000000" w:themeColor="text1"/>
                <w:sz w:val="24"/>
                <w:szCs w:val="24"/>
                <w14:textFill>
                  <w14:solidFill>
                    <w14:schemeClr w14:val="tx1"/>
                  </w14:solidFill>
                </w14:textFill>
              </w:rPr>
              <w:t>GB/T 38597-2020</w:t>
            </w:r>
            <w:r>
              <w:rPr>
                <w:rFonts w:ascii="宋体" w:hAnsi="宋体" w:eastAsia="Times New Roman"/>
                <w:color w:val="000000" w:themeColor="text1"/>
                <w:sz w:val="24"/>
                <w:szCs w:val="24"/>
                <w14:textFill>
                  <w14:solidFill>
                    <w14:schemeClr w14:val="tx1"/>
                  </w14:solidFill>
                </w14:textFill>
              </w:rPr>
              <w:t>）</w:t>
            </w:r>
            <w:r>
              <w:rPr>
                <w:color w:val="000000" w:themeColor="text1"/>
                <w14:textFill>
                  <w14:solidFill>
                    <w14:schemeClr w14:val="tx1"/>
                  </w14:solidFill>
                </w14:textFill>
              </w:rPr>
              <w:t>相符性分析见下表。</w:t>
            </w:r>
          </w:p>
          <w:p w14:paraId="2CB3C77D">
            <w:pPr>
              <w:pStyle w:val="57"/>
              <w:rPr>
                <w:color w:val="000000" w:themeColor="text1"/>
                <w:lang w:eastAsia="zh-CN"/>
                <w14:textFill>
                  <w14:solidFill>
                    <w14:schemeClr w14:val="tx1"/>
                  </w14:solidFill>
                </w14:textFill>
              </w:rPr>
            </w:pPr>
            <w:r>
              <w:rPr>
                <w:color w:val="000000" w:themeColor="text1"/>
                <w:lang w:eastAsia="zh-CN"/>
                <w14:textFill>
                  <w14:solidFill>
                    <w14:schemeClr w14:val="tx1"/>
                  </w14:solidFill>
                </w14:textFill>
              </w:rPr>
              <w:t>本项目与挥发性有机物相关环保政策相符性分析一览表</w:t>
            </w:r>
          </w:p>
          <w:tbl>
            <w:tblPr>
              <w:tblStyle w:val="36"/>
              <w:tblW w:w="4996" w:type="pct"/>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451"/>
              <w:gridCol w:w="687"/>
              <w:gridCol w:w="3560"/>
              <w:gridCol w:w="2432"/>
              <w:gridCol w:w="676"/>
            </w:tblGrid>
            <w:tr w14:paraId="3F41564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2" w:type="pct"/>
                  <w:tcBorders>
                    <w:tl2br w:val="nil"/>
                    <w:tr2bl w:val="nil"/>
                  </w:tcBorders>
                  <w:vAlign w:val="center"/>
                </w:tcPr>
                <w:p w14:paraId="07F8CA73">
                  <w:pPr>
                    <w:adjustRightInd/>
                    <w:snapToGrid/>
                    <w:spacing w:line="240" w:lineRule="auto"/>
                    <w:ind w:firstLine="0" w:firstLineChars="0"/>
                    <w:jc w:val="center"/>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源项</w:t>
                  </w:r>
                </w:p>
              </w:tc>
              <w:tc>
                <w:tcPr>
                  <w:tcW w:w="453" w:type="pct"/>
                  <w:tcBorders>
                    <w:tl2br w:val="nil"/>
                    <w:tr2bl w:val="nil"/>
                  </w:tcBorders>
                  <w:vAlign w:val="center"/>
                </w:tcPr>
                <w:p w14:paraId="6E7B4E8E">
                  <w:pPr>
                    <w:adjustRightInd/>
                    <w:snapToGrid/>
                    <w:spacing w:line="240" w:lineRule="auto"/>
                    <w:ind w:firstLine="0" w:firstLineChars="0"/>
                    <w:jc w:val="center"/>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环节</w:t>
                  </w:r>
                </w:p>
              </w:tc>
              <w:tc>
                <w:tcPr>
                  <w:tcW w:w="2292" w:type="pct"/>
                  <w:tcBorders>
                    <w:tl2br w:val="nil"/>
                    <w:tr2bl w:val="nil"/>
                  </w:tcBorders>
                  <w:vAlign w:val="center"/>
                </w:tcPr>
                <w:p w14:paraId="0B8180F2">
                  <w:pPr>
                    <w:adjustRightInd/>
                    <w:snapToGrid/>
                    <w:spacing w:line="240" w:lineRule="auto"/>
                    <w:ind w:firstLine="0" w:firstLineChars="0"/>
                    <w:jc w:val="center"/>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方案要求</w:t>
                  </w:r>
                </w:p>
              </w:tc>
              <w:tc>
                <w:tcPr>
                  <w:tcW w:w="1507" w:type="pct"/>
                  <w:tcBorders>
                    <w:tl2br w:val="nil"/>
                    <w:tr2bl w:val="nil"/>
                  </w:tcBorders>
                  <w:vAlign w:val="center"/>
                </w:tcPr>
                <w:p w14:paraId="023C7200">
                  <w:pPr>
                    <w:adjustRightInd/>
                    <w:snapToGrid/>
                    <w:spacing w:line="240" w:lineRule="auto"/>
                    <w:ind w:firstLine="0" w:firstLineChars="0"/>
                    <w:jc w:val="center"/>
                    <w:rPr>
                      <w:b/>
                      <w:bCs/>
                      <w:color w:val="000000" w:themeColor="text1"/>
                      <w:sz w:val="21"/>
                      <w:highlight w:val="yellow"/>
                      <w14:textFill>
                        <w14:solidFill>
                          <w14:schemeClr w14:val="tx1"/>
                        </w14:solidFill>
                      </w14:textFill>
                    </w:rPr>
                  </w:pPr>
                  <w:r>
                    <w:rPr>
                      <w:rFonts w:hint="eastAsia"/>
                      <w:b/>
                      <w:bCs/>
                      <w:color w:val="000000" w:themeColor="text1"/>
                      <w:sz w:val="21"/>
                      <w14:textFill>
                        <w14:solidFill>
                          <w14:schemeClr w14:val="tx1"/>
                        </w14:solidFill>
                      </w14:textFill>
                    </w:rPr>
                    <w:t>本项目</w:t>
                  </w:r>
                </w:p>
              </w:tc>
              <w:tc>
                <w:tcPr>
                  <w:tcW w:w="444" w:type="pct"/>
                  <w:tcBorders>
                    <w:tl2br w:val="nil"/>
                    <w:tr2bl w:val="nil"/>
                  </w:tcBorders>
                  <w:vAlign w:val="center"/>
                </w:tcPr>
                <w:p w14:paraId="63EE124F">
                  <w:pPr>
                    <w:adjustRightInd/>
                    <w:snapToGrid/>
                    <w:spacing w:line="240" w:lineRule="auto"/>
                    <w:ind w:firstLine="0" w:firstLineChars="0"/>
                    <w:jc w:val="center"/>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符合性</w:t>
                  </w:r>
                </w:p>
              </w:tc>
            </w:tr>
            <w:tr w14:paraId="6C70E91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5000" w:type="pct"/>
                  <w:gridSpan w:val="5"/>
                  <w:tcBorders>
                    <w:tl2br w:val="nil"/>
                    <w:tr2bl w:val="nil"/>
                  </w:tcBorders>
                  <w:vAlign w:val="center"/>
                </w:tcPr>
                <w:p w14:paraId="489738F5">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《重点行业挥发性有机物综合治理方案》（环大气</w:t>
                  </w:r>
                  <w:r>
                    <w:rPr>
                      <w:b/>
                      <w:bCs/>
                      <w:color w:val="000000" w:themeColor="text1"/>
                      <w:sz w:val="21"/>
                      <w14:textFill>
                        <w14:solidFill>
                          <w14:schemeClr w14:val="tx1"/>
                        </w14:solidFill>
                      </w14:textFill>
                    </w:rPr>
                    <w:t>[2019]53</w:t>
                  </w:r>
                  <w:r>
                    <w:rPr>
                      <w:rFonts w:hint="eastAsia"/>
                      <w:b/>
                      <w:bCs/>
                      <w:color w:val="000000" w:themeColor="text1"/>
                      <w:sz w:val="21"/>
                      <w14:textFill>
                        <w14:solidFill>
                          <w14:schemeClr w14:val="tx1"/>
                        </w14:solidFill>
                      </w14:textFill>
                    </w:rPr>
                    <w:t>号）</w:t>
                  </w:r>
                </w:p>
              </w:tc>
            </w:tr>
            <w:tr w14:paraId="10205D2D">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2" w:type="pct"/>
                  <w:tcBorders>
                    <w:tl2br w:val="nil"/>
                    <w:tr2bl w:val="nil"/>
                  </w:tcBorders>
                  <w:vAlign w:val="center"/>
                </w:tcPr>
                <w:p w14:paraId="42AA17C1">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废气</w:t>
                  </w:r>
                </w:p>
              </w:tc>
              <w:tc>
                <w:tcPr>
                  <w:tcW w:w="453" w:type="pct"/>
                  <w:tcBorders>
                    <w:tl2br w:val="nil"/>
                    <w:tr2bl w:val="nil"/>
                  </w:tcBorders>
                  <w:vAlign w:val="center"/>
                </w:tcPr>
                <w:p w14:paraId="125E1438">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工艺</w:t>
                  </w:r>
                </w:p>
              </w:tc>
              <w:tc>
                <w:tcPr>
                  <w:tcW w:w="2292" w:type="pct"/>
                  <w:tcBorders>
                    <w:tl2br w:val="nil"/>
                    <w:tr2bl w:val="nil"/>
                  </w:tcBorders>
                  <w:vAlign w:val="center"/>
                </w:tcPr>
                <w:p w14:paraId="3E3A584C">
                  <w:pPr>
                    <w:adjustRightInd/>
                    <w:snapToGrid/>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推进使用先进生产工艺。采用全密闭、连续化、自动化等生产技术以及高效工艺与设备等，减少工艺过程无组织排放。</w:t>
                  </w:r>
                </w:p>
              </w:tc>
              <w:tc>
                <w:tcPr>
                  <w:tcW w:w="1507" w:type="pct"/>
                  <w:tcBorders>
                    <w:tl2br w:val="nil"/>
                    <w:tr2bl w:val="nil"/>
                  </w:tcBorders>
                  <w:vAlign w:val="center"/>
                </w:tcPr>
                <w:p w14:paraId="5F5A3F0A">
                  <w:pPr>
                    <w:adjustRightInd/>
                    <w:snapToGrid/>
                    <w:spacing w:line="240" w:lineRule="auto"/>
                    <w:ind w:firstLine="0" w:firstLineChars="0"/>
                    <w:jc w:val="both"/>
                    <w:rPr>
                      <w:color w:val="000000" w:themeColor="text1"/>
                      <w:sz w:val="21"/>
                      <w:highlight w:val="yellow"/>
                      <w14:textFill>
                        <w14:solidFill>
                          <w14:schemeClr w14:val="tx1"/>
                        </w14:solidFill>
                      </w14:textFill>
                    </w:rPr>
                  </w:pPr>
                  <w:r>
                    <w:rPr>
                      <w:rFonts w:hint="eastAsia"/>
                      <w:color w:val="000000" w:themeColor="text1"/>
                      <w:sz w:val="21"/>
                      <w14:textFill>
                        <w14:solidFill>
                          <w14:schemeClr w14:val="tx1"/>
                        </w14:solidFill>
                      </w14:textFill>
                    </w:rPr>
                    <w:t>本项目采用废气收集、连续化、自动化等技术，减少无组织废气排放。</w:t>
                  </w:r>
                </w:p>
              </w:tc>
              <w:tc>
                <w:tcPr>
                  <w:tcW w:w="444" w:type="pct"/>
                  <w:tcBorders>
                    <w:tl2br w:val="nil"/>
                    <w:tr2bl w:val="nil"/>
                  </w:tcBorders>
                  <w:vAlign w:val="center"/>
                </w:tcPr>
                <w:p w14:paraId="24313DE6">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符合</w:t>
                  </w:r>
                </w:p>
              </w:tc>
            </w:tr>
            <w:tr w14:paraId="334D4FDF">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2" w:type="pct"/>
                  <w:tcBorders>
                    <w:tl2br w:val="nil"/>
                    <w:tr2bl w:val="nil"/>
                  </w:tcBorders>
                  <w:vAlign w:val="center"/>
                </w:tcPr>
                <w:p w14:paraId="44A338CD">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废气</w:t>
                  </w:r>
                </w:p>
              </w:tc>
              <w:tc>
                <w:tcPr>
                  <w:tcW w:w="453" w:type="pct"/>
                  <w:tcBorders>
                    <w:tl2br w:val="nil"/>
                    <w:tr2bl w:val="nil"/>
                  </w:tcBorders>
                  <w:vAlign w:val="center"/>
                </w:tcPr>
                <w:p w14:paraId="44C6E5D1">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废气收集</w:t>
                  </w:r>
                </w:p>
              </w:tc>
              <w:tc>
                <w:tcPr>
                  <w:tcW w:w="2292" w:type="pct"/>
                  <w:tcBorders>
                    <w:tl2br w:val="nil"/>
                    <w:tr2bl w:val="nil"/>
                  </w:tcBorders>
                  <w:vAlign w:val="center"/>
                </w:tcPr>
                <w:p w14:paraId="1D6B587F">
                  <w:pPr>
                    <w:adjustRightInd/>
                    <w:snapToGrid/>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提高废气收集率。遵循“应收尽收、分质收集”的原则，科学设计废气收集系统，将无组织排放转变为有组织排放进行控制。</w:t>
                  </w:r>
                </w:p>
              </w:tc>
              <w:tc>
                <w:tcPr>
                  <w:tcW w:w="1507" w:type="pct"/>
                  <w:tcBorders>
                    <w:tl2br w:val="nil"/>
                    <w:tr2bl w:val="nil"/>
                  </w:tcBorders>
                  <w:vAlign w:val="center"/>
                </w:tcPr>
                <w:p w14:paraId="3A2EC43F">
                  <w:pPr>
                    <w:adjustRightInd/>
                    <w:snapToGrid/>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项目遵循“应收尽收、分质收集”的原则</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提高废气收集率</w:t>
                  </w:r>
                  <w:r>
                    <w:rPr>
                      <w:rFonts w:hint="eastAsia"/>
                      <w:color w:val="000000" w:themeColor="text1"/>
                      <w:sz w:val="21"/>
                      <w14:textFill>
                        <w14:solidFill>
                          <w14:schemeClr w14:val="tx1"/>
                        </w14:solidFill>
                      </w14:textFill>
                    </w:rPr>
                    <w:t>。</w:t>
                  </w:r>
                </w:p>
              </w:tc>
              <w:tc>
                <w:tcPr>
                  <w:tcW w:w="444" w:type="pct"/>
                  <w:tcBorders>
                    <w:tl2br w:val="nil"/>
                    <w:tr2bl w:val="nil"/>
                  </w:tcBorders>
                  <w:vAlign w:val="center"/>
                </w:tcPr>
                <w:p w14:paraId="2F2B82FF">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符合</w:t>
                  </w:r>
                </w:p>
              </w:tc>
            </w:tr>
            <w:tr w14:paraId="710886E5">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5000" w:type="pct"/>
                  <w:gridSpan w:val="5"/>
                  <w:tcBorders>
                    <w:tl2br w:val="nil"/>
                    <w:tr2bl w:val="nil"/>
                  </w:tcBorders>
                  <w:vAlign w:val="center"/>
                </w:tcPr>
                <w:p w14:paraId="0E207688">
                  <w:pPr>
                    <w:adjustRightInd/>
                    <w:snapToGrid/>
                    <w:spacing w:line="240" w:lineRule="auto"/>
                    <w:ind w:firstLine="0" w:firstLineChars="0"/>
                    <w:jc w:val="center"/>
                    <w:rPr>
                      <w:rFonts w:hint="eastAsia"/>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《挥发性有机物（VOCs）污染防治技术政策》</w:t>
                  </w:r>
                </w:p>
              </w:tc>
            </w:tr>
            <w:tr w14:paraId="580B1D2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1540A9C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末端治理与综合利用</w:t>
                  </w:r>
                </w:p>
              </w:tc>
              <w:tc>
                <w:tcPr>
                  <w:tcW w:w="2292" w:type="pct"/>
                  <w:tcBorders>
                    <w:tl2br w:val="nil"/>
                    <w:tr2bl w:val="nil"/>
                  </w:tcBorders>
                  <w:shd w:val="clear" w:color="auto" w:fill="auto"/>
                  <w:vAlign w:val="center"/>
                </w:tcPr>
                <w:p w14:paraId="2F4FDA72">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在工业生产过程中鼓励VOCs的回收利用，并优先鼓励在生产系统内回用。</w:t>
                  </w:r>
                </w:p>
                <w:p w14:paraId="5A8ACC4D">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对于含高浓度VOCs的废气，宜优先采用冷凝回收、吸附回收技术进行回收利用，并辅助以其他治理技术实现达标排放。</w:t>
                  </w:r>
                </w:p>
                <w:p w14:paraId="5B1E408B">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对于含中等浓度VOCs的废气，可采用吸附技术回收有机溶剂，或采用催化燃烧和热力焚烧技术净化后达标排放。当采用催化燃烧和热力焚烧技术进行净化时，应进行余热回收利用。</w:t>
                  </w:r>
                </w:p>
                <w:p w14:paraId="3D25624D">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对于含低浓度VOCs的废气，有回收价值时可采用吸附技术、吸收技术对有机溶剂回收后达标排放；不宜回收时，可采用吸附浓缩燃烧技术、生物技术、吸收技术、等离子体技术或紫外光高级氧化技术等净化后达标排放。</w:t>
                  </w:r>
                </w:p>
                <w:p w14:paraId="2F9107AB">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含有有机卤素成分VOCs的废气，宜采用非焚烧技术处理。</w:t>
                  </w:r>
                </w:p>
                <w:p w14:paraId="318589D3">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恶臭气体污染源可采用生物技术、等离子体技术、吸附技术、吸收技术、紫外光高级氧化技术或组合技术等进行净化。净化后的恶臭气体除满足达标排放的要求外，还应采取高空排放等措施，避免产生扰民问题。</w:t>
                  </w:r>
                </w:p>
                <w:p w14:paraId="0C678DA5">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在餐饮服务业推广使用具有油雾回收功能的油烟抽排装置，并根据规模、场地和气候条件等采用高效油烟与VOCs净化装置净化后达标排放。</w:t>
                  </w:r>
                </w:p>
                <w:p w14:paraId="37CA3C98">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严格控制VOCs处理过程中产生的二次污染，对于催化燃烧和热力焚烧过程中产生的含硫、氮、氯等无机废气，以及吸附、吸收、冷凝、生物等治理过程中所产生的含有机物废水，应处理后达标排放。</w:t>
                  </w:r>
                </w:p>
                <w:p w14:paraId="19F06904">
                  <w:pPr>
                    <w:keepNext w:val="0"/>
                    <w:keepLines w:val="0"/>
                    <w:pageBreakBefore w:val="0"/>
                    <w:widowControl/>
                    <w:numPr>
                      <w:ilvl w:val="0"/>
                      <w:numId w:val="16"/>
                    </w:numPr>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对于不能再生的过滤材料、吸附剂及催化剂等净化材料，应按照国家固体废物管理的相关规定处理处置。</w:t>
                  </w:r>
                </w:p>
              </w:tc>
              <w:tc>
                <w:tcPr>
                  <w:tcW w:w="1507" w:type="pct"/>
                  <w:tcBorders>
                    <w:tl2br w:val="nil"/>
                    <w:tr2bl w:val="nil"/>
                  </w:tcBorders>
                  <w:vAlign w:val="center"/>
                </w:tcPr>
                <w:p w14:paraId="249C331D">
                  <w:pPr>
                    <w:adjustRightInd/>
                    <w:snapToGrid/>
                    <w:spacing w:line="240" w:lineRule="auto"/>
                    <w:ind w:firstLine="0" w:firstLineChars="0"/>
                    <w:jc w:val="both"/>
                    <w:rPr>
                      <w:rFonts w:hint="eastAsia" w:eastAsia="宋体"/>
                      <w:color w:val="000000" w:themeColor="text1"/>
                      <w:sz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项目</w:t>
                  </w:r>
                  <w:r>
                    <w:rPr>
                      <w:rFonts w:hint="eastAsia"/>
                      <w:color w:val="000000" w:themeColor="text1"/>
                      <w:sz w:val="21"/>
                      <w:szCs w:val="21"/>
                      <w:lang w:val="en-US" w:eastAsia="zh-CN"/>
                      <w14:textFill>
                        <w14:solidFill>
                          <w14:schemeClr w14:val="tx1"/>
                        </w14:solidFill>
                      </w14:textFill>
                    </w:rPr>
                    <w:t>采用集气罩或密闭空间负压收集</w:t>
                  </w:r>
                  <w:r>
                    <w:rPr>
                      <w:rFonts w:hint="eastAsia"/>
                      <w:color w:val="000000" w:themeColor="text1"/>
                      <w:sz w:val="21"/>
                      <w:szCs w:val="21"/>
                      <w:lang w:eastAsia="zh-CN"/>
                      <w14:textFill>
                        <w14:solidFill>
                          <w14:schemeClr w14:val="tx1"/>
                        </w14:solidFill>
                      </w14:textFill>
                    </w:rPr>
                    <w:t>有机废气，</w:t>
                  </w:r>
                  <w:r>
                    <w:rPr>
                      <w:rFonts w:hint="eastAsia"/>
                      <w:color w:val="000000" w:themeColor="text1"/>
                      <w:sz w:val="21"/>
                      <w:szCs w:val="21"/>
                      <w:lang w:val="en-US" w:eastAsia="zh-CN"/>
                      <w14:textFill>
                        <w14:solidFill>
                          <w14:schemeClr w14:val="tx1"/>
                        </w14:solidFill>
                      </w14:textFill>
                    </w:rPr>
                    <w:t>收集的有机废气</w:t>
                  </w:r>
                  <w:r>
                    <w:rPr>
                      <w:color w:val="000000" w:themeColor="text1"/>
                      <w:sz w:val="21"/>
                      <w:szCs w:val="21"/>
                      <w14:textFill>
                        <w14:solidFill>
                          <w14:schemeClr w14:val="tx1"/>
                        </w14:solidFill>
                      </w14:textFill>
                    </w:rPr>
                    <w:t>经</w:t>
                  </w:r>
                  <w:r>
                    <w:rPr>
                      <w:rFonts w:hint="eastAsia"/>
                      <w:color w:val="000000" w:themeColor="text1"/>
                      <w:sz w:val="21"/>
                      <w:szCs w:val="21"/>
                      <w:lang w:val="en-US" w:eastAsia="zh-CN"/>
                      <w14:textFill>
                        <w14:solidFill>
                          <w14:schemeClr w14:val="tx1"/>
                        </w14:solidFill>
                      </w14:textFill>
                    </w:rPr>
                    <w:t>二级</w:t>
                  </w:r>
                  <w:r>
                    <w:rPr>
                      <w:color w:val="000000" w:themeColor="text1"/>
                      <w:sz w:val="21"/>
                      <w:szCs w:val="21"/>
                      <w14:textFill>
                        <w14:solidFill>
                          <w14:schemeClr w14:val="tx1"/>
                        </w14:solidFill>
                      </w14:textFill>
                    </w:rPr>
                    <w:t>活性炭吸附处理后排放</w:t>
                  </w:r>
                  <w:r>
                    <w:rPr>
                      <w:rFonts w:hint="eastAsia"/>
                      <w:color w:val="000000" w:themeColor="text1"/>
                      <w:sz w:val="21"/>
                      <w:szCs w:val="21"/>
                      <w:lang w:eastAsia="zh-CN"/>
                      <w14:textFill>
                        <w14:solidFill>
                          <w14:schemeClr w14:val="tx1"/>
                        </w14:solidFill>
                      </w14:textFill>
                    </w:rPr>
                    <w:t>。</w:t>
                  </w:r>
                </w:p>
              </w:tc>
              <w:tc>
                <w:tcPr>
                  <w:tcW w:w="444" w:type="pct"/>
                  <w:tcBorders>
                    <w:tl2br w:val="nil"/>
                    <w:tr2bl w:val="nil"/>
                  </w:tcBorders>
                  <w:vAlign w:val="center"/>
                </w:tcPr>
                <w:p w14:paraId="611893A3">
                  <w:pPr>
                    <w:adjustRightInd/>
                    <w:snapToGrid/>
                    <w:spacing w:line="240" w:lineRule="auto"/>
                    <w:ind w:firstLine="0" w:firstLineChars="0"/>
                    <w:jc w:val="center"/>
                    <w:rPr>
                      <w:rFonts w:hint="eastAsia"/>
                      <w:color w:val="000000" w:themeColor="text1"/>
                      <w:sz w:val="21"/>
                      <w14:textFill>
                        <w14:solidFill>
                          <w14:schemeClr w14:val="tx1"/>
                        </w14:solidFill>
                      </w14:textFill>
                    </w:rPr>
                  </w:pPr>
                </w:p>
              </w:tc>
            </w:tr>
            <w:tr w14:paraId="0CC01C3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3D9ACB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鼓励研发的新技术、新材料和新装备</w:t>
                  </w:r>
                </w:p>
              </w:tc>
              <w:tc>
                <w:tcPr>
                  <w:tcW w:w="2292" w:type="pct"/>
                  <w:tcBorders>
                    <w:tl2br w:val="nil"/>
                    <w:tr2bl w:val="nil"/>
                  </w:tcBorders>
                  <w:shd w:val="clear" w:color="auto" w:fill="auto"/>
                  <w:vAlign w:val="center"/>
                </w:tcPr>
                <w:p w14:paraId="18CA515D">
                  <w:pPr>
                    <w:keepNext w:val="0"/>
                    <w:keepLines w:val="0"/>
                    <w:pageBreakBefore w:val="0"/>
                    <w:widowControl/>
                    <w:numPr>
                      <w:ilvl w:val="0"/>
                      <w:numId w:val="17"/>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工业生产过程中能够减少VOCs形成和挥发的清洁生产技术；</w:t>
                  </w:r>
                </w:p>
                <w:p w14:paraId="17085C97">
                  <w:pPr>
                    <w:keepNext w:val="0"/>
                    <w:keepLines w:val="0"/>
                    <w:pageBreakBefore w:val="0"/>
                    <w:widowControl/>
                    <w:numPr>
                      <w:ilvl w:val="0"/>
                      <w:numId w:val="17"/>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旋转式分子筛吸附浓缩技术、高效蓄热式催化燃烧技术（RCO）和蓄热式热力燃烧技术（RTO）、氮气循环脱附吸附回收技术、高效水基强化吸收技术，以及其他针对特定有机污染物的生物净化技术和低温等离子体净化技术等；</w:t>
                  </w:r>
                </w:p>
                <w:p w14:paraId="663F8F9F">
                  <w:pPr>
                    <w:keepNext w:val="0"/>
                    <w:keepLines w:val="0"/>
                    <w:pageBreakBefore w:val="0"/>
                    <w:widowControl/>
                    <w:numPr>
                      <w:ilvl w:val="0"/>
                      <w:numId w:val="17"/>
                    </w:numPr>
                    <w:kinsoku/>
                    <w:wordWrap/>
                    <w:overflowPunct/>
                    <w:topLinePunct w:val="0"/>
                    <w:autoSpaceDE/>
                    <w:autoSpaceDN/>
                    <w:bidi w:val="0"/>
                    <w:adjustRightInd w:val="0"/>
                    <w:snapToGrid w:val="0"/>
                    <w:spacing w:line="240" w:lineRule="auto"/>
                    <w:ind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高效吸附材料（如特种用途活性炭、高强度活性炭纤维、改性疏水分子筛和硅胶等）、催化材料（如广谱性VOCs氧化催化剂等）、高效生物填料和吸收剂等；</w:t>
                  </w:r>
                </w:p>
                <w:p w14:paraId="3EEFDCE2">
                  <w:pPr>
                    <w:keepNext w:val="0"/>
                    <w:keepLines w:val="0"/>
                    <w:pageBreakBefore w:val="0"/>
                    <w:widowControl/>
                    <w:numPr>
                      <w:ilvl w:val="0"/>
                      <w:numId w:val="17"/>
                    </w:numPr>
                    <w:kinsoku/>
                    <w:wordWrap/>
                    <w:overflowPunct/>
                    <w:topLinePunct w:val="0"/>
                    <w:autoSpaceDE/>
                    <w:autoSpaceDN/>
                    <w:bidi w:val="0"/>
                    <w:adjustRightInd w:val="0"/>
                    <w:snapToGrid w:val="0"/>
                    <w:spacing w:line="240" w:lineRule="auto"/>
                    <w:ind w:firstLine="0" w:firstLineChars="0"/>
                    <w:jc w:val="left"/>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挥发性有机物回收及综合利用设备。</w:t>
                  </w:r>
                </w:p>
              </w:tc>
              <w:tc>
                <w:tcPr>
                  <w:tcW w:w="1507" w:type="pct"/>
                  <w:tcBorders>
                    <w:tl2br w:val="nil"/>
                    <w:tr2bl w:val="nil"/>
                  </w:tcBorders>
                  <w:vAlign w:val="center"/>
                </w:tcPr>
                <w:p w14:paraId="359DA81F">
                  <w:pPr>
                    <w:adjustRightInd/>
                    <w:snapToGrid/>
                    <w:spacing w:line="240" w:lineRule="auto"/>
                    <w:ind w:firstLine="0" w:firstLineChars="0"/>
                    <w:jc w:val="both"/>
                    <w:rPr>
                      <w:rFonts w:hint="eastAsia" w:eastAsia="宋体"/>
                      <w:color w:val="000000" w:themeColor="text1"/>
                      <w:sz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项目</w:t>
                  </w:r>
                  <w:r>
                    <w:rPr>
                      <w:rFonts w:hint="eastAsia"/>
                      <w:color w:val="000000" w:themeColor="text1"/>
                      <w:sz w:val="21"/>
                      <w:szCs w:val="21"/>
                      <w:lang w:val="en-US" w:eastAsia="zh-CN"/>
                      <w14:textFill>
                        <w14:solidFill>
                          <w14:schemeClr w14:val="tx1"/>
                        </w14:solidFill>
                      </w14:textFill>
                    </w:rPr>
                    <w:t>采用集气罩或密闭空间负压收集</w:t>
                  </w:r>
                  <w:r>
                    <w:rPr>
                      <w:rFonts w:hint="eastAsia"/>
                      <w:color w:val="000000" w:themeColor="text1"/>
                      <w:sz w:val="21"/>
                      <w:szCs w:val="21"/>
                      <w:lang w:eastAsia="zh-CN"/>
                      <w14:textFill>
                        <w14:solidFill>
                          <w14:schemeClr w14:val="tx1"/>
                        </w14:solidFill>
                      </w14:textFill>
                    </w:rPr>
                    <w:t>有机废气，</w:t>
                  </w:r>
                  <w:r>
                    <w:rPr>
                      <w:rFonts w:hint="eastAsia"/>
                      <w:color w:val="000000" w:themeColor="text1"/>
                      <w:sz w:val="21"/>
                      <w:szCs w:val="21"/>
                      <w:lang w:val="en-US" w:eastAsia="zh-CN"/>
                      <w14:textFill>
                        <w14:solidFill>
                          <w14:schemeClr w14:val="tx1"/>
                        </w14:solidFill>
                      </w14:textFill>
                    </w:rPr>
                    <w:t>收集的有机废气</w:t>
                  </w:r>
                  <w:r>
                    <w:rPr>
                      <w:color w:val="000000" w:themeColor="text1"/>
                      <w:sz w:val="21"/>
                      <w:szCs w:val="21"/>
                      <w14:textFill>
                        <w14:solidFill>
                          <w14:schemeClr w14:val="tx1"/>
                        </w14:solidFill>
                      </w14:textFill>
                    </w:rPr>
                    <w:t>经</w:t>
                  </w:r>
                  <w:r>
                    <w:rPr>
                      <w:rFonts w:hint="eastAsia"/>
                      <w:color w:val="000000" w:themeColor="text1"/>
                      <w:sz w:val="21"/>
                      <w:szCs w:val="21"/>
                      <w:lang w:val="en-US" w:eastAsia="zh-CN"/>
                      <w14:textFill>
                        <w14:solidFill>
                          <w14:schemeClr w14:val="tx1"/>
                        </w14:solidFill>
                      </w14:textFill>
                    </w:rPr>
                    <w:t>二级</w:t>
                  </w:r>
                  <w:r>
                    <w:rPr>
                      <w:color w:val="000000" w:themeColor="text1"/>
                      <w:sz w:val="21"/>
                      <w:szCs w:val="21"/>
                      <w14:textFill>
                        <w14:solidFill>
                          <w14:schemeClr w14:val="tx1"/>
                        </w14:solidFill>
                      </w14:textFill>
                    </w:rPr>
                    <w:t>活性炭吸附处理后排放</w:t>
                  </w:r>
                  <w:r>
                    <w:rPr>
                      <w:rFonts w:hint="eastAsia"/>
                      <w:color w:val="000000" w:themeColor="text1"/>
                      <w:sz w:val="21"/>
                      <w:szCs w:val="21"/>
                      <w:lang w:eastAsia="zh-CN"/>
                      <w14:textFill>
                        <w14:solidFill>
                          <w14:schemeClr w14:val="tx1"/>
                        </w14:solidFill>
                      </w14:textFill>
                    </w:rPr>
                    <w:t>。</w:t>
                  </w:r>
                </w:p>
              </w:tc>
              <w:tc>
                <w:tcPr>
                  <w:tcW w:w="444" w:type="pct"/>
                  <w:tcBorders>
                    <w:tl2br w:val="nil"/>
                    <w:tr2bl w:val="nil"/>
                  </w:tcBorders>
                  <w:vAlign w:val="center"/>
                </w:tcPr>
                <w:p w14:paraId="35042820">
                  <w:pPr>
                    <w:adjustRightInd/>
                    <w:snapToGrid/>
                    <w:spacing w:line="240" w:lineRule="auto"/>
                    <w:ind w:firstLine="0" w:firstLineChars="0"/>
                    <w:jc w:val="center"/>
                    <w:rPr>
                      <w:rFonts w:hint="eastAsia"/>
                      <w:color w:val="000000" w:themeColor="text1"/>
                      <w:sz w:val="21"/>
                      <w14:textFill>
                        <w14:solidFill>
                          <w14:schemeClr w14:val="tx1"/>
                        </w14:solidFill>
                      </w14:textFill>
                    </w:rPr>
                  </w:pPr>
                </w:p>
              </w:tc>
            </w:tr>
            <w:tr w14:paraId="4E99BEA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2" w:type="pct"/>
                  <w:tcBorders>
                    <w:tl2br w:val="nil"/>
                    <w:tr2bl w:val="nil"/>
                  </w:tcBorders>
                  <w:vAlign w:val="center"/>
                </w:tcPr>
                <w:p w14:paraId="27007F9D">
                  <w:pPr>
                    <w:adjustRightInd/>
                    <w:snapToGrid/>
                    <w:spacing w:line="240" w:lineRule="auto"/>
                    <w:ind w:firstLine="0" w:firstLineChars="0"/>
                    <w:jc w:val="center"/>
                    <w:rPr>
                      <w:rFonts w:hint="eastAsia"/>
                      <w:color w:val="000000" w:themeColor="text1"/>
                      <w:sz w:val="21"/>
                      <w14:textFill>
                        <w14:solidFill>
                          <w14:schemeClr w14:val="tx1"/>
                        </w14:solidFill>
                      </w14:textFill>
                    </w:rPr>
                  </w:pPr>
                </w:p>
              </w:tc>
              <w:tc>
                <w:tcPr>
                  <w:tcW w:w="453" w:type="pct"/>
                  <w:tcBorders>
                    <w:tl2br w:val="nil"/>
                    <w:tr2bl w:val="nil"/>
                  </w:tcBorders>
                  <w:shd w:val="clear" w:color="auto" w:fill="auto"/>
                  <w:vAlign w:val="center"/>
                </w:tcPr>
                <w:p w14:paraId="15E9ECF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Style w:val="39"/>
                      <w:rFonts w:ascii="宋体" w:hAnsi="宋体" w:cs="宋体"/>
                      <w:b w:val="0"/>
                      <w:bCs w:val="0"/>
                      <w:color w:val="000000" w:themeColor="text1"/>
                      <w:sz w:val="21"/>
                      <w:szCs w:val="21"/>
                      <w14:textFill>
                        <w14:solidFill>
                          <w14:schemeClr w14:val="tx1"/>
                        </w14:solidFill>
                      </w14:textFill>
                    </w:rPr>
                    <w:t>运行与监测</w:t>
                  </w:r>
                </w:p>
              </w:tc>
              <w:tc>
                <w:tcPr>
                  <w:tcW w:w="2292" w:type="pct"/>
                  <w:tcBorders>
                    <w:tl2br w:val="nil"/>
                    <w:tr2bl w:val="nil"/>
                  </w:tcBorders>
                  <w:shd w:val="clear" w:color="auto" w:fill="auto"/>
                  <w:vAlign w:val="center"/>
                </w:tcPr>
                <w:p w14:paraId="41B42D86">
                  <w:pPr>
                    <w:pStyle w:val="31"/>
                    <w:keepNext w:val="0"/>
                    <w:keepLines w:val="0"/>
                    <w:pageBreakBefore w:val="0"/>
                    <w:numPr>
                      <w:ilvl w:val="0"/>
                      <w:numId w:val="18"/>
                    </w:numPr>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鼓励企业自行开展VOCs监测，并及时主动向当地环保行政主管部门报送监测结果。</w:t>
                  </w:r>
                </w:p>
                <w:p w14:paraId="4A250DCF">
                  <w:pPr>
                    <w:pStyle w:val="31"/>
                    <w:keepNext w:val="0"/>
                    <w:keepLines w:val="0"/>
                    <w:pageBreakBefore w:val="0"/>
                    <w:numPr>
                      <w:ilvl w:val="0"/>
                      <w:numId w:val="18"/>
                    </w:numPr>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企业应建立健全VOCs治理设施的运行维护规程和台帐等日常管理制度，并根据工艺要求定期对各类设备、电气、自控仪表等进行检修维护，确保设施的稳定运行。</w:t>
                  </w:r>
                </w:p>
                <w:p w14:paraId="75A6871A">
                  <w:pPr>
                    <w:pStyle w:val="31"/>
                    <w:keepNext w:val="0"/>
                    <w:keepLines w:val="0"/>
                    <w:pageBreakBefore w:val="0"/>
                    <w:numPr>
                      <w:ilvl w:val="0"/>
                      <w:numId w:val="18"/>
                    </w:numPr>
                    <w:kinsoku/>
                    <w:wordWrap/>
                    <w:overflowPunct/>
                    <w:topLinePunct w:val="0"/>
                    <w:autoSpaceDE/>
                    <w:autoSpaceDN/>
                    <w:bidi w:val="0"/>
                    <w:adjustRightInd w:val="0"/>
                    <w:snapToGrid w:val="0"/>
                    <w:spacing w:line="240" w:lineRule="auto"/>
                    <w:ind w:firstLine="0" w:firstLineChars="0"/>
                    <w:textAlignment w:val="auto"/>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当采用吸附回收（浓缩）、催化燃烧、热力焚烧、等离子体等方法进行末端治理时，应编制本单位事故火灾、爆炸等应急救援预案，配备应急救援人员和器材，并开展应急演练</w:t>
                  </w:r>
                  <w:r>
                    <w:rPr>
                      <w:rFonts w:hint="eastAsia"/>
                      <w:color w:val="000000" w:themeColor="text1"/>
                      <w:sz w:val="21"/>
                      <w:szCs w:val="21"/>
                      <w14:textFill>
                        <w14:solidFill>
                          <w14:schemeClr w14:val="tx1"/>
                        </w14:solidFill>
                      </w14:textFill>
                    </w:rPr>
                    <w:t>。</w:t>
                  </w:r>
                </w:p>
              </w:tc>
              <w:tc>
                <w:tcPr>
                  <w:tcW w:w="1507" w:type="pct"/>
                  <w:tcBorders>
                    <w:tl2br w:val="nil"/>
                    <w:tr2bl w:val="nil"/>
                  </w:tcBorders>
                  <w:vAlign w:val="center"/>
                </w:tcPr>
                <w:p w14:paraId="6294A816">
                  <w:pPr>
                    <w:adjustRightInd/>
                    <w:snapToGrid/>
                    <w:spacing w:line="240" w:lineRule="auto"/>
                    <w:ind w:firstLine="0" w:firstLineChars="0"/>
                    <w:jc w:val="both"/>
                    <w:rPr>
                      <w:rFonts w:hint="eastAsia" w:eastAsia="宋体"/>
                      <w:color w:val="000000" w:themeColor="text1"/>
                      <w:sz w:val="21"/>
                      <w:szCs w:val="21"/>
                      <w:lang w:eastAsia="zh-CN"/>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t>1、本评价建议企业建立监测制度，并对污染物排放状况开展自行监测。</w:t>
                  </w:r>
                </w:p>
                <w:p w14:paraId="1C509F51">
                  <w:pPr>
                    <w:adjustRightInd/>
                    <w:snapToGrid/>
                    <w:spacing w:line="240" w:lineRule="auto"/>
                    <w:ind w:firstLine="0" w:firstLineChars="0"/>
                    <w:jc w:val="both"/>
                    <w:rPr>
                      <w:rFonts w:hint="eastAsia" w:eastAsia="宋体"/>
                      <w:color w:val="000000" w:themeColor="text1"/>
                      <w:sz w:val="21"/>
                      <w:szCs w:val="21"/>
                      <w:lang w:eastAsia="zh-CN"/>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t>2、本评价要求企业建立健全VOCs治理设施的运行维护规程和台帐等日常管理制度，并根据工艺要求定期对各类设备、电气、自控仪表等进行检修维护，确保设施的稳定运行。</w:t>
                  </w:r>
                </w:p>
                <w:p w14:paraId="30D1F08B">
                  <w:pPr>
                    <w:adjustRightInd/>
                    <w:snapToGrid/>
                    <w:spacing w:line="240" w:lineRule="auto"/>
                    <w:ind w:firstLine="0" w:firstLineChars="0"/>
                    <w:jc w:val="both"/>
                    <w:rPr>
                      <w:rFonts w:hint="eastAsia"/>
                      <w:color w:val="000000" w:themeColor="text1"/>
                      <w:sz w:val="21"/>
                      <w14:textFill>
                        <w14:solidFill>
                          <w14:schemeClr w14:val="tx1"/>
                        </w14:solidFill>
                      </w14:textFill>
                    </w:rPr>
                  </w:pPr>
                  <w:r>
                    <w:rPr>
                      <w:rFonts w:hint="eastAsia" w:eastAsia="宋体"/>
                      <w:color w:val="000000" w:themeColor="text1"/>
                      <w:sz w:val="21"/>
                      <w:szCs w:val="21"/>
                      <w:lang w:eastAsia="zh-CN"/>
                      <w14:textFill>
                        <w14:solidFill>
                          <w14:schemeClr w14:val="tx1"/>
                        </w14:solidFill>
                      </w14:textFill>
                    </w:rPr>
                    <w:t>3、本评价建议单位编制事故火灾、爆炸等应急救援预案，配备应急救援人员和器材，并开展应急演练。</w:t>
                  </w:r>
                </w:p>
              </w:tc>
              <w:tc>
                <w:tcPr>
                  <w:tcW w:w="444" w:type="pct"/>
                  <w:tcBorders>
                    <w:tl2br w:val="nil"/>
                    <w:tr2bl w:val="nil"/>
                  </w:tcBorders>
                  <w:vAlign w:val="center"/>
                </w:tcPr>
                <w:p w14:paraId="6CE33F05">
                  <w:pPr>
                    <w:adjustRightInd/>
                    <w:snapToGrid/>
                    <w:spacing w:line="240" w:lineRule="auto"/>
                    <w:ind w:firstLine="0" w:firstLineChars="0"/>
                    <w:jc w:val="center"/>
                    <w:rPr>
                      <w:rFonts w:hint="eastAsia"/>
                      <w:color w:val="000000" w:themeColor="text1"/>
                      <w:sz w:val="21"/>
                      <w14:textFill>
                        <w14:solidFill>
                          <w14:schemeClr w14:val="tx1"/>
                        </w14:solidFill>
                      </w14:textFill>
                    </w:rPr>
                  </w:pPr>
                </w:p>
              </w:tc>
            </w:tr>
            <w:tr w14:paraId="2453E0CB">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5000" w:type="pct"/>
                  <w:gridSpan w:val="5"/>
                  <w:tcBorders>
                    <w:tl2br w:val="nil"/>
                    <w:tr2bl w:val="nil"/>
                  </w:tcBorders>
                  <w:vAlign w:val="center"/>
                </w:tcPr>
                <w:p w14:paraId="37FDF2AE">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《江西省重点行业挥发性有机物综合治理方案的通知》（赣环大气</w:t>
                  </w:r>
                  <w:r>
                    <w:rPr>
                      <w:b/>
                      <w:bCs/>
                      <w:color w:val="000000" w:themeColor="text1"/>
                      <w:sz w:val="21"/>
                      <w14:textFill>
                        <w14:solidFill>
                          <w14:schemeClr w14:val="tx1"/>
                        </w14:solidFill>
                      </w14:textFill>
                    </w:rPr>
                    <w:t>[2019]20</w:t>
                  </w:r>
                  <w:r>
                    <w:rPr>
                      <w:rFonts w:hint="eastAsia"/>
                      <w:b/>
                      <w:bCs/>
                      <w:color w:val="000000" w:themeColor="text1"/>
                      <w:sz w:val="21"/>
                      <w14:textFill>
                        <w14:solidFill>
                          <w14:schemeClr w14:val="tx1"/>
                        </w14:solidFill>
                      </w14:textFill>
                    </w:rPr>
                    <w:t>号）</w:t>
                  </w:r>
                </w:p>
              </w:tc>
            </w:tr>
            <w:tr w14:paraId="021A796F">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40E38E95">
                  <w:pPr>
                    <w:adjustRightInd/>
                    <w:snapToGrid/>
                    <w:spacing w:line="240" w:lineRule="auto"/>
                    <w:ind w:firstLine="0" w:firstLineChars="0"/>
                    <w:jc w:val="both"/>
                    <w:rPr>
                      <w:rFonts w:hint="eastAsia" w:eastAsia="宋体"/>
                      <w:color w:val="000000" w:themeColor="text1"/>
                      <w:sz w:val="21"/>
                      <w:lang w:eastAsia="zh-CN"/>
                      <w14:textFill>
                        <w14:solidFill>
                          <w14:schemeClr w14:val="tx1"/>
                        </w14:solidFill>
                      </w14:textFill>
                    </w:rPr>
                  </w:pPr>
                  <w:r>
                    <w:rPr>
                      <w:rFonts w:hint="eastAsia"/>
                      <w:color w:val="000000" w:themeColor="text1"/>
                      <w:sz w:val="21"/>
                      <w14:textFill>
                        <w14:solidFill>
                          <w14:schemeClr w14:val="tx1"/>
                        </w14:solidFill>
                      </w14:textFill>
                    </w:rPr>
                    <w:t>重点对含</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物料（包括含</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原辅料、含</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产品、含</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废料以及有机聚合物材料等）储存、转移和输送、设备与管线组件泄漏实施管控，通过采取设备与场所密闭、工艺改进、废气有效收集等措施</w:t>
                  </w:r>
                  <w:r>
                    <w:rPr>
                      <w:rFonts w:hint="eastAsia"/>
                      <w:color w:val="000000" w:themeColor="text1"/>
                      <w:sz w:val="21"/>
                      <w:lang w:eastAsia="zh-CN"/>
                      <w14:textFill>
                        <w14:solidFill>
                          <w14:schemeClr w14:val="tx1"/>
                        </w14:solidFill>
                      </w14:textFill>
                    </w:rPr>
                    <w:t>。</w:t>
                  </w:r>
                </w:p>
              </w:tc>
              <w:tc>
                <w:tcPr>
                  <w:tcW w:w="1507" w:type="pct"/>
                  <w:vMerge w:val="restart"/>
                  <w:tcBorders>
                    <w:tl2br w:val="nil"/>
                    <w:tr2bl w:val="nil"/>
                  </w:tcBorders>
                  <w:vAlign w:val="center"/>
                </w:tcPr>
                <w:p w14:paraId="74E1C4DD">
                  <w:pPr>
                    <w:adjustRightInd/>
                    <w:snapToGrid/>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w:t>
                  </w:r>
                  <w:r>
                    <w:rPr>
                      <w:rFonts w:hint="eastAsia"/>
                      <w:color w:val="000000" w:themeColor="text1"/>
                      <w:sz w:val="21"/>
                      <w:lang w:val="en-US" w:eastAsia="zh-CN"/>
                      <w14:textFill>
                        <w14:solidFill>
                          <w14:schemeClr w14:val="tx1"/>
                        </w14:solidFill>
                      </w14:textFill>
                    </w:rPr>
                    <w:t>喷漆房、调漆房等密闭设置，</w:t>
                  </w:r>
                  <w:r>
                    <w:rPr>
                      <w:rFonts w:hint="eastAsia"/>
                      <w:color w:val="000000" w:themeColor="text1"/>
                      <w:sz w:val="21"/>
                      <w14:textFill>
                        <w14:solidFill>
                          <w14:schemeClr w14:val="tx1"/>
                        </w14:solidFill>
                      </w14:textFill>
                    </w:rPr>
                    <w:t>遵循“应收尽收、分质收集”的原则</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提高废气收集率</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对收集的有机废气采取活性炭吸附措施</w:t>
                  </w:r>
                  <w:r>
                    <w:rPr>
                      <w:rFonts w:hint="eastAsia"/>
                      <w:color w:val="000000" w:themeColor="text1"/>
                      <w:sz w:val="21"/>
                      <w14:textFill>
                        <w14:solidFill>
                          <w14:schemeClr w14:val="tx1"/>
                        </w14:solidFill>
                      </w14:textFill>
                    </w:rPr>
                    <w:t>。</w:t>
                  </w:r>
                </w:p>
              </w:tc>
              <w:tc>
                <w:tcPr>
                  <w:tcW w:w="444" w:type="pct"/>
                  <w:vMerge w:val="restart"/>
                  <w:tcBorders>
                    <w:tl2br w:val="nil"/>
                    <w:tr2bl w:val="nil"/>
                  </w:tcBorders>
                  <w:vAlign w:val="center"/>
                </w:tcPr>
                <w:p w14:paraId="144A5137">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符合</w:t>
                  </w:r>
                </w:p>
              </w:tc>
            </w:tr>
            <w:tr w14:paraId="4A9DD45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4CB1519E">
                  <w:pPr>
                    <w:adjustRightInd/>
                    <w:snapToGrid/>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推荐企业新建治污设施或现有治污设施改造，对生产过程中通过排气筒所排放的有组织VOCS废气，应根据生产废气的产生量、污染物的成分和性质、温度、压力等因素进行综合分析后选择适宜的工艺路线进行治理。</w:t>
                  </w:r>
                </w:p>
              </w:tc>
              <w:tc>
                <w:tcPr>
                  <w:tcW w:w="1507" w:type="pct"/>
                  <w:vMerge w:val="continue"/>
                  <w:tcBorders>
                    <w:tl2br w:val="nil"/>
                    <w:tr2bl w:val="nil"/>
                  </w:tcBorders>
                  <w:vAlign w:val="center"/>
                </w:tcPr>
                <w:p w14:paraId="49950061">
                  <w:pPr>
                    <w:adjustRightInd/>
                    <w:snapToGrid/>
                    <w:spacing w:line="240" w:lineRule="auto"/>
                    <w:ind w:firstLine="0" w:firstLineChars="0"/>
                    <w:jc w:val="center"/>
                    <w:rPr>
                      <w:color w:val="000000" w:themeColor="text1"/>
                      <w:sz w:val="21"/>
                      <w14:textFill>
                        <w14:solidFill>
                          <w14:schemeClr w14:val="tx1"/>
                        </w14:solidFill>
                      </w14:textFill>
                    </w:rPr>
                  </w:pPr>
                </w:p>
              </w:tc>
              <w:tc>
                <w:tcPr>
                  <w:tcW w:w="444" w:type="pct"/>
                  <w:vMerge w:val="continue"/>
                  <w:tcBorders>
                    <w:tl2br w:val="nil"/>
                    <w:tr2bl w:val="nil"/>
                  </w:tcBorders>
                  <w:vAlign w:val="center"/>
                </w:tcPr>
                <w:p w14:paraId="743C5BE2">
                  <w:pPr>
                    <w:adjustRightInd/>
                    <w:snapToGrid/>
                    <w:spacing w:line="240" w:lineRule="auto"/>
                    <w:ind w:firstLine="0" w:firstLineChars="0"/>
                    <w:jc w:val="center"/>
                    <w:rPr>
                      <w:color w:val="000000" w:themeColor="text1"/>
                      <w:sz w:val="21"/>
                      <w14:textFill>
                        <w14:solidFill>
                          <w14:schemeClr w14:val="tx1"/>
                        </w14:solidFill>
                      </w14:textFill>
                    </w:rPr>
                  </w:pPr>
                </w:p>
              </w:tc>
            </w:tr>
            <w:tr w14:paraId="72FD41A5">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5000" w:type="pct"/>
                  <w:gridSpan w:val="5"/>
                  <w:tcBorders>
                    <w:tl2br w:val="nil"/>
                    <w:tr2bl w:val="nil"/>
                  </w:tcBorders>
                  <w:vAlign w:val="center"/>
                </w:tcPr>
                <w:p w14:paraId="2CE547B9">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《2020年挥发性有机物治理攻坚方案》</w:t>
                  </w:r>
                </w:p>
              </w:tc>
            </w:tr>
            <w:tr w14:paraId="1D5282AB">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78CC550B">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大力推进源头替代，有效减少</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产生</w:t>
                  </w:r>
                </w:p>
              </w:tc>
              <w:tc>
                <w:tcPr>
                  <w:tcW w:w="2292" w:type="pct"/>
                  <w:tcBorders>
                    <w:tl2br w:val="nil"/>
                    <w:tr2bl w:val="nil"/>
                  </w:tcBorders>
                  <w:vAlign w:val="center"/>
                </w:tcPr>
                <w:p w14:paraId="51E77BCF">
                  <w:pPr>
                    <w:adjustRightInd/>
                    <w:snapToGrid/>
                    <w:spacing w:line="240" w:lineRule="auto"/>
                    <w:ind w:firstLine="0" w:firstLineChars="0"/>
                    <w:jc w:val="both"/>
                    <w:rPr>
                      <w:color w:val="000000" w:themeColor="text1"/>
                      <w:sz w:val="21"/>
                      <w:lang w:val="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推进政府绿色采购，要求家具、印刷等政府定点招标采购企业优先使用低挥发性原辅材料，鼓励汽车维修等政府定点招标采购企业使用低挥发性原辅材料；将低VOCs含量产品纳入政府采购名录，并在政府投资项目中优先使用；引导将使用低VOCs含量涂料、胶粘剂等纳入政府采购装修合同环保条款</w:t>
                  </w:r>
                  <w:r>
                    <w:rPr>
                      <w:rFonts w:hint="eastAsia"/>
                      <w:color w:val="000000" w:themeColor="text1"/>
                      <w:sz w:val="21"/>
                      <w14:textFill>
                        <w14:solidFill>
                          <w14:schemeClr w14:val="tx1"/>
                        </w14:solidFill>
                      </w14:textFill>
                    </w:rPr>
                    <w:t>。</w:t>
                  </w:r>
                </w:p>
              </w:tc>
              <w:tc>
                <w:tcPr>
                  <w:tcW w:w="1507" w:type="pct"/>
                  <w:tcBorders>
                    <w:tl2br w:val="nil"/>
                    <w:tr2bl w:val="nil"/>
                  </w:tcBorders>
                  <w:vAlign w:val="center"/>
                </w:tcPr>
                <w:p w14:paraId="388594EF">
                  <w:pPr>
                    <w:adjustRightInd/>
                    <w:snapToGrid/>
                    <w:spacing w:line="240" w:lineRule="auto"/>
                    <w:ind w:firstLine="0" w:firstLineChars="0"/>
                    <w:jc w:val="both"/>
                    <w:rPr>
                      <w:rFonts w:hint="eastAsia" w:eastAsia="宋体"/>
                      <w:color w:val="000000" w:themeColor="text1"/>
                      <w:sz w:val="21"/>
                      <w:lang w:val="en-US" w:eastAsia="zh-CN"/>
                      <w14:textFill>
                        <w14:solidFill>
                          <w14:schemeClr w14:val="tx1"/>
                        </w14:solidFill>
                      </w14:textFill>
                    </w:rPr>
                  </w:pPr>
                  <w:r>
                    <w:rPr>
                      <w:rFonts w:hint="eastAsia"/>
                      <w:color w:val="000000" w:themeColor="text1"/>
                      <w:sz w:val="21"/>
                      <w14:textFill>
                        <w14:solidFill>
                          <w14:schemeClr w14:val="tx1"/>
                        </w14:solidFill>
                      </w14:textFill>
                    </w:rPr>
                    <w:t>项目建立原辅料、产品购买、销售的记录，记录包含物料名称、物料进出量、单位、作业时间及记录人等，统计年报包含物料年用量、储存量、存放方式等，废气处理设施运行台账至少保存5年。</w:t>
                  </w:r>
                  <w:r>
                    <w:rPr>
                      <w:color w:val="000000" w:themeColor="text1"/>
                      <w:sz w:val="21"/>
                      <w14:textFill>
                        <w14:solidFill>
                          <w14:schemeClr w14:val="tx1"/>
                        </w14:solidFill>
                      </w14:textFill>
                    </w:rPr>
                    <w:t>项目使用的含挥发性有机物物料主要为</w:t>
                  </w:r>
                  <w:r>
                    <w:rPr>
                      <w:rFonts w:hint="eastAsia"/>
                      <w:color w:val="000000" w:themeColor="text1"/>
                      <w:sz w:val="21"/>
                      <w14:textFill>
                        <w14:solidFill>
                          <w14:schemeClr w14:val="tx1"/>
                        </w14:solidFill>
                      </w14:textFill>
                    </w:rPr>
                    <w:t>水性漆、油性漆、稀释剂等</w:t>
                  </w:r>
                  <w:r>
                    <w:rPr>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满足</w:t>
                  </w:r>
                  <w:r>
                    <w:rPr>
                      <w:color w:val="000000" w:themeColor="text1"/>
                      <w:sz w:val="21"/>
                      <w14:textFill>
                        <w14:solidFill>
                          <w14:schemeClr w14:val="tx1"/>
                        </w14:solidFill>
                      </w14:textFill>
                    </w:rPr>
                    <w:t>国家和地方产品VOCs含量限制标准</w:t>
                  </w:r>
                  <w:r>
                    <w:rPr>
                      <w:rFonts w:hint="eastAsia"/>
                      <w:color w:val="000000" w:themeColor="text1"/>
                      <w:sz w:val="21"/>
                      <w:lang w:eastAsia="zh-CN"/>
                      <w14:textFill>
                        <w14:solidFill>
                          <w14:schemeClr w14:val="tx1"/>
                        </w14:solidFill>
                      </w14:textFill>
                    </w:rPr>
                    <w:t>。</w:t>
                  </w:r>
                </w:p>
              </w:tc>
              <w:tc>
                <w:tcPr>
                  <w:tcW w:w="444" w:type="pct"/>
                  <w:tcBorders>
                    <w:tl2br w:val="nil"/>
                    <w:tr2bl w:val="nil"/>
                  </w:tcBorders>
                  <w:vAlign w:val="center"/>
                </w:tcPr>
                <w:p w14:paraId="77AF5B67">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符合</w:t>
                  </w:r>
                </w:p>
              </w:tc>
            </w:tr>
            <w:tr w14:paraId="54B622A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90" w:hRule="atLeast"/>
                <w:jc w:val="center"/>
              </w:trPr>
              <w:tc>
                <w:tcPr>
                  <w:tcW w:w="755" w:type="pct"/>
                  <w:gridSpan w:val="2"/>
                  <w:tcBorders>
                    <w:tl2br w:val="nil"/>
                    <w:tr2bl w:val="nil"/>
                  </w:tcBorders>
                  <w:vAlign w:val="center"/>
                </w:tcPr>
                <w:p w14:paraId="016BA487">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全面落实标准要求，强化无组织排放控制</w:t>
                  </w:r>
                </w:p>
              </w:tc>
              <w:tc>
                <w:tcPr>
                  <w:tcW w:w="2292" w:type="pct"/>
                  <w:tcBorders>
                    <w:tl2br w:val="nil"/>
                    <w:tr2bl w:val="nil"/>
                  </w:tcBorders>
                  <w:vAlign w:val="center"/>
                </w:tcPr>
                <w:p w14:paraId="199390AF">
                  <w:pPr>
                    <w:adjustRightInd/>
                    <w:snapToGrid/>
                    <w:spacing w:line="240" w:lineRule="auto"/>
                    <w:ind w:firstLine="0" w:firstLineChars="0"/>
                    <w:jc w:val="both"/>
                    <w:rPr>
                      <w:rFonts w:hint="eastAsia" w:eastAsia="宋体"/>
                      <w:color w:val="000000" w:themeColor="text1"/>
                      <w:sz w:val="21"/>
                      <w:lang w:val="zh-CN"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企业在无组织排放排查整治过程中，在保证安全的前提下，加强含VOCs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7月15日前集中清运一次，交有资质的单位处置；处置单位在贮存、清洗、破碎等环节应按要求对VOCs无组织排放废气进行收集、处理。高VOCs含量废水的集输、储存和处理环节，应加盖密闭。企业中载有气态、液态VOCs物料的设备与管线组件密封点大于等于2000个的，应全面梳理建立台账，6-9月完成一轮泄漏检测与修复（LDAR）工作，及时修复泄漏源；石油炼制、石油化工、合成树脂企业严格按照排放标准要求开展LDAR工作，加强备用泵、在用泵、调节阀、搅拌器、开口管线等检测工作，强化质量控制；要将VOCs治理设施和储罐的密封点纳入检测计划中。</w:t>
                  </w:r>
                </w:p>
              </w:tc>
              <w:tc>
                <w:tcPr>
                  <w:tcW w:w="1507" w:type="pct"/>
                  <w:tcBorders>
                    <w:tl2br w:val="nil"/>
                    <w:tr2bl w:val="nil"/>
                  </w:tcBorders>
                  <w:vAlign w:val="center"/>
                </w:tcPr>
                <w:p w14:paraId="4D22418C">
                  <w:pPr>
                    <w:adjustRightInd/>
                    <w:snapToGrid/>
                    <w:spacing w:line="240" w:lineRule="auto"/>
                    <w:ind w:firstLine="0" w:firstLineChars="0"/>
                    <w:jc w:val="both"/>
                    <w:rPr>
                      <w:rFonts w:hint="default" w:eastAsia="宋体"/>
                      <w:color w:val="000000" w:themeColor="text1"/>
                      <w:sz w:val="21"/>
                      <w:lang w:val="en-US" w:eastAsia="zh-CN"/>
                      <w14:textFill>
                        <w14:solidFill>
                          <w14:schemeClr w14:val="tx1"/>
                        </w14:solidFill>
                      </w14:textFill>
                    </w:rPr>
                  </w:pPr>
                  <w:r>
                    <w:rPr>
                      <w:rFonts w:hint="eastAsia"/>
                      <w:color w:val="000000" w:themeColor="text1"/>
                      <w:sz w:val="21"/>
                      <w14:textFill>
                        <w14:solidFill>
                          <w14:schemeClr w14:val="tx1"/>
                        </w14:solidFill>
                      </w14:textFill>
                    </w:rPr>
                    <w:t>项目</w:t>
                  </w:r>
                  <w:r>
                    <w:rPr>
                      <w:rFonts w:hint="eastAsia"/>
                      <w:color w:val="000000" w:themeColor="text1"/>
                      <w:sz w:val="21"/>
                      <w:lang w:val="en-US" w:eastAsia="zh-CN"/>
                      <w14:textFill>
                        <w14:solidFill>
                          <w14:schemeClr w14:val="tx1"/>
                        </w14:solidFill>
                      </w14:textFill>
                    </w:rPr>
                    <w:t>喷漆房、调漆房等密闭设置，</w:t>
                  </w:r>
                  <w:r>
                    <w:rPr>
                      <w:rFonts w:hint="eastAsia"/>
                      <w:color w:val="000000" w:themeColor="text1"/>
                      <w:sz w:val="21"/>
                      <w14:textFill>
                        <w14:solidFill>
                          <w14:schemeClr w14:val="tx1"/>
                        </w14:solidFill>
                      </w14:textFill>
                    </w:rPr>
                    <w:t>遵循“应收尽收、分质收集”的原则</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提高废气收集率</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对收集的有机废气采取活性炭吸附措施</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废活性炭定期更换并交由有资质单位处置。</w:t>
                  </w:r>
                </w:p>
              </w:tc>
              <w:tc>
                <w:tcPr>
                  <w:tcW w:w="444" w:type="pct"/>
                  <w:tcBorders>
                    <w:tl2br w:val="nil"/>
                    <w:tr2bl w:val="nil"/>
                  </w:tcBorders>
                  <w:vAlign w:val="center"/>
                </w:tcPr>
                <w:p w14:paraId="36397123">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符合</w:t>
                  </w:r>
                </w:p>
              </w:tc>
            </w:tr>
            <w:tr w14:paraId="1A80D01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6A5B6F4D">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聚焦治污设施</w:t>
                  </w:r>
                  <w:r>
                    <w:rPr>
                      <w:color w:val="000000" w:themeColor="text1"/>
                      <w:sz w:val="21"/>
                      <w14:textFill>
                        <w14:solidFill>
                          <w14:schemeClr w14:val="tx1"/>
                        </w14:solidFill>
                      </w14:textFill>
                    </w:rPr>
                    <w:t>“</w:t>
                  </w:r>
                  <w:r>
                    <w:rPr>
                      <w:rFonts w:hint="eastAsia"/>
                      <w:color w:val="000000" w:themeColor="text1"/>
                      <w:sz w:val="21"/>
                      <w14:textFill>
                        <w14:solidFill>
                          <w14:schemeClr w14:val="tx1"/>
                        </w14:solidFill>
                      </w14:textFill>
                    </w:rPr>
                    <w:t>三率</w:t>
                  </w:r>
                  <w:r>
                    <w:rPr>
                      <w:color w:val="000000" w:themeColor="text1"/>
                      <w:sz w:val="21"/>
                      <w14:textFill>
                        <w14:solidFill>
                          <w14:schemeClr w14:val="tx1"/>
                        </w14:solidFill>
                      </w14:textFill>
                    </w:rPr>
                    <w:t>”</w:t>
                  </w:r>
                  <w:r>
                    <w:rPr>
                      <w:rFonts w:hint="eastAsia"/>
                      <w:color w:val="000000" w:themeColor="text1"/>
                      <w:sz w:val="21"/>
                      <w14:textFill>
                        <w14:solidFill>
                          <w14:schemeClr w14:val="tx1"/>
                        </w14:solidFill>
                      </w14:textFill>
                    </w:rPr>
                    <w:t>，提升综合治理效率</w:t>
                  </w:r>
                </w:p>
              </w:tc>
              <w:tc>
                <w:tcPr>
                  <w:tcW w:w="2292" w:type="pct"/>
                  <w:tcBorders>
                    <w:tl2br w:val="nil"/>
                    <w:tr2bl w:val="nil"/>
                  </w:tcBorders>
                  <w:vAlign w:val="center"/>
                </w:tcPr>
                <w:p w14:paraId="50C9BDA1">
                  <w:pPr>
                    <w:adjustRightInd/>
                    <w:snapToGrid/>
                    <w:spacing w:line="240" w:lineRule="auto"/>
                    <w:ind w:firstLine="0" w:firstLineChars="0"/>
                    <w:jc w:val="both"/>
                    <w:rPr>
                      <w:color w:val="000000" w:themeColor="text1"/>
                      <w:sz w:val="21"/>
                      <w:lang w:val="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组织企业对现有VOCs废气收集率、治理设施同步运行率和去除率开展自查，重点关注单一采用光氧化、光催化、低温等离子、一次性活性炭吸附、喷淋吸收等工艺的治理设施，7月15日前完成。对达不到要求的VOCs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物综合排放标准和挥发性有机物无组织排放控制标准；已制定更严格地方排放标准的，按地方标准执行。按照“应收尽收”的原则提升废气收集率。推动取消废气排放系统旁路，因安全生产等原因必须保留的，应将保留旁路清单报当地生态环境部门，旁路在非紧急情况下保持关闭，并通过铅封、安装自动监控设施、流量计等方式加强监管，开启后应及时向当地生态环境部门报告，做好台账记录。将无组织排放转变为有组织排放进行控制，优先采用密闭设备、在密闭空间中操作或采用全密闭集气罩收集方式；对于采用局部集气罩的，应根据废气排放特点合理选择收集点位，距集气罩开口面最远处的VOCs无组织排放位置，控制风速不低于0.3米/秒，达不到要求的通过更换大功率风机、增设烟道风机、增加垂帘等方式及时改造；加强生产车间密闭管理，在符合安全生产、职业卫生相关规定前提下，采用自动卷帘门、密闭性好的塑钢门窗等，在非必要时保持关闭。按照与生产设备“同启同停”的原则提升治理设施运行率。根据处理工艺要求，在处理设施达到正常运行条件后方可启动生产设备，在生产设备停止、残留VOCs废气收集处理完毕后，方可停运处理设施。VOCs废气处理系统发生故障或检修时，对应生产工艺设备应停止运行，待检修完毕后同步投入使用；因安全等因素生产工艺设备不能停止或不能及时停止运行的，应设置废气应急处理设施或采取其他替代措施。按照“适宜高效”的原则提高治理设施去除率，不得稀释排放。企业新建治污设施或对现有治污设施实施改造，应依据排放废气特征、VOCs组分及浓度、生产工况等，合理选择治理技术，对治理难度大、单一治理工艺难以稳定达标的，要采用多种技术的组合工艺。采用活性炭吸附技术的，应选择碘值不低于800毫克/克的活性炭，并按设计要求足量添加、及时更换；各地要督促行政区域内采用一次性活性炭吸附技术的企业按期更换活性炭，对于长期未进行更换的，于7月底前全部更换一次，并将废旧活性炭交有资质的单位处理处置，记录更换时间和使用量</w:t>
                  </w:r>
                  <w:r>
                    <w:rPr>
                      <w:rFonts w:hint="eastAsia"/>
                      <w:color w:val="000000" w:themeColor="text1"/>
                      <w:sz w:val="21"/>
                      <w:szCs w:val="21"/>
                      <w14:textFill>
                        <w14:solidFill>
                          <w14:schemeClr w14:val="tx1"/>
                        </w14:solidFill>
                      </w14:textFill>
                    </w:rPr>
                    <w:t>。</w:t>
                  </w:r>
                </w:p>
              </w:tc>
              <w:tc>
                <w:tcPr>
                  <w:tcW w:w="1507" w:type="pct"/>
                  <w:tcBorders>
                    <w:tl2br w:val="nil"/>
                    <w:tr2bl w:val="nil"/>
                  </w:tcBorders>
                  <w:vAlign w:val="center"/>
                </w:tcPr>
                <w:p w14:paraId="667CAF77">
                  <w:pPr>
                    <w:adjustRightInd/>
                    <w:snapToGrid/>
                    <w:spacing w:line="240" w:lineRule="auto"/>
                    <w:ind w:firstLine="0" w:firstLineChars="0"/>
                    <w:jc w:val="both"/>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项目</w:t>
                  </w:r>
                  <w:r>
                    <w:rPr>
                      <w:rFonts w:hint="eastAsia"/>
                      <w:color w:val="000000" w:themeColor="text1"/>
                      <w:sz w:val="21"/>
                      <w:lang w:val="en-US" w:eastAsia="zh-CN"/>
                      <w14:textFill>
                        <w14:solidFill>
                          <w14:schemeClr w14:val="tx1"/>
                        </w14:solidFill>
                      </w14:textFill>
                    </w:rPr>
                    <w:t>喷漆房、调漆房等密闭设置，</w:t>
                  </w:r>
                  <w:r>
                    <w:rPr>
                      <w:rFonts w:hint="eastAsia"/>
                      <w:color w:val="000000" w:themeColor="text1"/>
                      <w:sz w:val="21"/>
                      <w14:textFill>
                        <w14:solidFill>
                          <w14:schemeClr w14:val="tx1"/>
                        </w14:solidFill>
                      </w14:textFill>
                    </w:rPr>
                    <w:t>遵循“应收尽收、分质收集”的原则</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提高废气收集率</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对收集的有机废气采取活性炭吸附措施，经处理后的废气满足相关废气排放标准要求</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废活性炭定期更换并交由有资质单位处置。</w:t>
                  </w:r>
                </w:p>
              </w:tc>
              <w:tc>
                <w:tcPr>
                  <w:tcW w:w="444" w:type="pct"/>
                  <w:tcBorders>
                    <w:tl2br w:val="nil"/>
                    <w:tr2bl w:val="nil"/>
                  </w:tcBorders>
                  <w:vAlign w:val="center"/>
                </w:tcPr>
                <w:p w14:paraId="58644A3C">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符合</w:t>
                  </w:r>
                </w:p>
              </w:tc>
            </w:tr>
            <w:tr w14:paraId="1814BC0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5000" w:type="pct"/>
                  <w:gridSpan w:val="5"/>
                  <w:tcBorders>
                    <w:tl2br w:val="nil"/>
                    <w:tr2bl w:val="nil"/>
                  </w:tcBorders>
                  <w:vAlign w:val="center"/>
                </w:tcPr>
                <w:p w14:paraId="5ABCCD16">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《挥发性有机物无组织排放控制标准》（</w:t>
                  </w:r>
                  <w:r>
                    <w:rPr>
                      <w:b/>
                      <w:bCs/>
                      <w:color w:val="000000" w:themeColor="text1"/>
                      <w:sz w:val="21"/>
                      <w14:textFill>
                        <w14:solidFill>
                          <w14:schemeClr w14:val="tx1"/>
                        </w14:solidFill>
                      </w14:textFill>
                    </w:rPr>
                    <w:t>GB37822-2019</w:t>
                  </w:r>
                  <w:r>
                    <w:rPr>
                      <w:rFonts w:hint="eastAsia"/>
                      <w:b/>
                      <w:bCs/>
                      <w:color w:val="000000" w:themeColor="text1"/>
                      <w:sz w:val="21"/>
                      <w14:textFill>
                        <w14:solidFill>
                          <w14:schemeClr w14:val="tx1"/>
                        </w14:solidFill>
                      </w14:textFill>
                    </w:rPr>
                    <w:t>）</w:t>
                  </w:r>
                </w:p>
              </w:tc>
            </w:tr>
            <w:tr w14:paraId="10EDC39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6E7F309C">
                  <w:pPr>
                    <w:adjustRightInd/>
                    <w:snapToGrid/>
                    <w:spacing w:line="240" w:lineRule="auto"/>
                    <w:ind w:firstLine="0" w:firstLineChars="0"/>
                    <w:jc w:val="center"/>
                    <w:rPr>
                      <w:color w:val="000000" w:themeColor="text1"/>
                      <w:sz w:val="21"/>
                      <w:lang w:val="zh-CN"/>
                      <w14:textFill>
                        <w14:solidFill>
                          <w14:schemeClr w14:val="tx1"/>
                        </w14:solidFill>
                      </w14:textFill>
                    </w:rPr>
                  </w:pP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物料储存无组织排放控制要求</w:t>
                  </w:r>
                </w:p>
              </w:tc>
              <w:tc>
                <w:tcPr>
                  <w:tcW w:w="2292" w:type="pct"/>
                  <w:tcBorders>
                    <w:tl2br w:val="nil"/>
                    <w:tr2bl w:val="nil"/>
                  </w:tcBorders>
                  <w:vAlign w:val="center"/>
                </w:tcPr>
                <w:p w14:paraId="2078D479">
                  <w:pPr>
                    <w:adjustRightInd/>
                    <w:snapToGrid/>
                    <w:spacing w:line="240" w:lineRule="auto"/>
                    <w:ind w:firstLine="0" w:firstLineChars="0"/>
                    <w:jc w:val="both"/>
                    <w:rPr>
                      <w:color w:val="000000" w:themeColor="text1"/>
                      <w:sz w:val="21"/>
                      <w:lang w:val="zh-CN"/>
                      <w14:textFill>
                        <w14:solidFill>
                          <w14:schemeClr w14:val="tx1"/>
                        </w14:solidFill>
                      </w14:textFill>
                    </w:rPr>
                  </w:pP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物料应储存于密闭的容器、包装袋、储罐、储库、料仓中，盛装</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物料的容器或包装袋应存放于室内，或存放于设置有雨棚、遮阳和防渗设施的专用场地。盛装</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物料的容器或包装袋在非取用状态时应加盖、封口，保持密闭；</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物料储罐应密封良好</w:t>
                  </w:r>
                </w:p>
              </w:tc>
              <w:tc>
                <w:tcPr>
                  <w:tcW w:w="1507" w:type="pct"/>
                  <w:tcBorders>
                    <w:tl2br w:val="nil"/>
                    <w:tr2bl w:val="nil"/>
                  </w:tcBorders>
                  <w:vAlign w:val="center"/>
                </w:tcPr>
                <w:p w14:paraId="567BECEA">
                  <w:pPr>
                    <w:adjustRightInd/>
                    <w:snapToGrid/>
                    <w:spacing w:line="240" w:lineRule="auto"/>
                    <w:ind w:firstLine="0" w:firstLineChars="0"/>
                    <w:jc w:val="both"/>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项目含有机废气的涂料均储存于密闭容器中，符合</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物料储存无组织排放控制要求。</w:t>
                  </w:r>
                </w:p>
              </w:tc>
              <w:tc>
                <w:tcPr>
                  <w:tcW w:w="444" w:type="pct"/>
                  <w:tcBorders>
                    <w:tl2br w:val="nil"/>
                    <w:tr2bl w:val="nil"/>
                  </w:tcBorders>
                  <w:vAlign w:val="center"/>
                </w:tcPr>
                <w:p w14:paraId="6B3CA75E">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符合</w:t>
                  </w:r>
                </w:p>
              </w:tc>
            </w:tr>
            <w:tr w14:paraId="6B3EBBE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0C75A791">
                  <w:pPr>
                    <w:adjustRightInd/>
                    <w:snapToGrid/>
                    <w:spacing w:line="240" w:lineRule="auto"/>
                    <w:ind w:firstLine="0" w:firstLineChars="0"/>
                    <w:jc w:val="center"/>
                    <w:rPr>
                      <w:color w:val="000000" w:themeColor="text1"/>
                      <w:sz w:val="21"/>
                      <w:lang w:val="zh-CN"/>
                      <w14:textFill>
                        <w14:solidFill>
                          <w14:schemeClr w14:val="tx1"/>
                        </w14:solidFill>
                      </w14:textFill>
                    </w:rPr>
                  </w:pP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物料转移和输送无组织排放控制要求</w:t>
                  </w:r>
                </w:p>
              </w:tc>
              <w:tc>
                <w:tcPr>
                  <w:tcW w:w="2292" w:type="pct"/>
                  <w:tcBorders>
                    <w:tl2br w:val="nil"/>
                    <w:tr2bl w:val="nil"/>
                  </w:tcBorders>
                  <w:vAlign w:val="center"/>
                </w:tcPr>
                <w:p w14:paraId="18AA1722">
                  <w:pPr>
                    <w:adjustRightInd/>
                    <w:snapToGrid/>
                    <w:spacing w:line="240" w:lineRule="auto"/>
                    <w:ind w:firstLine="0" w:firstLineChars="0"/>
                    <w:jc w:val="both"/>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液态</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物料应采用密闭管道输送。采用非管道输送方式转移液态</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物料时，应采用密闭容器、罐车</w:t>
                  </w:r>
                </w:p>
              </w:tc>
              <w:tc>
                <w:tcPr>
                  <w:tcW w:w="1507" w:type="pct"/>
                  <w:tcBorders>
                    <w:tl2br w:val="nil"/>
                    <w:tr2bl w:val="nil"/>
                  </w:tcBorders>
                  <w:vAlign w:val="center"/>
                </w:tcPr>
                <w:p w14:paraId="50462255">
                  <w:pPr>
                    <w:adjustRightInd/>
                    <w:snapToGrid/>
                    <w:spacing w:line="240" w:lineRule="auto"/>
                    <w:ind w:firstLine="0" w:firstLineChars="0"/>
                    <w:jc w:val="both"/>
                    <w:rPr>
                      <w:color w:val="000000" w:themeColor="text1"/>
                      <w:sz w:val="21"/>
                      <w:lang w:val="zh-CN"/>
                      <w14:textFill>
                        <w14:solidFill>
                          <w14:schemeClr w14:val="tx1"/>
                        </w14:solidFill>
                      </w14:textFill>
                    </w:rPr>
                  </w:pPr>
                  <w:r>
                    <w:rPr>
                      <w:color w:val="000000" w:themeColor="text1"/>
                      <w:sz w:val="21"/>
                      <w14:textFill>
                        <w14:solidFill>
                          <w14:schemeClr w14:val="tx1"/>
                        </w14:solidFill>
                      </w14:textFill>
                    </w:rPr>
                    <w:t>项目含</w:t>
                  </w:r>
                  <w:r>
                    <w:rPr>
                      <w:rFonts w:hint="eastAsia"/>
                      <w:color w:val="000000" w:themeColor="text1"/>
                      <w:sz w:val="21"/>
                      <w14:textFill>
                        <w14:solidFill>
                          <w14:schemeClr w14:val="tx1"/>
                        </w14:solidFill>
                      </w14:textFill>
                    </w:rPr>
                    <w:t>有机废气</w:t>
                  </w:r>
                  <w:r>
                    <w:rPr>
                      <w:color w:val="000000" w:themeColor="text1"/>
                      <w:sz w:val="21"/>
                      <w14:textFill>
                        <w14:solidFill>
                          <w14:schemeClr w14:val="tx1"/>
                        </w14:solidFill>
                      </w14:textFill>
                    </w:rPr>
                    <w:t>的</w:t>
                  </w:r>
                  <w:r>
                    <w:rPr>
                      <w:rFonts w:hint="eastAsia"/>
                      <w:color w:val="000000" w:themeColor="text1"/>
                      <w:sz w:val="21"/>
                      <w14:textFill>
                        <w14:solidFill>
                          <w14:schemeClr w14:val="tx1"/>
                        </w14:solidFill>
                      </w14:textFill>
                    </w:rPr>
                    <w:t>涂料</w:t>
                  </w:r>
                  <w:r>
                    <w:rPr>
                      <w:color w:val="000000" w:themeColor="text1"/>
                      <w:sz w:val="21"/>
                      <w14:textFill>
                        <w14:solidFill>
                          <w14:schemeClr w14:val="tx1"/>
                        </w14:solidFill>
                      </w14:textFill>
                    </w:rPr>
                    <w:t>储存在仓库，位于室内。盛装</w:t>
                  </w:r>
                  <w:r>
                    <w:rPr>
                      <w:rFonts w:hint="eastAsia"/>
                      <w:color w:val="000000" w:themeColor="text1"/>
                      <w:sz w:val="21"/>
                      <w14:textFill>
                        <w14:solidFill>
                          <w14:schemeClr w14:val="tx1"/>
                        </w14:solidFill>
                      </w14:textFill>
                    </w:rPr>
                    <w:t>有机废气</w:t>
                  </w:r>
                  <w:r>
                    <w:rPr>
                      <w:color w:val="000000" w:themeColor="text1"/>
                      <w:sz w:val="21"/>
                      <w14:textFill>
                        <w14:solidFill>
                          <w14:schemeClr w14:val="tx1"/>
                        </w14:solidFill>
                      </w14:textFill>
                    </w:rPr>
                    <w:t>物料的容器在非取用状态时已设置加盖、封口等密闭储存方式</w:t>
                  </w:r>
                  <w:r>
                    <w:rPr>
                      <w:rFonts w:hint="eastAsia"/>
                      <w:color w:val="000000" w:themeColor="text1"/>
                      <w:sz w:val="21"/>
                      <w14:textFill>
                        <w14:solidFill>
                          <w14:schemeClr w14:val="tx1"/>
                        </w14:solidFill>
                      </w14:textFill>
                    </w:rPr>
                    <w:t>，项目含有机废气的物料均储存于密闭容器中运输至厂区，符合</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物料转移和输送无组织排放控制要求。</w:t>
                  </w:r>
                </w:p>
              </w:tc>
              <w:tc>
                <w:tcPr>
                  <w:tcW w:w="444" w:type="pct"/>
                  <w:tcBorders>
                    <w:tl2br w:val="nil"/>
                    <w:tr2bl w:val="nil"/>
                  </w:tcBorders>
                  <w:vAlign w:val="center"/>
                </w:tcPr>
                <w:p w14:paraId="2D9FEC73">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符合</w:t>
                  </w:r>
                </w:p>
              </w:tc>
            </w:tr>
            <w:tr w14:paraId="5C06013A">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60BAD193">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工艺过程</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无组织排放控制要求</w:t>
                  </w:r>
                </w:p>
              </w:tc>
              <w:tc>
                <w:tcPr>
                  <w:tcW w:w="2292" w:type="pct"/>
                  <w:tcBorders>
                    <w:tl2br w:val="nil"/>
                    <w:tr2bl w:val="nil"/>
                  </w:tcBorders>
                  <w:vAlign w:val="center"/>
                </w:tcPr>
                <w:p w14:paraId="7A06D3A2">
                  <w:pPr>
                    <w:adjustRightInd/>
                    <w:snapToGrid/>
                    <w:spacing w:line="240" w:lineRule="auto"/>
                    <w:ind w:firstLine="0" w:firstLineChars="0"/>
                    <w:jc w:val="both"/>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含</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产品的使用过程，</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质量占比大于等于</w:t>
                  </w:r>
                  <w:r>
                    <w:rPr>
                      <w:color w:val="000000" w:themeColor="text1"/>
                      <w:sz w:val="21"/>
                      <w14:textFill>
                        <w14:solidFill>
                          <w14:schemeClr w14:val="tx1"/>
                        </w14:solidFill>
                      </w14:textFill>
                    </w:rPr>
                    <w:t>10%</w:t>
                  </w:r>
                  <w:r>
                    <w:rPr>
                      <w:rFonts w:hint="eastAsia"/>
                      <w:color w:val="000000" w:themeColor="text1"/>
                      <w:sz w:val="21"/>
                      <w14:textFill>
                        <w14:solidFill>
                          <w14:schemeClr w14:val="tx1"/>
                        </w14:solidFill>
                      </w14:textFill>
                    </w:rPr>
                    <w:t>的含</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产品，其使用过程应采用密闭设备或在密闭空间内操作，废气应排至</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废气收集处理系统；无法密闭的，应采取局部气体收集措施，废气应排至</w:t>
                  </w:r>
                  <w:r>
                    <w:rPr>
                      <w:color w:val="000000" w:themeColor="text1"/>
                      <w:sz w:val="21"/>
                      <w14:textFill>
                        <w14:solidFill>
                          <w14:schemeClr w14:val="tx1"/>
                        </w14:solidFill>
                      </w14:textFill>
                    </w:rPr>
                    <w:t>VOCs</w:t>
                  </w:r>
                  <w:r>
                    <w:rPr>
                      <w:rFonts w:hint="eastAsia"/>
                      <w:color w:val="000000" w:themeColor="text1"/>
                      <w:sz w:val="21"/>
                      <w14:textFill>
                        <w14:solidFill>
                          <w14:schemeClr w14:val="tx1"/>
                        </w14:solidFill>
                      </w14:textFill>
                    </w:rPr>
                    <w:t>废气收集处理系统</w:t>
                  </w:r>
                </w:p>
              </w:tc>
              <w:tc>
                <w:tcPr>
                  <w:tcW w:w="1507" w:type="pct"/>
                  <w:tcBorders>
                    <w:tl2br w:val="nil"/>
                    <w:tr2bl w:val="nil"/>
                  </w:tcBorders>
                  <w:vAlign w:val="center"/>
                </w:tcPr>
                <w:p w14:paraId="72F1E8E2">
                  <w:pPr>
                    <w:adjustRightInd/>
                    <w:snapToGrid/>
                    <w:spacing w:line="240" w:lineRule="auto"/>
                    <w:ind w:firstLine="0" w:firstLineChars="0"/>
                    <w:jc w:val="both"/>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项目</w:t>
                  </w:r>
                  <w:r>
                    <w:rPr>
                      <w:rFonts w:hint="eastAsia"/>
                      <w:color w:val="000000" w:themeColor="text1"/>
                      <w:sz w:val="21"/>
                      <w:lang w:val="en-US" w:eastAsia="zh-CN"/>
                      <w14:textFill>
                        <w14:solidFill>
                          <w14:schemeClr w14:val="tx1"/>
                        </w14:solidFill>
                      </w14:textFill>
                    </w:rPr>
                    <w:t>喷漆房、调漆房等密闭设置，</w:t>
                  </w:r>
                  <w:r>
                    <w:rPr>
                      <w:rFonts w:hint="eastAsia"/>
                      <w:color w:val="000000" w:themeColor="text1"/>
                      <w:sz w:val="21"/>
                      <w14:textFill>
                        <w14:solidFill>
                          <w14:schemeClr w14:val="tx1"/>
                        </w14:solidFill>
                      </w14:textFill>
                    </w:rPr>
                    <w:t>遵循“应收尽收、分质收集”的原则</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提高废气收集率</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对收集的有机废气采取活性炭吸附措施</w:t>
                  </w:r>
                  <w:r>
                    <w:rPr>
                      <w:rFonts w:hint="eastAsia"/>
                      <w:color w:val="000000" w:themeColor="text1"/>
                      <w:sz w:val="21"/>
                      <w14:textFill>
                        <w14:solidFill>
                          <w14:schemeClr w14:val="tx1"/>
                        </w14:solidFill>
                      </w14:textFill>
                    </w:rPr>
                    <w:t>。</w:t>
                  </w:r>
                </w:p>
              </w:tc>
              <w:tc>
                <w:tcPr>
                  <w:tcW w:w="444" w:type="pct"/>
                  <w:tcBorders>
                    <w:tl2br w:val="nil"/>
                    <w:tr2bl w:val="nil"/>
                  </w:tcBorders>
                  <w:vAlign w:val="center"/>
                </w:tcPr>
                <w:p w14:paraId="458009D5">
                  <w:pPr>
                    <w:adjustRightInd/>
                    <w:snapToGrid/>
                    <w:spacing w:line="240" w:lineRule="auto"/>
                    <w:ind w:firstLine="0" w:firstLineChars="0"/>
                    <w:jc w:val="center"/>
                    <w:rPr>
                      <w:color w:val="000000" w:themeColor="text1"/>
                      <w:sz w:val="21"/>
                      <w:lang w:val="zh-CN"/>
                      <w14:textFill>
                        <w14:solidFill>
                          <w14:schemeClr w14:val="tx1"/>
                        </w14:solidFill>
                      </w14:textFill>
                    </w:rPr>
                  </w:pPr>
                  <w:r>
                    <w:rPr>
                      <w:rFonts w:hint="eastAsia"/>
                      <w:color w:val="000000" w:themeColor="text1"/>
                      <w:sz w:val="21"/>
                      <w14:textFill>
                        <w14:solidFill>
                          <w14:schemeClr w14:val="tx1"/>
                        </w14:solidFill>
                      </w14:textFill>
                    </w:rPr>
                    <w:t>符合</w:t>
                  </w:r>
                </w:p>
              </w:tc>
            </w:tr>
            <w:tr w14:paraId="5161C562">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6D69E788">
                  <w:pPr>
                    <w:snapToGrid/>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VOCs无组织排放废气收集处理系统要求</w:t>
                  </w:r>
                </w:p>
              </w:tc>
              <w:tc>
                <w:tcPr>
                  <w:tcW w:w="2292" w:type="pct"/>
                  <w:tcBorders>
                    <w:tl2br w:val="nil"/>
                    <w:tr2bl w:val="nil"/>
                  </w:tcBorders>
                  <w:vAlign w:val="center"/>
                </w:tcPr>
                <w:p w14:paraId="12E447F7">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1、针对VOCs无组织排放设置的废气收集处理系统应满足本章要求。</w:t>
                  </w:r>
                </w:p>
                <w:p w14:paraId="5AA9966F">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2、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1507" w:type="pct"/>
                  <w:tcBorders>
                    <w:tl2br w:val="nil"/>
                    <w:tr2bl w:val="nil"/>
                  </w:tcBorders>
                  <w:vAlign w:val="center"/>
                </w:tcPr>
                <w:p w14:paraId="36FD1A02">
                  <w:pPr>
                    <w:snapToGrid/>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w:t>
                  </w:r>
                  <w:r>
                    <w:rPr>
                      <w:rFonts w:hint="eastAsia"/>
                      <w:color w:val="000000" w:themeColor="text1"/>
                      <w:sz w:val="21"/>
                      <w:lang w:val="en-US" w:eastAsia="zh-CN"/>
                      <w14:textFill>
                        <w14:solidFill>
                          <w14:schemeClr w14:val="tx1"/>
                        </w14:solidFill>
                      </w14:textFill>
                    </w:rPr>
                    <w:t>喷漆房、调漆房等密闭设置，</w:t>
                  </w:r>
                  <w:r>
                    <w:rPr>
                      <w:rFonts w:hint="eastAsia"/>
                      <w:color w:val="000000" w:themeColor="text1"/>
                      <w:sz w:val="21"/>
                      <w14:textFill>
                        <w14:solidFill>
                          <w14:schemeClr w14:val="tx1"/>
                        </w14:solidFill>
                      </w14:textFill>
                    </w:rPr>
                    <w:t>遵循“应收尽收、分质收集”的原则</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提高废气收集率</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对收集的有机废气采取活性炭吸附措施</w:t>
                  </w:r>
                  <w:r>
                    <w:rPr>
                      <w:rFonts w:hint="eastAsia"/>
                      <w:color w:val="000000" w:themeColor="text1"/>
                      <w:sz w:val="21"/>
                      <w14:textFill>
                        <w14:solidFill>
                          <w14:schemeClr w14:val="tx1"/>
                        </w14:solidFill>
                      </w14:textFill>
                    </w:rPr>
                    <w:t>。</w:t>
                  </w:r>
                </w:p>
              </w:tc>
              <w:tc>
                <w:tcPr>
                  <w:tcW w:w="444" w:type="pct"/>
                  <w:tcBorders>
                    <w:tl2br w:val="nil"/>
                    <w:tr2bl w:val="nil"/>
                  </w:tcBorders>
                  <w:vAlign w:val="center"/>
                </w:tcPr>
                <w:p w14:paraId="26DB97F8">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符合</w:t>
                  </w:r>
                </w:p>
              </w:tc>
            </w:tr>
            <w:tr w14:paraId="7710C8A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2EDE1499">
                  <w:pPr>
                    <w:snapToGrid/>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企业厂区内及周边污染监控要求</w:t>
                  </w:r>
                </w:p>
              </w:tc>
              <w:tc>
                <w:tcPr>
                  <w:tcW w:w="2292" w:type="pct"/>
                  <w:tcBorders>
                    <w:tl2br w:val="nil"/>
                    <w:tr2bl w:val="nil"/>
                  </w:tcBorders>
                  <w:vAlign w:val="center"/>
                </w:tcPr>
                <w:p w14:paraId="18C8FCD0">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1、企业边界及周边VOCs监控要求执行GB16297或相关行业排放标准的规定。</w:t>
                  </w:r>
                </w:p>
                <w:p w14:paraId="7197791F">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2、地方生态环境主管部门可根据当地环境保护需要，对厂区内VOCs无组织排放状况进行监控，具体实施方式由各地自行确定。厂区内VOCs无组织排放监控要求参见附录A。</w:t>
                  </w:r>
                </w:p>
              </w:tc>
              <w:tc>
                <w:tcPr>
                  <w:tcW w:w="1507" w:type="pct"/>
                  <w:tcBorders>
                    <w:tl2br w:val="nil"/>
                    <w:tr2bl w:val="nil"/>
                  </w:tcBorders>
                  <w:vAlign w:val="center"/>
                </w:tcPr>
                <w:p w14:paraId="5B0E97FD">
                  <w:pPr>
                    <w:snapToGrid/>
                    <w:spacing w:line="240" w:lineRule="auto"/>
                    <w:ind w:firstLine="0" w:firstLineChars="0"/>
                    <w:jc w:val="both"/>
                    <w:rPr>
                      <w:rFonts w:hint="eastAsia" w:eastAsia="宋体"/>
                      <w:color w:val="000000" w:themeColor="text1"/>
                      <w:sz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项目</w:t>
                  </w:r>
                  <w:r>
                    <w:rPr>
                      <w:rFonts w:hint="eastAsia"/>
                      <w:color w:val="000000" w:themeColor="text1"/>
                      <w:sz w:val="21"/>
                      <w:szCs w:val="21"/>
                      <w14:textFill>
                        <w14:solidFill>
                          <w14:schemeClr w14:val="tx1"/>
                        </w14:solidFill>
                      </w14:textFill>
                    </w:rPr>
                    <w:t>厂区内</w:t>
                  </w:r>
                  <w:r>
                    <w:rPr>
                      <w:color w:val="000000" w:themeColor="text1"/>
                      <w:sz w:val="21"/>
                      <w:szCs w:val="21"/>
                      <w14:textFill>
                        <w14:solidFill>
                          <w14:schemeClr w14:val="tx1"/>
                        </w14:solidFill>
                      </w14:textFill>
                    </w:rPr>
                    <w:t>无组织</w:t>
                  </w:r>
                  <w:r>
                    <w:rPr>
                      <w:rFonts w:hint="eastAsia"/>
                      <w:color w:val="000000" w:themeColor="text1"/>
                      <w:sz w:val="21"/>
                      <w:szCs w:val="21"/>
                      <w:lang w:val="en-US" w:eastAsia="zh-CN"/>
                      <w14:textFill>
                        <w14:solidFill>
                          <w14:schemeClr w14:val="tx1"/>
                        </w14:solidFill>
                      </w14:textFill>
                    </w:rPr>
                    <w:t>VOCs</w:t>
                  </w:r>
                  <w:r>
                    <w:rPr>
                      <w:rFonts w:hint="eastAsia"/>
                      <w:color w:val="000000" w:themeColor="text1"/>
                      <w:sz w:val="21"/>
                      <w:szCs w:val="21"/>
                      <w14:textFill>
                        <w14:solidFill>
                          <w14:schemeClr w14:val="tx1"/>
                        </w14:solidFill>
                      </w14:textFill>
                    </w:rPr>
                    <w:t>排放</w:t>
                  </w:r>
                  <w:r>
                    <w:rPr>
                      <w:color w:val="000000" w:themeColor="text1"/>
                      <w:sz w:val="21"/>
                      <w:szCs w:val="21"/>
                      <w14:textFill>
                        <w14:solidFill>
                          <w14:schemeClr w14:val="tx1"/>
                        </w14:solidFill>
                      </w14:textFill>
                    </w:rPr>
                    <w:t>执行《挥发性有机物无组织排放控制标准》（GB37822-2019）</w:t>
                  </w:r>
                  <w:r>
                    <w:rPr>
                      <w:rFonts w:hint="eastAsia"/>
                      <w:color w:val="000000" w:themeColor="text1"/>
                      <w:sz w:val="21"/>
                      <w:szCs w:val="21"/>
                      <w:lang w:eastAsia="zh-CN"/>
                      <w14:textFill>
                        <w14:solidFill>
                          <w14:schemeClr w14:val="tx1"/>
                        </w14:solidFill>
                      </w14:textFill>
                    </w:rPr>
                    <w:t>。</w:t>
                  </w:r>
                </w:p>
              </w:tc>
              <w:tc>
                <w:tcPr>
                  <w:tcW w:w="444" w:type="pct"/>
                  <w:tcBorders>
                    <w:tl2br w:val="nil"/>
                    <w:tr2bl w:val="nil"/>
                  </w:tcBorders>
                  <w:vAlign w:val="center"/>
                </w:tcPr>
                <w:p w14:paraId="59E9BD52">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符合</w:t>
                  </w:r>
                </w:p>
              </w:tc>
            </w:tr>
            <w:tr w14:paraId="460B2F0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755" w:type="pct"/>
                  <w:gridSpan w:val="2"/>
                  <w:tcBorders>
                    <w:tl2br w:val="nil"/>
                    <w:tr2bl w:val="nil"/>
                  </w:tcBorders>
                  <w:vAlign w:val="center"/>
                </w:tcPr>
                <w:p w14:paraId="59EEB503">
                  <w:pPr>
                    <w:snapToGrid/>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污染物监测要求</w:t>
                  </w:r>
                </w:p>
              </w:tc>
              <w:tc>
                <w:tcPr>
                  <w:tcW w:w="2292" w:type="pct"/>
                  <w:tcBorders>
                    <w:tl2br w:val="nil"/>
                    <w:tr2bl w:val="nil"/>
                  </w:tcBorders>
                  <w:vAlign w:val="center"/>
                </w:tcPr>
                <w:p w14:paraId="35A32828">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1、企业应按照有关法律、《环境监测管理办法》和HJ819等规定，建立企业监测制度，制订监测方案，对污染物排放状况及其对周边环境质量的影响开展自行监测，保存原始监测记录，并公布监测结果。</w:t>
                  </w:r>
                </w:p>
                <w:p w14:paraId="4F4847DE">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2、新建企业和现有企业安装污染物排放自动监控设备的要求，按有关法律和《污染源自动监控管理办法》等规定执行。</w:t>
                  </w:r>
                </w:p>
                <w:p w14:paraId="22F9F87A">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3、对于挥发性有机液体储罐、挥发性有机液体装载设施以及废气收集处理系统的VOCs排放，监测采样和测定方法按GB/T16157、HJ/T397、HJ732以及HJ38、HJ1012、HJ1013的规定执行。对于储罐呼吸排气等排放强度周期性波动的污染源，污染物排放监测时段应涵盖其排放强度大的时段。</w:t>
                  </w:r>
                </w:p>
                <w:p w14:paraId="6ABE1837">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4、对于设备与管线组件泄漏、敞开液面逸散的VOCs排放，监测采样和测定方法按HJ733的规定执行，采用氢火焰离子化检测仪（以甲烷或丙烷为校准气体）。对于循环冷却水中总有机碳（TOC），测定方法按HJ501的规定执行。</w:t>
                  </w:r>
                </w:p>
                <w:p w14:paraId="19B3E327">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5、企业边界及周边VOCs监测按HJ/T55的规定执行。</w:t>
                  </w:r>
                </w:p>
              </w:tc>
              <w:tc>
                <w:tcPr>
                  <w:tcW w:w="1507" w:type="pct"/>
                  <w:tcBorders>
                    <w:tl2br w:val="nil"/>
                    <w:tr2bl w:val="nil"/>
                  </w:tcBorders>
                  <w:vAlign w:val="center"/>
                </w:tcPr>
                <w:p w14:paraId="251E1B99">
                  <w:pPr>
                    <w:snapToGrid/>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项目建成后会按相关要求建立企业监测制度。</w:t>
                  </w:r>
                </w:p>
              </w:tc>
              <w:tc>
                <w:tcPr>
                  <w:tcW w:w="444" w:type="pct"/>
                  <w:tcBorders>
                    <w:tl2br w:val="nil"/>
                    <w:tr2bl w:val="nil"/>
                  </w:tcBorders>
                  <w:vAlign w:val="center"/>
                </w:tcPr>
                <w:p w14:paraId="0F157A8D">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符合</w:t>
                  </w:r>
                </w:p>
              </w:tc>
            </w:tr>
            <w:tr w14:paraId="22409B9B">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5000" w:type="pct"/>
                  <w:gridSpan w:val="5"/>
                  <w:tcBorders>
                    <w:tl2br w:val="nil"/>
                    <w:tr2bl w:val="nil"/>
                  </w:tcBorders>
                  <w:vAlign w:val="center"/>
                </w:tcPr>
                <w:p w14:paraId="36178458">
                  <w:pPr>
                    <w:adjustRightInd/>
                    <w:snapToGrid/>
                    <w:spacing w:line="240" w:lineRule="auto"/>
                    <w:ind w:firstLine="0" w:firstLineChars="0"/>
                    <w:jc w:val="center"/>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《江西省深入打好污染防治攻坚战挥发性有机物治理专项行动实施方案》</w:t>
                  </w:r>
                </w:p>
                <w:p w14:paraId="3F3D0048">
                  <w:pPr>
                    <w:adjustRightInd/>
                    <w:snapToGrid/>
                    <w:spacing w:line="240" w:lineRule="auto"/>
                    <w:ind w:firstLine="0" w:firstLineChars="0"/>
                    <w:jc w:val="center"/>
                    <w:rPr>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（赣环委字〔2022〕22号）</w:t>
                  </w:r>
                </w:p>
              </w:tc>
            </w:tr>
            <w:tr w14:paraId="1A17918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239E4DCC">
                  <w:pPr>
                    <w:spacing w:line="240" w:lineRule="auto"/>
                    <w:ind w:firstLine="0" w:firstLineChars="0"/>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文件要求</w:t>
                  </w:r>
                </w:p>
              </w:tc>
              <w:tc>
                <w:tcPr>
                  <w:tcW w:w="1507" w:type="pct"/>
                  <w:tcBorders>
                    <w:tl2br w:val="nil"/>
                    <w:tr2bl w:val="nil"/>
                  </w:tcBorders>
                  <w:vAlign w:val="center"/>
                </w:tcPr>
                <w:p w14:paraId="0B1B3F57">
                  <w:pPr>
                    <w:spacing w:line="240" w:lineRule="auto"/>
                    <w:ind w:firstLine="0" w:firstLineChars="0"/>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本项目</w:t>
                  </w:r>
                </w:p>
              </w:tc>
              <w:tc>
                <w:tcPr>
                  <w:tcW w:w="444" w:type="pct"/>
                  <w:tcBorders>
                    <w:tl2br w:val="nil"/>
                    <w:tr2bl w:val="nil"/>
                  </w:tcBorders>
                  <w:vAlign w:val="center"/>
                </w:tcPr>
                <w:p w14:paraId="2F5990DF">
                  <w:pPr>
                    <w:spacing w:line="240" w:lineRule="auto"/>
                    <w:ind w:firstLine="0" w:firstLineChars="0"/>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符合性</w:t>
                  </w:r>
                </w:p>
              </w:tc>
            </w:tr>
            <w:tr w14:paraId="3F13867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1537C68F">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（一）</w:t>
                  </w:r>
                  <w:r>
                    <w:rPr>
                      <w:color w:val="000000" w:themeColor="text1"/>
                      <w:sz w:val="21"/>
                      <w14:textFill>
                        <w14:solidFill>
                          <w14:schemeClr w14:val="tx1"/>
                        </w14:solidFill>
                      </w14:textFill>
                    </w:rPr>
                    <w:t>大力推进VOCs原辅材料源头替代。严格落实国家和地方产品VOCs含量限制标准，对溶剂型涂料、油墨、胶粘剂、清洗剂使用企业制定低VOCs含量原辅材料替代计划。到2025年，溶剂型工业涂料、油墨、胶粘剂等使用量下降比例达到国家要求。推动建立多部门联合执法机制，组织开展含VOCs原辅材料达标情况联合检查，定期对生产企业、销售场所进行检查抽查，曝光不合格产品并追溯其生产、销售、进口、使用企业，依法追究责任。</w:t>
                  </w:r>
                </w:p>
              </w:tc>
              <w:tc>
                <w:tcPr>
                  <w:tcW w:w="1507" w:type="pct"/>
                  <w:tcBorders>
                    <w:tl2br w:val="nil"/>
                    <w:tr2bl w:val="nil"/>
                  </w:tcBorders>
                  <w:vAlign w:val="center"/>
                </w:tcPr>
                <w:p w14:paraId="17C92ADA">
                  <w:pPr>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本项目使用的含挥发性有机物物料主要为</w:t>
                  </w:r>
                  <w:r>
                    <w:rPr>
                      <w:rFonts w:hint="eastAsia"/>
                      <w:color w:val="000000" w:themeColor="text1"/>
                      <w:sz w:val="21"/>
                      <w14:textFill>
                        <w14:solidFill>
                          <w14:schemeClr w14:val="tx1"/>
                        </w14:solidFill>
                      </w14:textFill>
                    </w:rPr>
                    <w:t>水性漆、油性漆、稀释剂等</w:t>
                  </w:r>
                  <w:r>
                    <w:rPr>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满足</w:t>
                  </w:r>
                  <w:r>
                    <w:rPr>
                      <w:color w:val="000000" w:themeColor="text1"/>
                      <w:sz w:val="21"/>
                      <w14:textFill>
                        <w14:solidFill>
                          <w14:schemeClr w14:val="tx1"/>
                        </w14:solidFill>
                      </w14:textFill>
                    </w:rPr>
                    <w:t>国家和地方产品VOCs含量限制标准</w:t>
                  </w:r>
                  <w:r>
                    <w:rPr>
                      <w:rFonts w:hint="eastAsia"/>
                      <w:color w:val="000000" w:themeColor="text1"/>
                      <w:sz w:val="21"/>
                      <w14:textFill>
                        <w14:solidFill>
                          <w14:schemeClr w14:val="tx1"/>
                        </w14:solidFill>
                      </w14:textFill>
                    </w:rPr>
                    <w:t>。</w:t>
                  </w:r>
                </w:p>
              </w:tc>
              <w:tc>
                <w:tcPr>
                  <w:tcW w:w="444" w:type="pct"/>
                  <w:tcBorders>
                    <w:tl2br w:val="nil"/>
                    <w:tr2bl w:val="nil"/>
                  </w:tcBorders>
                  <w:vAlign w:val="center"/>
                </w:tcPr>
                <w:p w14:paraId="1B7DAAF0">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符合</w:t>
                  </w:r>
                </w:p>
              </w:tc>
            </w:tr>
            <w:tr w14:paraId="324CB24B">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6B195AF0">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（二）</w:t>
                  </w:r>
                  <w:r>
                    <w:rPr>
                      <w:color w:val="000000" w:themeColor="text1"/>
                      <w:sz w:val="21"/>
                      <w14:textFill>
                        <w14:solidFill>
                          <w14:schemeClr w14:val="tx1"/>
                        </w14:solidFill>
                      </w14:textFill>
                    </w:rPr>
                    <w:t>全面加强VOCs无组织排放控制。加强含VOCs物料全方位、全链条、全环节密闭管理，做好VOCs物料储存、转移和输送、设备与管线组件泄漏、敞开液面逸散以及工艺过程等无组织排放环节的管理。生产应优先采用密闭设备、在密闭空间中操作或采用全密闭集气罩收集方式，原则上应保持微负压状态，并根据相关规范合理设置通风量；采用局部集气罩的，距集气罩开口面最远处的VOCs无组织排放位置控制风速应不低于0.3米/秒。对VOCs物料储罐和污水集输、储存、处理设施开展排查，督促企业按要求开展专项治理</w:t>
                  </w:r>
                  <w:r>
                    <w:rPr>
                      <w:rFonts w:hint="eastAsia"/>
                      <w:color w:val="000000" w:themeColor="text1"/>
                      <w:sz w:val="21"/>
                      <w14:textFill>
                        <w14:solidFill>
                          <w14:schemeClr w14:val="tx1"/>
                        </w14:solidFill>
                      </w14:textFill>
                    </w:rPr>
                    <w:t>。</w:t>
                  </w:r>
                </w:p>
              </w:tc>
              <w:tc>
                <w:tcPr>
                  <w:tcW w:w="1507" w:type="pct"/>
                  <w:tcBorders>
                    <w:tl2br w:val="nil"/>
                    <w:tr2bl w:val="nil"/>
                  </w:tcBorders>
                  <w:vAlign w:val="center"/>
                </w:tcPr>
                <w:p w14:paraId="46C2AABD">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项目含挥发性有机物的原料储存在仓库，位于室内。盛装挥发性有机物物料的容器在非取用状态时已设置加盖、封口等密闭储存方式</w:t>
                  </w:r>
                  <w:r>
                    <w:rPr>
                      <w:rFonts w:hint="eastAsia"/>
                      <w:color w:val="000000" w:themeColor="text1"/>
                      <w:sz w:val="21"/>
                      <w14:textFill>
                        <w14:solidFill>
                          <w14:schemeClr w14:val="tx1"/>
                        </w14:solidFill>
                      </w14:textFill>
                    </w:rPr>
                    <w:t>。</w:t>
                  </w:r>
                </w:p>
              </w:tc>
              <w:tc>
                <w:tcPr>
                  <w:tcW w:w="444" w:type="pct"/>
                  <w:tcBorders>
                    <w:tl2br w:val="nil"/>
                    <w:tr2bl w:val="nil"/>
                  </w:tcBorders>
                  <w:vAlign w:val="center"/>
                </w:tcPr>
                <w:p w14:paraId="351CF0BF">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符合</w:t>
                  </w:r>
                </w:p>
              </w:tc>
            </w:tr>
            <w:tr w14:paraId="5F4698C5">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4360B818">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（三）</w:t>
                  </w:r>
                  <w:r>
                    <w:rPr>
                      <w:color w:val="000000" w:themeColor="text1"/>
                      <w:sz w:val="21"/>
                      <w14:textFill>
                        <w14:solidFill>
                          <w14:schemeClr w14:val="tx1"/>
                        </w14:solidFill>
                      </w14:textFill>
                    </w:rPr>
                    <w:t>持续提升治污设</w:t>
                  </w:r>
                  <w:r>
                    <w:rPr>
                      <w:rFonts w:hint="eastAsia"/>
                      <w:color w:val="000000" w:themeColor="text1"/>
                      <w:sz w:val="21"/>
                      <w14:textFill>
                        <w14:solidFill>
                          <w14:schemeClr w14:val="tx1"/>
                        </w14:solidFill>
                      </w14:textFill>
                    </w:rPr>
                    <w:t>施“三率”</w:t>
                  </w:r>
                  <w:r>
                    <w:rPr>
                      <w:color w:val="000000" w:themeColor="text1"/>
                      <w:sz w:val="21"/>
                      <w14:textFill>
                        <w14:solidFill>
                          <w14:schemeClr w14:val="tx1"/>
                        </w14:solidFill>
                      </w14:textFill>
                    </w:rPr>
                    <w:t>。组织开展现有VOCs废气收集率、治理设施同步运行率和去除率自查，对达不到要求的VOCs收集、治理设施进行更换或升级改造，实现达标排放。对单一采用光氧化、光催化、低温等离子、一次活性炭吸附、喷淋吸收、生物法等工艺设施的，要重点加强效果评估。行业排放标准中规定特别排放限值和控制要求的，应按相关规定执行；未制定行业标准的应执行《大气污染物综合排放标准》和《挥发性有机物无组织排放控制标准》</w:t>
                  </w:r>
                </w:p>
              </w:tc>
              <w:tc>
                <w:tcPr>
                  <w:tcW w:w="1507" w:type="pct"/>
                  <w:tcBorders>
                    <w:tl2br w:val="nil"/>
                    <w:tr2bl w:val="nil"/>
                  </w:tcBorders>
                  <w:vAlign w:val="center"/>
                </w:tcPr>
                <w:p w14:paraId="70834A2E">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项目</w:t>
                  </w:r>
                  <w:r>
                    <w:rPr>
                      <w:rFonts w:hint="eastAsia"/>
                      <w:color w:val="000000" w:themeColor="text1"/>
                      <w:sz w:val="21"/>
                      <w:lang w:val="en-US" w:eastAsia="zh-CN"/>
                      <w14:textFill>
                        <w14:solidFill>
                          <w14:schemeClr w14:val="tx1"/>
                        </w14:solidFill>
                      </w14:textFill>
                    </w:rPr>
                    <w:t>喷漆房、调漆房等密闭设置，</w:t>
                  </w:r>
                  <w:r>
                    <w:rPr>
                      <w:rFonts w:hint="eastAsia"/>
                      <w:color w:val="000000" w:themeColor="text1"/>
                      <w:sz w:val="21"/>
                      <w14:textFill>
                        <w14:solidFill>
                          <w14:schemeClr w14:val="tx1"/>
                        </w14:solidFill>
                      </w14:textFill>
                    </w:rPr>
                    <w:t>遵循“应收尽收、分质收集”的原则</w:t>
                  </w:r>
                  <w:r>
                    <w:rPr>
                      <w:rFonts w:hint="eastAsia"/>
                      <w:color w:val="000000" w:themeColor="text1"/>
                      <w:sz w:val="21"/>
                      <w:lang w:eastAsia="zh-CN"/>
                      <w14:textFill>
                        <w14:solidFill>
                          <w14:schemeClr w14:val="tx1"/>
                        </w14:solidFill>
                      </w14:textFill>
                    </w:rPr>
                    <w:t>，</w:t>
                  </w:r>
                  <w:r>
                    <w:rPr>
                      <w:rFonts w:hint="eastAsia"/>
                      <w:color w:val="000000" w:themeColor="text1"/>
                      <w:sz w:val="21"/>
                      <w:lang w:val="en-US" w:eastAsia="zh-CN"/>
                      <w14:textFill>
                        <w14:solidFill>
                          <w14:schemeClr w14:val="tx1"/>
                        </w14:solidFill>
                      </w14:textFill>
                    </w:rPr>
                    <w:t>提高废气收集率</w:t>
                  </w:r>
                  <w:r>
                    <w:rPr>
                      <w:rFonts w:hint="eastAsia"/>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对收集的有机废气采取活性炭吸附措施</w:t>
                  </w:r>
                  <w:r>
                    <w:rPr>
                      <w:rFonts w:hint="eastAsia"/>
                      <w:color w:val="000000" w:themeColor="text1"/>
                      <w:sz w:val="21"/>
                      <w14:textFill>
                        <w14:solidFill>
                          <w14:schemeClr w14:val="tx1"/>
                        </w14:solidFill>
                      </w14:textFill>
                    </w:rPr>
                    <w:t>。。</w:t>
                  </w:r>
                </w:p>
              </w:tc>
              <w:tc>
                <w:tcPr>
                  <w:tcW w:w="444" w:type="pct"/>
                  <w:tcBorders>
                    <w:tl2br w:val="nil"/>
                    <w:tr2bl w:val="nil"/>
                  </w:tcBorders>
                  <w:vAlign w:val="center"/>
                </w:tcPr>
                <w:p w14:paraId="77C1C244">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符合</w:t>
                  </w:r>
                </w:p>
              </w:tc>
            </w:tr>
            <w:tr w14:paraId="2809E70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325FB753">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（四）</w:t>
                  </w:r>
                  <w:r>
                    <w:rPr>
                      <w:color w:val="000000" w:themeColor="text1"/>
                      <w:sz w:val="21"/>
                      <w14:textFill>
                        <w14:solidFill>
                          <w14:schemeClr w14:val="tx1"/>
                        </w14:solidFill>
                      </w14:textFill>
                    </w:rPr>
                    <w:t>深入推进油品储运销全过程油气回收治理。各设区市生态环境局要督促本地成品油销售企业建立日常检查和自行监测制度，在保障安全的前提下，加强无组织排放控制，每年组织开展一轮储油库、油罐车、加油站油气回收专项检查和整改，并形成自查整改报告。鼓励有条件的加油站开展三次油气回收。推动完成万吨及以上原油成品油码头，现役8000总吨及以上的油船全部完成油气回收治理。着力推动城市成品油年销量在5000吨以上的加油站安装在线监控设施</w:t>
                  </w:r>
                </w:p>
              </w:tc>
              <w:tc>
                <w:tcPr>
                  <w:tcW w:w="1507" w:type="pct"/>
                  <w:tcBorders>
                    <w:tl2br w:val="nil"/>
                    <w:tr2bl w:val="nil"/>
                  </w:tcBorders>
                  <w:vAlign w:val="center"/>
                </w:tcPr>
                <w:p w14:paraId="1D08CB5D">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本项目不属于</w:t>
                  </w:r>
                  <w:r>
                    <w:rPr>
                      <w:color w:val="000000" w:themeColor="text1"/>
                      <w:sz w:val="21"/>
                      <w14:textFill>
                        <w14:solidFill>
                          <w14:schemeClr w14:val="tx1"/>
                        </w14:solidFill>
                      </w14:textFill>
                    </w:rPr>
                    <w:t>油品储运销</w:t>
                  </w:r>
                  <w:r>
                    <w:rPr>
                      <w:rFonts w:hint="eastAsia"/>
                      <w:color w:val="000000" w:themeColor="text1"/>
                      <w:sz w:val="21"/>
                      <w14:textFill>
                        <w14:solidFill>
                          <w14:schemeClr w14:val="tx1"/>
                        </w14:solidFill>
                      </w14:textFill>
                    </w:rPr>
                    <w:t>项目。</w:t>
                  </w:r>
                </w:p>
              </w:tc>
              <w:tc>
                <w:tcPr>
                  <w:tcW w:w="444" w:type="pct"/>
                  <w:tcBorders>
                    <w:tl2br w:val="nil"/>
                    <w:tr2bl w:val="nil"/>
                  </w:tcBorders>
                  <w:vAlign w:val="center"/>
                </w:tcPr>
                <w:p w14:paraId="756E6AF3">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符合</w:t>
                  </w:r>
                </w:p>
              </w:tc>
            </w:tr>
            <w:tr w14:paraId="462F12A9">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1EF025F3">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（五）</w:t>
                  </w:r>
                  <w:r>
                    <w:rPr>
                      <w:color w:val="000000" w:themeColor="text1"/>
                      <w:sz w:val="21"/>
                      <w14:textFill>
                        <w14:solidFill>
                          <w14:schemeClr w14:val="tx1"/>
                        </w14:solidFill>
                      </w14:textFill>
                    </w:rPr>
                    <w:t>持续推进重点行业、重点企业及重点园区开展整治。严格石化、化工、工业涂装、包装印刷等重点行业挥发性有机物全过程管控。督促重点企业按《VOCs综合治</w:t>
                  </w:r>
                  <w:r>
                    <w:rPr>
                      <w:rFonts w:hint="eastAsia"/>
                      <w:color w:val="000000" w:themeColor="text1"/>
                      <w:sz w:val="21"/>
                      <w14:textFill>
                        <w14:solidFill>
                          <w14:schemeClr w14:val="tx1"/>
                        </w14:solidFill>
                      </w14:textFill>
                    </w:rPr>
                    <w:t>理“一企一策”</w:t>
                  </w:r>
                  <w:r>
                    <w:rPr>
                      <w:color w:val="000000" w:themeColor="text1"/>
                      <w:sz w:val="21"/>
                      <w14:textFill>
                        <w14:solidFill>
                          <w14:schemeClr w14:val="tx1"/>
                        </w14:solidFill>
                      </w14:textFill>
                    </w:rPr>
                    <w:t>约束性大纲》的要求编制一企一策方案，明确企业VOCs综合治理任务时间节点和工作目标，建立管理台账并实施针对性治理。以提高园区VOCs管理水平及企业VOCs治理能力为目标，跟踪督促重点园区编</w:t>
                  </w:r>
                  <w:r>
                    <w:rPr>
                      <w:rFonts w:hint="eastAsia"/>
                      <w:color w:val="000000" w:themeColor="text1"/>
                      <w:sz w:val="21"/>
                      <w14:textFill>
                        <w14:solidFill>
                          <w14:schemeClr w14:val="tx1"/>
                        </w14:solidFill>
                      </w14:textFill>
                    </w:rPr>
                    <w:t>制“一园一策”方</w:t>
                  </w:r>
                  <w:r>
                    <w:rPr>
                      <w:color w:val="000000" w:themeColor="text1"/>
                      <w:sz w:val="21"/>
                      <w14:textFill>
                        <w14:solidFill>
                          <w14:schemeClr w14:val="tx1"/>
                        </w14:solidFill>
                      </w14:textFill>
                    </w:rPr>
                    <w:t>案并加快实施，推进园区VOCs治理工作入深向实。组织专家对各地市重点企</w:t>
                  </w:r>
                  <w:r>
                    <w:rPr>
                      <w:rFonts w:hint="eastAsia"/>
                      <w:color w:val="000000" w:themeColor="text1"/>
                      <w:sz w:val="21"/>
                      <w14:textFill>
                        <w14:solidFill>
                          <w14:schemeClr w14:val="tx1"/>
                        </w14:solidFill>
                      </w14:textFill>
                    </w:rPr>
                    <w:t>业“一企一策”和</w:t>
                  </w:r>
                  <w:r>
                    <w:rPr>
                      <w:color w:val="000000" w:themeColor="text1"/>
                      <w:sz w:val="21"/>
                      <w14:textFill>
                        <w14:solidFill>
                          <w14:schemeClr w14:val="tx1"/>
                        </w14:solidFill>
                      </w14:textFill>
                    </w:rPr>
                    <w:t>重点园</w:t>
                  </w:r>
                  <w:r>
                    <w:rPr>
                      <w:rFonts w:hint="eastAsia"/>
                      <w:color w:val="000000" w:themeColor="text1"/>
                      <w:sz w:val="21"/>
                      <w14:textFill>
                        <w14:solidFill>
                          <w14:schemeClr w14:val="tx1"/>
                        </w14:solidFill>
                      </w14:textFill>
                    </w:rPr>
                    <w:t>区“一园一策”进行抽查</w:t>
                  </w:r>
                  <w:r>
                    <w:rPr>
                      <w:color w:val="000000" w:themeColor="text1"/>
                      <w:sz w:val="21"/>
                      <w14:textFill>
                        <w14:solidFill>
                          <w14:schemeClr w14:val="tx1"/>
                        </w14:solidFill>
                      </w14:textFill>
                    </w:rPr>
                    <w:t>审核，督促提高编制质量，提升VOCs治理方案的指导性、专业性及有效性。强化涉VOCs企业分级管控，扩大绩效分级评估范围，结合臭氧污染</w:t>
                  </w:r>
                  <w:r>
                    <w:rPr>
                      <w:rFonts w:hint="eastAsia"/>
                      <w:color w:val="000000" w:themeColor="text1"/>
                      <w:sz w:val="21"/>
                      <w14:textFill>
                        <w14:solidFill>
                          <w14:schemeClr w14:val="tx1"/>
                        </w14:solidFill>
                      </w14:textFill>
                    </w:rPr>
                    <w:t>天气</w:t>
                  </w:r>
                  <w:r>
                    <w:rPr>
                      <w:color w:val="000000" w:themeColor="text1"/>
                      <w:sz w:val="21"/>
                      <w14:textFill>
                        <w14:solidFill>
                          <w14:schemeClr w14:val="tx1"/>
                        </w14:solidFill>
                      </w14:textFill>
                    </w:rPr>
                    <w:t>应急预案，根据重点行业企业应急减排清单，分别落实不同的应急减排要求。推进开发区因地制宜推广建设涉挥发性有机物</w:t>
                  </w:r>
                  <w:r>
                    <w:rPr>
                      <w:rFonts w:hint="eastAsia"/>
                      <w:color w:val="000000" w:themeColor="text1"/>
                      <w:sz w:val="21"/>
                      <w14:textFill>
                        <w14:solidFill>
                          <w14:schemeClr w14:val="tx1"/>
                        </w14:solidFill>
                      </w14:textFill>
                    </w:rPr>
                    <w:t>“绿岛”</w:t>
                  </w:r>
                  <w:r>
                    <w:rPr>
                      <w:color w:val="000000" w:themeColor="text1"/>
                      <w:sz w:val="21"/>
                      <w14:textFill>
                        <w14:solidFill>
                          <w14:schemeClr w14:val="tx1"/>
                        </w14:solidFill>
                      </w14:textFill>
                    </w:rPr>
                    <w:t>项目，探索建设集中涂装中心、活性炭集中处理中心等</w:t>
                  </w:r>
                </w:p>
              </w:tc>
              <w:tc>
                <w:tcPr>
                  <w:tcW w:w="1507" w:type="pct"/>
                  <w:tcBorders>
                    <w:tl2br w:val="nil"/>
                    <w:tr2bl w:val="nil"/>
                  </w:tcBorders>
                  <w:vAlign w:val="center"/>
                </w:tcPr>
                <w:p w14:paraId="7DEC962B">
                  <w:pPr>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本项目</w:t>
                  </w:r>
                  <w:r>
                    <w:rPr>
                      <w:rFonts w:hint="eastAsia"/>
                      <w:color w:val="000000" w:themeColor="text1"/>
                      <w:sz w:val="21"/>
                      <w14:textFill>
                        <w14:solidFill>
                          <w14:schemeClr w14:val="tx1"/>
                        </w14:solidFill>
                      </w14:textFill>
                    </w:rPr>
                    <w:t>不属于</w:t>
                  </w:r>
                  <w:r>
                    <w:rPr>
                      <w:color w:val="000000" w:themeColor="text1"/>
                      <w:sz w:val="21"/>
                      <w14:textFill>
                        <w14:solidFill>
                          <w14:schemeClr w14:val="tx1"/>
                        </w14:solidFill>
                      </w14:textFill>
                    </w:rPr>
                    <w:t>重点行业、重点企业</w:t>
                  </w:r>
                  <w:r>
                    <w:rPr>
                      <w:rFonts w:hint="eastAsia"/>
                      <w:color w:val="000000" w:themeColor="text1"/>
                      <w:sz w:val="21"/>
                      <w14:textFill>
                        <w14:solidFill>
                          <w14:schemeClr w14:val="tx1"/>
                        </w14:solidFill>
                      </w14:textFill>
                    </w:rPr>
                    <w:t>。</w:t>
                  </w:r>
                </w:p>
              </w:tc>
              <w:tc>
                <w:tcPr>
                  <w:tcW w:w="444" w:type="pct"/>
                  <w:tcBorders>
                    <w:tl2br w:val="nil"/>
                    <w:tr2bl w:val="nil"/>
                  </w:tcBorders>
                  <w:vAlign w:val="center"/>
                </w:tcPr>
                <w:p w14:paraId="7849E6FB">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符合</w:t>
                  </w:r>
                </w:p>
              </w:tc>
            </w:tr>
            <w:tr w14:paraId="4522400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16EBB164">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（六）</w:t>
                  </w:r>
                  <w:r>
                    <w:rPr>
                      <w:color w:val="000000" w:themeColor="text1"/>
                      <w:sz w:val="21"/>
                      <w14:textFill>
                        <w14:solidFill>
                          <w14:schemeClr w14:val="tx1"/>
                        </w14:solidFill>
                      </w14:textFill>
                    </w:rPr>
                    <w:t>协同推进VOCs和NOx污染减排。聚焦重点行业、重点企业、重点工业园区，以更高要求、更高标准、更严措施，对全省涉VOCs排放企业，分行业、分领域、全环节开展全面自检，科学制定减排计划，将减排任务落实到重点行业重点企业的减排工程项目，推动建设一批示范项目、示范园区；推动钢铁等行业超低排放改造，积极推动老旧柴油货车淘汰，开展非标油联合执法行动，实现VOCs、NOx减排量</w:t>
                  </w:r>
                  <w:r>
                    <w:rPr>
                      <w:rFonts w:hint="eastAsia"/>
                      <w:color w:val="000000" w:themeColor="text1"/>
                      <w:sz w:val="21"/>
                      <w14:textFill>
                        <w14:solidFill>
                          <w14:schemeClr w14:val="tx1"/>
                        </w14:solidFill>
                      </w14:textFill>
                    </w:rPr>
                    <w:t>满足“十四五”</w:t>
                  </w:r>
                  <w:r>
                    <w:rPr>
                      <w:color w:val="000000" w:themeColor="text1"/>
                      <w:sz w:val="21"/>
                      <w14:textFill>
                        <w14:solidFill>
                          <w14:schemeClr w14:val="tx1"/>
                        </w14:solidFill>
                      </w14:textFill>
                    </w:rPr>
                    <w:t>规划时序进度要求</w:t>
                  </w:r>
                </w:p>
              </w:tc>
              <w:tc>
                <w:tcPr>
                  <w:tcW w:w="1507" w:type="pct"/>
                  <w:tcBorders>
                    <w:tl2br w:val="nil"/>
                    <w:tr2bl w:val="nil"/>
                  </w:tcBorders>
                  <w:vAlign w:val="center"/>
                </w:tcPr>
                <w:p w14:paraId="6B01148E">
                  <w:pPr>
                    <w:spacing w:line="240" w:lineRule="auto"/>
                    <w:ind w:firstLine="0" w:firstLineChars="0"/>
                    <w:jc w:val="both"/>
                    <w:rPr>
                      <w:color w:val="000000" w:themeColor="text1"/>
                      <w:sz w:val="21"/>
                      <w14:textFill>
                        <w14:solidFill>
                          <w14:schemeClr w14:val="tx1"/>
                        </w14:solidFill>
                      </w14:textFill>
                    </w:rPr>
                  </w:pPr>
                  <w:r>
                    <w:rPr>
                      <w:color w:val="000000" w:themeColor="text1"/>
                      <w:sz w:val="21"/>
                      <w14:textFill>
                        <w14:solidFill>
                          <w14:schemeClr w14:val="tx1"/>
                        </w14:solidFill>
                      </w14:textFill>
                    </w:rPr>
                    <w:t>本项目</w:t>
                  </w:r>
                  <w:r>
                    <w:rPr>
                      <w:rFonts w:hint="eastAsia"/>
                      <w:color w:val="000000" w:themeColor="text1"/>
                      <w:sz w:val="21"/>
                      <w14:textFill>
                        <w14:solidFill>
                          <w14:schemeClr w14:val="tx1"/>
                        </w14:solidFill>
                      </w14:textFill>
                    </w:rPr>
                    <w:t>不属于</w:t>
                  </w:r>
                  <w:r>
                    <w:rPr>
                      <w:color w:val="000000" w:themeColor="text1"/>
                      <w:sz w:val="21"/>
                      <w14:textFill>
                        <w14:solidFill>
                          <w14:schemeClr w14:val="tx1"/>
                        </w14:solidFill>
                      </w14:textFill>
                    </w:rPr>
                    <w:t>重点行业、重点企业</w:t>
                  </w:r>
                  <w:r>
                    <w:rPr>
                      <w:rFonts w:hint="eastAsia"/>
                      <w:color w:val="000000" w:themeColor="text1"/>
                      <w:sz w:val="21"/>
                      <w14:textFill>
                        <w14:solidFill>
                          <w14:schemeClr w14:val="tx1"/>
                        </w14:solidFill>
                      </w14:textFill>
                    </w:rPr>
                    <w:t>，TVOC</w:t>
                  </w:r>
                  <w:r>
                    <w:rPr>
                      <w:color w:val="000000" w:themeColor="text1"/>
                      <w:sz w:val="21"/>
                      <w14:textFill>
                        <w14:solidFill>
                          <w14:schemeClr w14:val="tx1"/>
                        </w14:solidFill>
                      </w14:textFill>
                    </w:rPr>
                    <w:t>的</w:t>
                  </w:r>
                  <w:r>
                    <w:rPr>
                      <w:rFonts w:hint="eastAsia"/>
                      <w:color w:val="000000" w:themeColor="text1"/>
                      <w:sz w:val="21"/>
                      <w14:textFill>
                        <w14:solidFill>
                          <w14:schemeClr w14:val="tx1"/>
                        </w14:solidFill>
                      </w14:textFill>
                    </w:rPr>
                    <w:t>总量排放量符合高安污染物排放总量要求。</w:t>
                  </w:r>
                </w:p>
              </w:tc>
              <w:tc>
                <w:tcPr>
                  <w:tcW w:w="444" w:type="pct"/>
                  <w:tcBorders>
                    <w:tl2br w:val="nil"/>
                    <w:tr2bl w:val="nil"/>
                  </w:tcBorders>
                  <w:vAlign w:val="center"/>
                </w:tcPr>
                <w:p w14:paraId="237E7383">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符合</w:t>
                  </w:r>
                </w:p>
              </w:tc>
            </w:tr>
            <w:tr w14:paraId="5AABE0B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4DFF4BC5">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（七）</w:t>
                  </w:r>
                  <w:r>
                    <w:rPr>
                      <w:color w:val="000000" w:themeColor="text1"/>
                      <w:sz w:val="21"/>
                      <w14:textFill>
                        <w14:solidFill>
                          <w14:schemeClr w14:val="tx1"/>
                        </w14:solidFill>
                      </w14:textFill>
                    </w:rPr>
                    <w:t>加快构建更为精准的防控体系。开展环境空气臭氧污染成因分析与来源解析工作，对臭氧的生成机理、主要来源和传输规律进行研究，增强臭氧防治工作的科学性、针对性和有效性。推动重点企业加快安装烟气排放自动监控设施，完成重点企业主要排放口VOCs自动监控设施建设联网工作；加强涉VOCs重点工业园区、产业集群和企业环境VOCs监测</w:t>
                  </w:r>
                </w:p>
              </w:tc>
              <w:tc>
                <w:tcPr>
                  <w:tcW w:w="1507" w:type="pct"/>
                  <w:tcBorders>
                    <w:tl2br w:val="nil"/>
                    <w:tr2bl w:val="nil"/>
                  </w:tcBorders>
                  <w:vAlign w:val="center"/>
                </w:tcPr>
                <w:p w14:paraId="560AAEBD">
                  <w:pPr>
                    <w:spacing w:line="240" w:lineRule="auto"/>
                    <w:ind w:firstLine="0" w:firstLineChars="0"/>
                    <w:jc w:val="both"/>
                    <w:rPr>
                      <w:color w:val="000000" w:themeColor="text1"/>
                      <w:sz w:val="21"/>
                      <w14:textFill>
                        <w14:solidFill>
                          <w14:schemeClr w14:val="tx1"/>
                        </w14:solidFill>
                      </w14:textFill>
                    </w:rPr>
                  </w:pPr>
                  <w:r>
                    <w:rPr>
                      <w:rFonts w:hint="eastAsia"/>
                      <w:color w:val="000000" w:themeColor="text1"/>
                      <w:sz w:val="21"/>
                      <w14:textFill>
                        <w14:solidFill>
                          <w14:schemeClr w14:val="tx1"/>
                        </w14:solidFill>
                      </w14:textFill>
                    </w:rPr>
                    <w:t>本项目不属于</w:t>
                  </w:r>
                  <w:r>
                    <w:rPr>
                      <w:color w:val="000000" w:themeColor="text1"/>
                      <w:sz w:val="21"/>
                      <w14:textFill>
                        <w14:solidFill>
                          <w14:schemeClr w14:val="tx1"/>
                        </w14:solidFill>
                      </w14:textFill>
                    </w:rPr>
                    <w:t>涉</w:t>
                  </w:r>
                  <w:r>
                    <w:rPr>
                      <w:rFonts w:hint="eastAsia"/>
                      <w:color w:val="000000" w:themeColor="text1"/>
                      <w:sz w:val="21"/>
                      <w14:textFill>
                        <w14:solidFill>
                          <w14:schemeClr w14:val="tx1"/>
                        </w14:solidFill>
                      </w14:textFill>
                    </w:rPr>
                    <w:t>有机废气</w:t>
                  </w:r>
                  <w:r>
                    <w:rPr>
                      <w:color w:val="000000" w:themeColor="text1"/>
                      <w:sz w:val="21"/>
                      <w14:textFill>
                        <w14:solidFill>
                          <w14:schemeClr w14:val="tx1"/>
                        </w14:solidFill>
                      </w14:textFill>
                    </w:rPr>
                    <w:t>重点</w:t>
                  </w:r>
                  <w:r>
                    <w:rPr>
                      <w:rFonts w:hint="eastAsia"/>
                      <w:color w:val="000000" w:themeColor="text1"/>
                      <w:sz w:val="21"/>
                      <w14:textFill>
                        <w14:solidFill>
                          <w14:schemeClr w14:val="tx1"/>
                        </w14:solidFill>
                      </w14:textFill>
                    </w:rPr>
                    <w:t>企业，按要求定期对有机废气（TVOC）进行监测。</w:t>
                  </w:r>
                </w:p>
              </w:tc>
              <w:tc>
                <w:tcPr>
                  <w:tcW w:w="444" w:type="pct"/>
                  <w:tcBorders>
                    <w:tl2br w:val="nil"/>
                    <w:tr2bl w:val="nil"/>
                  </w:tcBorders>
                  <w:vAlign w:val="center"/>
                </w:tcPr>
                <w:p w14:paraId="72DE7142">
                  <w:pPr>
                    <w:spacing w:line="240" w:lineRule="auto"/>
                    <w:ind w:firstLine="0" w:firstLineChars="0"/>
                    <w:jc w:val="center"/>
                    <w:rPr>
                      <w:color w:val="000000" w:themeColor="text1"/>
                      <w:sz w:val="21"/>
                      <w14:textFill>
                        <w14:solidFill>
                          <w14:schemeClr w14:val="tx1"/>
                        </w14:solidFill>
                      </w14:textFill>
                    </w:rPr>
                  </w:pPr>
                  <w:r>
                    <w:rPr>
                      <w:color w:val="000000" w:themeColor="text1"/>
                      <w:sz w:val="21"/>
                      <w14:textFill>
                        <w14:solidFill>
                          <w14:schemeClr w14:val="tx1"/>
                        </w14:solidFill>
                      </w14:textFill>
                    </w:rPr>
                    <w:t>符合</w:t>
                  </w:r>
                </w:p>
              </w:tc>
            </w:tr>
            <w:tr w14:paraId="56A31B0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5000" w:type="pct"/>
                  <w:gridSpan w:val="5"/>
                  <w:tcBorders>
                    <w:tl2br w:val="nil"/>
                    <w:tr2bl w:val="nil"/>
                  </w:tcBorders>
                  <w:vAlign w:val="center"/>
                </w:tcPr>
                <w:p w14:paraId="1851DF97">
                  <w:pPr>
                    <w:spacing w:line="240" w:lineRule="auto"/>
                    <w:ind w:firstLine="0" w:firstLineChars="0"/>
                    <w:jc w:val="center"/>
                    <w:rPr>
                      <w:color w:val="000000" w:themeColor="text1"/>
                      <w:sz w:val="21"/>
                      <w:szCs w:val="21"/>
                      <w14:textFill>
                        <w14:solidFill>
                          <w14:schemeClr w14:val="tx1"/>
                        </w14:solidFill>
                      </w14:textFill>
                    </w:rPr>
                  </w:pPr>
                  <w:r>
                    <w:rPr>
                      <w:rFonts w:ascii="宋体" w:hAnsi="宋体" w:eastAsia="Times New Roman"/>
                      <w:color w:val="000000" w:themeColor="text1"/>
                      <w:sz w:val="21"/>
                      <w:szCs w:val="21"/>
                      <w14:textFill>
                        <w14:solidFill>
                          <w14:schemeClr w14:val="tx1"/>
                        </w14:solidFill>
                      </w14:textFill>
                    </w:rPr>
                    <w:t>《低挥发性有机化合物含量涂料产品技术要求》（</w:t>
                  </w:r>
                  <w:r>
                    <w:rPr>
                      <w:rFonts w:eastAsia="Times New Roman"/>
                      <w:color w:val="000000" w:themeColor="text1"/>
                      <w:sz w:val="21"/>
                      <w:szCs w:val="21"/>
                      <w14:textFill>
                        <w14:solidFill>
                          <w14:schemeClr w14:val="tx1"/>
                        </w14:solidFill>
                      </w14:textFill>
                    </w:rPr>
                    <w:t>GB/T 38597-2020</w:t>
                  </w:r>
                  <w:r>
                    <w:rPr>
                      <w:rFonts w:ascii="宋体" w:hAnsi="宋体" w:eastAsia="Times New Roman"/>
                      <w:color w:val="000000" w:themeColor="text1"/>
                      <w:sz w:val="21"/>
                      <w:szCs w:val="21"/>
                      <w14:textFill>
                        <w14:solidFill>
                          <w14:schemeClr w14:val="tx1"/>
                        </w14:solidFill>
                      </w14:textFill>
                    </w:rPr>
                    <w:t>）</w:t>
                  </w:r>
                </w:p>
              </w:tc>
            </w:tr>
            <w:tr w14:paraId="2E715EC6">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1FB12495">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玩具涂料VOC含量低于420g/L（水性漆参照）</w:t>
                  </w:r>
                </w:p>
              </w:tc>
              <w:tc>
                <w:tcPr>
                  <w:tcW w:w="1507" w:type="pct"/>
                  <w:tcBorders>
                    <w:tl2br w:val="nil"/>
                    <w:tr2bl w:val="nil"/>
                  </w:tcBorders>
                  <w:vAlign w:val="center"/>
                </w:tcPr>
                <w:p w14:paraId="3A72A673">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本项目水性漆VOC含量56.5g/L</w:t>
                  </w:r>
                </w:p>
              </w:tc>
              <w:tc>
                <w:tcPr>
                  <w:tcW w:w="444" w:type="pct"/>
                  <w:tcBorders>
                    <w:tl2br w:val="nil"/>
                    <w:tr2bl w:val="nil"/>
                  </w:tcBorders>
                  <w:vAlign w:val="center"/>
                </w:tcPr>
                <w:p w14:paraId="5D84EACF">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2CD7192C">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jc w:val="center"/>
              </w:trPr>
              <w:tc>
                <w:tcPr>
                  <w:tcW w:w="3048" w:type="pct"/>
                  <w:gridSpan w:val="3"/>
                  <w:tcBorders>
                    <w:tl2br w:val="nil"/>
                    <w:tr2bl w:val="nil"/>
                  </w:tcBorders>
                  <w:vAlign w:val="center"/>
                </w:tcPr>
                <w:p w14:paraId="5381E127">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车辆涂料VOC含量低于500g/L（油漆参照）</w:t>
                  </w:r>
                </w:p>
              </w:tc>
              <w:tc>
                <w:tcPr>
                  <w:tcW w:w="1507" w:type="pct"/>
                  <w:tcBorders>
                    <w:tl2br w:val="nil"/>
                    <w:tr2bl w:val="nil"/>
                  </w:tcBorders>
                  <w:vAlign w:val="center"/>
                </w:tcPr>
                <w:p w14:paraId="324CFA12">
                  <w:pPr>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本项目油漆VOC含量470.7g/L</w:t>
                  </w:r>
                </w:p>
              </w:tc>
              <w:tc>
                <w:tcPr>
                  <w:tcW w:w="444" w:type="pct"/>
                  <w:tcBorders>
                    <w:tl2br w:val="nil"/>
                    <w:tr2bl w:val="nil"/>
                  </w:tcBorders>
                  <w:vAlign w:val="center"/>
                </w:tcPr>
                <w:p w14:paraId="42397FFF">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bl>
          <w:p w14:paraId="196DB1AE">
            <w:pPr>
              <w:adjustRightInd/>
              <w:ind w:firstLine="480"/>
              <w:rPr>
                <w:rFonts w:hint="eastAsia"/>
                <w:color w:val="000000" w:themeColor="text1"/>
                <w14:textFill>
                  <w14:solidFill>
                    <w14:schemeClr w14:val="tx1"/>
                  </w14:solidFill>
                </w14:textFill>
              </w:rPr>
            </w:pPr>
            <w:r>
              <w:rPr>
                <w:color w:val="000000" w:themeColor="text1"/>
                <w14:textFill>
                  <w14:solidFill>
                    <w14:schemeClr w14:val="tx1"/>
                  </w14:solidFill>
                </w14:textFill>
              </w:rPr>
              <w:t>综上所述，本项目符合国家及地方有关环境保护的政策、法规和管理文件要求，符合地方规划及环境功能区划，不在</w:t>
            </w:r>
            <w:r>
              <w:rPr>
                <w:rFonts w:hint="eastAsia"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负面清单</w:t>
            </w:r>
            <w:r>
              <w:rPr>
                <w:rFonts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范围内，满足</w:t>
            </w:r>
            <w:r>
              <w:rPr>
                <w:rFonts w:hint="eastAsia"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落实</w:t>
            </w:r>
            <w:r>
              <w:rPr>
                <w:rFonts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生态保护红线、环境质量底线、资源利用上线</w:t>
            </w:r>
            <w:r>
              <w:rPr>
                <w:rFonts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约束</w:t>
            </w:r>
            <w:r>
              <w:rPr>
                <w:rFonts w:hint="eastAsia"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的要求</w:t>
            </w:r>
            <w:r>
              <w:rPr>
                <w:rFonts w:hint="eastAsia"/>
                <w:color w:val="000000" w:themeColor="text1"/>
                <w14:textFill>
                  <w14:solidFill>
                    <w14:schemeClr w14:val="tx1"/>
                  </w14:solidFill>
                </w14:textFill>
              </w:rPr>
              <w:t>。</w:t>
            </w:r>
          </w:p>
          <w:p w14:paraId="427AD419">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0" w:firstLineChars="0"/>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五、</w:t>
            </w:r>
            <w:r>
              <w:rPr>
                <w:rFonts w:hint="eastAsia"/>
                <w:b/>
                <w:bCs/>
                <w:color w:val="000000" w:themeColor="text1"/>
                <w:sz w:val="24"/>
                <w:szCs w:val="24"/>
                <w14:textFill>
                  <w14:solidFill>
                    <w14:schemeClr w14:val="tx1"/>
                  </w14:solidFill>
                </w14:textFill>
              </w:rPr>
              <w:t>与《中华人民共和国长江保护法》相符性分析</w:t>
            </w:r>
          </w:p>
          <w:p w14:paraId="17D9EE53">
            <w:pPr>
              <w:pStyle w:val="57"/>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t>与《中华人民共和国长江保护法》相符性分析</w:t>
            </w:r>
          </w:p>
          <w:tbl>
            <w:tblPr>
              <w:tblStyle w:val="36"/>
              <w:tblW w:w="50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64"/>
              <w:gridCol w:w="4447"/>
              <w:gridCol w:w="2581"/>
              <w:gridCol w:w="520"/>
            </w:tblGrid>
            <w:tr w14:paraId="12EFF4D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tblHeader/>
                <w:jc w:val="center"/>
              </w:trPr>
              <w:tc>
                <w:tcPr>
                  <w:tcW w:w="169" w:type="pct"/>
                  <w:noWrap w:val="0"/>
                  <w:vAlign w:val="center"/>
                </w:tcPr>
                <w:p w14:paraId="585864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2845" w:type="pct"/>
                  <w:noWrap w:val="0"/>
                  <w:vAlign w:val="center"/>
                </w:tcPr>
                <w:p w14:paraId="79502F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要求</w:t>
                  </w:r>
                </w:p>
              </w:tc>
              <w:tc>
                <w:tcPr>
                  <w:tcW w:w="1651" w:type="pct"/>
                  <w:noWrap w:val="0"/>
                  <w:vAlign w:val="center"/>
                </w:tcPr>
                <w:p w14:paraId="0BF8B2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本项目情况</w:t>
                  </w:r>
                </w:p>
              </w:tc>
              <w:tc>
                <w:tcPr>
                  <w:tcW w:w="333" w:type="pct"/>
                  <w:noWrap w:val="0"/>
                  <w:vAlign w:val="center"/>
                </w:tcPr>
                <w:p w14:paraId="79280AE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相符性</w:t>
                  </w:r>
                </w:p>
              </w:tc>
            </w:tr>
            <w:tr w14:paraId="3B5DAFA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502C83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45" w:type="pct"/>
                  <w:noWrap w:val="0"/>
                  <w:vAlign w:val="center"/>
                </w:tcPr>
                <w:p w14:paraId="05A4280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国务院生态环境主管部门根据水环境质量改善目标和水污染防治要求，确定长江流域各省级行政区域重点污染物排放总量控制指标。长江流域水质超标的水功能区，应当实施更严格的污染物排放总量削减要求。企业事业单位应当按照要求，采取污染物排放总量控制措施。</w:t>
                  </w:r>
                </w:p>
              </w:tc>
              <w:tc>
                <w:tcPr>
                  <w:tcW w:w="1651" w:type="pct"/>
                  <w:noWrap w:val="0"/>
                  <w:vAlign w:val="center"/>
                </w:tcPr>
                <w:p w14:paraId="427B4BA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项目污染物排放可满足总量控制要求</w:t>
                  </w:r>
                  <w:r>
                    <w:rPr>
                      <w:rFonts w:hint="eastAsia" w:eastAsia="宋体" w:cs="Times New Roman"/>
                      <w:color w:val="000000" w:themeColor="text1"/>
                      <w:sz w:val="21"/>
                      <w:szCs w:val="21"/>
                      <w:lang w:eastAsia="zh-CN"/>
                      <w14:textFill>
                        <w14:solidFill>
                          <w14:schemeClr w14:val="tx1"/>
                        </w14:solidFill>
                      </w14:textFill>
                    </w:rPr>
                    <w:t>。</w:t>
                  </w:r>
                </w:p>
              </w:tc>
              <w:tc>
                <w:tcPr>
                  <w:tcW w:w="333" w:type="pct"/>
                  <w:noWrap w:val="0"/>
                  <w:vAlign w:val="center"/>
                </w:tcPr>
                <w:p w14:paraId="180BC7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6675E1B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3BE772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2845" w:type="pct"/>
                  <w:noWrap w:val="0"/>
                  <w:vAlign w:val="center"/>
                </w:tcPr>
                <w:p w14:paraId="75C5BD7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禁止在长江干支流岸线一公里范围内新建、扩建化工园区和化工项目。</w:t>
                  </w:r>
                </w:p>
              </w:tc>
              <w:tc>
                <w:tcPr>
                  <w:tcW w:w="1651" w:type="pct"/>
                  <w:vMerge w:val="restart"/>
                  <w:noWrap w:val="0"/>
                  <w:vAlign w:val="center"/>
                </w:tcPr>
                <w:p w14:paraId="6652713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本项目不在长江干支流1km范围内，且不属于化工项目、不涉及尾矿库</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c>
                <w:tcPr>
                  <w:tcW w:w="333" w:type="pct"/>
                  <w:noWrap w:val="0"/>
                  <w:vAlign w:val="center"/>
                </w:tcPr>
                <w:p w14:paraId="2839DA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1571E20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6BE678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2845" w:type="pct"/>
                  <w:noWrap w:val="0"/>
                  <w:vAlign w:val="center"/>
                </w:tcPr>
                <w:p w14:paraId="6F35B81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禁止在长江干流岸线三公里范围内和重要支流岸线一公里范围内新建、改建、扩建尾矿库；但是以提升安全、生态环境保护水平为目的的改建除外。</w:t>
                  </w:r>
                </w:p>
              </w:tc>
              <w:tc>
                <w:tcPr>
                  <w:tcW w:w="1651" w:type="pct"/>
                  <w:vMerge w:val="continue"/>
                  <w:noWrap w:val="0"/>
                  <w:vAlign w:val="center"/>
                </w:tcPr>
                <w:p w14:paraId="0401A313">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33" w:type="pct"/>
                  <w:noWrap w:val="0"/>
                  <w:vAlign w:val="center"/>
                </w:tcPr>
                <w:p w14:paraId="5E8157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7E36C47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54C96B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2845" w:type="pct"/>
                  <w:noWrap w:val="0"/>
                  <w:vAlign w:val="center"/>
                </w:tcPr>
                <w:p w14:paraId="4DC2E568">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止船舶在划定的禁止航行区域内航行。因国家发展战略和国计民生需要，在水生生物重要栖息地禁止航行区域内航行的，应当由国务院交通运输主管部门商国务院农业农村主管部门同意，并应当采取必要措施，减少对重要水生生物的干扰</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c>
                <w:tcPr>
                  <w:tcW w:w="1651" w:type="pct"/>
                  <w:noWrap w:val="0"/>
                  <w:vAlign w:val="center"/>
                </w:tcPr>
                <w:p w14:paraId="1943753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本项目不涉及航道航行</w:t>
                  </w:r>
                  <w:r>
                    <w:rPr>
                      <w:rFonts w:hint="eastAsia" w:eastAsia="宋体" w:cs="Times New Roman"/>
                      <w:color w:val="000000" w:themeColor="text1"/>
                      <w:sz w:val="21"/>
                      <w:szCs w:val="21"/>
                      <w:lang w:eastAsia="zh-CN"/>
                      <w14:textFill>
                        <w14:solidFill>
                          <w14:schemeClr w14:val="tx1"/>
                        </w14:solidFill>
                      </w14:textFill>
                    </w:rPr>
                    <w:t>。</w:t>
                  </w:r>
                </w:p>
              </w:tc>
              <w:tc>
                <w:tcPr>
                  <w:tcW w:w="333" w:type="pct"/>
                  <w:noWrap w:val="0"/>
                  <w:vAlign w:val="center"/>
                </w:tcPr>
                <w:p w14:paraId="59A169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6CA858E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69E7BA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2845" w:type="pct"/>
                  <w:noWrap w:val="0"/>
                  <w:vAlign w:val="center"/>
                </w:tcPr>
                <w:p w14:paraId="7011A6B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严格限制在长江流域生态保护红线、自然保护地、水生生物重要栖息地水域实施航道整治工程；确需整治的，应当经科学论证，并依法办理相关手续</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c>
                <w:tcPr>
                  <w:tcW w:w="1651" w:type="pct"/>
                  <w:noWrap w:val="0"/>
                  <w:vAlign w:val="center"/>
                </w:tcPr>
                <w:p w14:paraId="6139B3C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本项目不属于航道整治工程</w:t>
                  </w:r>
                  <w:r>
                    <w:rPr>
                      <w:rFonts w:hint="eastAsia" w:eastAsia="宋体" w:cs="Times New Roman"/>
                      <w:color w:val="000000" w:themeColor="text1"/>
                      <w:sz w:val="21"/>
                      <w:szCs w:val="21"/>
                      <w:lang w:eastAsia="zh-CN"/>
                      <w14:textFill>
                        <w14:solidFill>
                          <w14:schemeClr w14:val="tx1"/>
                        </w14:solidFill>
                      </w14:textFill>
                    </w:rPr>
                    <w:t>。</w:t>
                  </w:r>
                </w:p>
              </w:tc>
              <w:tc>
                <w:tcPr>
                  <w:tcW w:w="333" w:type="pct"/>
                  <w:noWrap w:val="0"/>
                  <w:vAlign w:val="center"/>
                </w:tcPr>
                <w:p w14:paraId="40DF58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2A61B5F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68A72E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2845" w:type="pct"/>
                  <w:noWrap w:val="0"/>
                  <w:vAlign w:val="center"/>
                </w:tcPr>
                <w:p w14:paraId="284E8D4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禁止在长江流域河湖管理范围内倾倒、填埋、堆放、弃置、处理固体废物。长江流域县级以上地方人民政府应当加强对固体废物非法转移和倾倒的联防联控</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c>
                <w:tcPr>
                  <w:tcW w:w="1651" w:type="pct"/>
                  <w:noWrap w:val="0"/>
                  <w:vAlign w:val="center"/>
                </w:tcPr>
                <w:p w14:paraId="3FBECAB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本项目不在长江流域河湖管理范围内，固废均可妥善处置，不随意倾倒、填埋、弃置</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c>
                <w:tcPr>
                  <w:tcW w:w="333" w:type="pct"/>
                  <w:noWrap w:val="0"/>
                  <w:vAlign w:val="center"/>
                </w:tcPr>
                <w:p w14:paraId="3AAECB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0DA1FF1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0E5787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2845" w:type="pct"/>
                  <w:noWrap w:val="0"/>
                  <w:vAlign w:val="center"/>
                </w:tcPr>
                <w:p w14:paraId="70C9C0F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禁止在长江流域水上运输剧毒化学品和国家规定禁止通过内河运输的其他危险化学品。长江流域县级以上地方人民政府交通运输主管部门会同本级人民政府有关部门加强对长江流域危险化学品运输的管控。</w:t>
                  </w:r>
                </w:p>
              </w:tc>
              <w:tc>
                <w:tcPr>
                  <w:tcW w:w="1651" w:type="pct"/>
                  <w:noWrap w:val="0"/>
                  <w:vAlign w:val="center"/>
                </w:tcPr>
                <w:p w14:paraId="2FC4C91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本项目不涉及水上运输危险化学品和剧毒化学品。</w:t>
                  </w:r>
                </w:p>
              </w:tc>
              <w:tc>
                <w:tcPr>
                  <w:tcW w:w="333" w:type="pct"/>
                  <w:noWrap w:val="0"/>
                  <w:vAlign w:val="center"/>
                </w:tcPr>
                <w:p w14:paraId="5F4358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0C4D1DF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3296EA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2845" w:type="pct"/>
                  <w:noWrap w:val="0"/>
                  <w:vAlign w:val="center"/>
                </w:tcPr>
                <w:p w14:paraId="44A6188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禁止在长江流域水土流失严重、生态脆弱的区域开展可能造成水土流失的生产建设活动。确因国家发展战略和国计民生需要建设的，应当经科学论证，并依法办理审批手续。</w:t>
                  </w:r>
                </w:p>
              </w:tc>
              <w:tc>
                <w:tcPr>
                  <w:tcW w:w="1651" w:type="pct"/>
                  <w:noWrap w:val="0"/>
                  <w:vAlign w:val="center"/>
                </w:tcPr>
                <w:p w14:paraId="7719063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本项目位于</w:t>
                  </w:r>
                  <w:r>
                    <w:rPr>
                      <w:rFonts w:hint="default" w:ascii="Times New Roman" w:hAnsi="Times New Roman" w:eastAsia="宋体" w:cs="Times New Roman"/>
                      <w:color w:val="000000" w:themeColor="text1"/>
                      <w:sz w:val="21"/>
                      <w:szCs w:val="21"/>
                      <w:lang w:eastAsia="zh-CN"/>
                      <w14:textFill>
                        <w14:solidFill>
                          <w14:schemeClr w14:val="tx1"/>
                        </w14:solidFill>
                      </w14:textFill>
                    </w:rPr>
                    <w:t>高安市石脑镇城西工业园内</w:t>
                  </w:r>
                  <w:r>
                    <w:rPr>
                      <w:rFonts w:hint="default" w:ascii="Times New Roman" w:hAnsi="Times New Roman" w:eastAsia="宋体" w:cs="Times New Roman"/>
                      <w:color w:val="000000" w:themeColor="text1"/>
                      <w:sz w:val="21"/>
                      <w:szCs w:val="21"/>
                      <w14:textFill>
                        <w14:solidFill>
                          <w14:schemeClr w14:val="tx1"/>
                        </w14:solidFill>
                      </w14:textFill>
                    </w:rPr>
                    <w:t>，不在长江流域水土流失严重、生态脆弱的区域</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c>
                <w:tcPr>
                  <w:tcW w:w="333" w:type="pct"/>
                  <w:noWrap w:val="0"/>
                  <w:vAlign w:val="center"/>
                </w:tcPr>
                <w:p w14:paraId="1CC154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0194587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118906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w:t>
                  </w:r>
                </w:p>
              </w:tc>
              <w:tc>
                <w:tcPr>
                  <w:tcW w:w="2845" w:type="pct"/>
                  <w:noWrap w:val="0"/>
                  <w:vAlign w:val="center"/>
                </w:tcPr>
                <w:p w14:paraId="1C72CA5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长江流域县级以上地方人民政府应当推动钢铁、石油、化工、有色金属、建材、船舶等产业升级改造，提升技术装备水平；推动造纸、制革、电镀、印染、有色金属、农药、氮肥、焦化、原料药制造等企业实施清洁化改造。企业应当通过技术创新减少资源消耗和污染物排放。</w:t>
                  </w:r>
                </w:p>
              </w:tc>
              <w:tc>
                <w:tcPr>
                  <w:tcW w:w="1651" w:type="pct"/>
                  <w:noWrap w:val="0"/>
                  <w:vAlign w:val="center"/>
                </w:tcPr>
                <w:p w14:paraId="7AC1829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本项目不属于钢铁、石油、化工、有色金属、建材、船舶等行业</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tc>
              <w:tc>
                <w:tcPr>
                  <w:tcW w:w="333" w:type="pct"/>
                  <w:noWrap w:val="0"/>
                  <w:vAlign w:val="center"/>
                </w:tcPr>
                <w:p w14:paraId="4EC056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bl>
          <w:p w14:paraId="55513A91">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0" w:firstLineChars="0"/>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六、</w:t>
            </w:r>
            <w:r>
              <w:rPr>
                <w:rFonts w:hint="default" w:ascii="Times New Roman" w:hAnsi="Times New Roman" w:cs="Times New Roman"/>
                <w:b/>
                <w:bCs/>
                <w:color w:val="000000" w:themeColor="text1"/>
                <w:sz w:val="24"/>
                <w:szCs w:val="24"/>
                <w14:textFill>
                  <w14:solidFill>
                    <w14:schemeClr w14:val="tx1"/>
                  </w14:solidFill>
                </w14:textFill>
              </w:rPr>
              <w:t>与《长江经济带发展负面清单指南（试行，2022年版）》 相符性</w:t>
            </w:r>
          </w:p>
          <w:p w14:paraId="22F6F7FF">
            <w:pPr>
              <w:pStyle w:val="57"/>
              <w:rPr>
                <w:rFonts w:hint="default" w:eastAsia="宋体"/>
                <w:color w:val="000000" w:themeColor="text1"/>
                <w:lang w:eastAsia="zh-CN"/>
                <w14:textFill>
                  <w14:solidFill>
                    <w14:schemeClr w14:val="tx1"/>
                  </w14:solidFill>
                </w14:textFill>
              </w:rPr>
            </w:pPr>
            <w:r>
              <w:rPr>
                <w:rFonts w:hint="default" w:eastAsia="宋体"/>
                <w:color w:val="000000" w:themeColor="text1"/>
                <w:lang w:eastAsia="zh-CN"/>
                <w14:textFill>
                  <w14:solidFill>
                    <w14:schemeClr w14:val="tx1"/>
                  </w14:solidFill>
                </w14:textFill>
              </w:rPr>
              <w:t>与《长江经济带发展负面清单指南》 相符性分析</w:t>
            </w:r>
          </w:p>
          <w:tbl>
            <w:tblPr>
              <w:tblStyle w:val="36"/>
              <w:tblW w:w="0" w:type="auto"/>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97"/>
              <w:gridCol w:w="4317"/>
              <w:gridCol w:w="2159"/>
              <w:gridCol w:w="739"/>
            </w:tblGrid>
            <w:tr w14:paraId="52252C8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tblHeader/>
                <w:jc w:val="center"/>
              </w:trPr>
              <w:tc>
                <w:tcPr>
                  <w:tcW w:w="382" w:type="pct"/>
                  <w:noWrap w:val="0"/>
                  <w:vAlign w:val="center"/>
                </w:tcPr>
                <w:p w14:paraId="406B46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2762" w:type="pct"/>
                  <w:noWrap w:val="0"/>
                  <w:vAlign w:val="center"/>
                </w:tcPr>
                <w:p w14:paraId="22387A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要求</w:t>
                  </w:r>
                </w:p>
              </w:tc>
              <w:tc>
                <w:tcPr>
                  <w:tcW w:w="1381" w:type="pct"/>
                  <w:noWrap w:val="0"/>
                  <w:vAlign w:val="center"/>
                </w:tcPr>
                <w:p w14:paraId="698153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本项目情况</w:t>
                  </w:r>
                </w:p>
              </w:tc>
              <w:tc>
                <w:tcPr>
                  <w:tcW w:w="473" w:type="pct"/>
                  <w:noWrap w:val="0"/>
                  <w:vAlign w:val="center"/>
                </w:tcPr>
                <w:p w14:paraId="5CB449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相符性</w:t>
                  </w:r>
                </w:p>
              </w:tc>
            </w:tr>
            <w:tr w14:paraId="24047147">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6569FD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2762" w:type="pct"/>
                  <w:noWrap w:val="0"/>
                  <w:vAlign w:val="center"/>
                </w:tcPr>
                <w:p w14:paraId="4A5B1A57">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禁止建设不符合全国和省级港口布局规划以及港口总体规划的码头项目，禁止建设不符合《长江干线过江通道布局规划》的过长江通道项目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41CCD2D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本项目不属于码头和长江通道项目</w:t>
                  </w:r>
                  <w:r>
                    <w:rPr>
                      <w:rFonts w:hint="eastAsia" w:cs="Times New Roman"/>
                      <w:color w:val="000000" w:themeColor="text1"/>
                      <w:sz w:val="21"/>
                      <w:szCs w:val="21"/>
                      <w:lang w:eastAsia="zh-CN"/>
                      <w14:textFill>
                        <w14:solidFill>
                          <w14:schemeClr w14:val="tx1"/>
                        </w14:solidFill>
                      </w14:textFill>
                    </w:rPr>
                    <w:t>。</w:t>
                  </w:r>
                </w:p>
              </w:tc>
              <w:tc>
                <w:tcPr>
                  <w:tcW w:w="473" w:type="pct"/>
                  <w:noWrap w:val="0"/>
                  <w:vAlign w:val="center"/>
                </w:tcPr>
                <w:p w14:paraId="67F1DE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0022FCD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1A8CBD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2762" w:type="pct"/>
                  <w:noWrap w:val="0"/>
                  <w:vAlign w:val="center"/>
                </w:tcPr>
                <w:p w14:paraId="1F17408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禁止在自然保护区核心区、缓冲区的岸线和河段范围内投资建设旅游和生产经营项目。禁止在风景名胜区核心景区的岸线和河段范围内投资建设与风景名胜资源保护无关的项目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05E8AAD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w:t>
                  </w:r>
                  <w:r>
                    <w:rPr>
                      <w:rFonts w:hint="eastAsia" w:cs="Times New Roman"/>
                      <w:color w:val="000000" w:themeColor="text1"/>
                      <w:sz w:val="21"/>
                      <w:szCs w:val="21"/>
                      <w:lang w:val="en-US" w:eastAsia="zh-CN"/>
                      <w14:textFill>
                        <w14:solidFill>
                          <w14:schemeClr w14:val="tx1"/>
                        </w14:solidFill>
                      </w14:textFill>
                    </w:rPr>
                    <w:t>不在</w:t>
                  </w:r>
                  <w:r>
                    <w:rPr>
                      <w:rFonts w:hint="default" w:ascii="Times New Roman" w:hAnsi="Times New Roman" w:cs="Times New Roman"/>
                      <w:color w:val="000000" w:themeColor="text1"/>
                      <w:sz w:val="21"/>
                      <w:szCs w:val="21"/>
                      <w14:textFill>
                        <w14:solidFill>
                          <w14:schemeClr w14:val="tx1"/>
                        </w14:solidFill>
                      </w14:textFill>
                    </w:rPr>
                    <w:t>自然保护区核心区、缓冲区的岸线和河段范围</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3BC228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352FD32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35138E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p>
              </w:tc>
              <w:tc>
                <w:tcPr>
                  <w:tcW w:w="2762" w:type="pct"/>
                  <w:noWrap w:val="0"/>
                  <w:vAlign w:val="center"/>
                </w:tcPr>
                <w:p w14:paraId="1D209DC1">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118A59D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w:t>
                  </w:r>
                  <w:r>
                    <w:rPr>
                      <w:rFonts w:hint="eastAsia" w:cs="Times New Roman"/>
                      <w:color w:val="000000" w:themeColor="text1"/>
                      <w:sz w:val="21"/>
                      <w:szCs w:val="21"/>
                      <w:lang w:val="en-US" w:eastAsia="zh-CN"/>
                      <w14:textFill>
                        <w14:solidFill>
                          <w14:schemeClr w14:val="tx1"/>
                        </w14:solidFill>
                      </w14:textFill>
                    </w:rPr>
                    <w:t>不在</w:t>
                  </w:r>
                  <w:r>
                    <w:rPr>
                      <w:rFonts w:hint="default" w:ascii="Times New Roman" w:hAnsi="Times New Roman" w:cs="Times New Roman"/>
                      <w:color w:val="000000" w:themeColor="text1"/>
                      <w:sz w:val="21"/>
                      <w:szCs w:val="21"/>
                      <w14:textFill>
                        <w14:solidFill>
                          <w14:schemeClr w14:val="tx1"/>
                        </w14:solidFill>
                      </w14:textFill>
                    </w:rPr>
                    <w:t>饮用水水源一级、二级保护区的岸线和河段范围</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129145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508CA0D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241983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w:t>
                  </w:r>
                </w:p>
              </w:tc>
              <w:tc>
                <w:tcPr>
                  <w:tcW w:w="2762" w:type="pct"/>
                  <w:noWrap w:val="0"/>
                  <w:vAlign w:val="center"/>
                </w:tcPr>
                <w:p w14:paraId="48A2F63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禁止在水产种质资源保护区的岸线和河段范围内新建围湖造田、围海造地或围填海等投资建设项目。禁止在国家湿地公园的岸线和河段范围内挖沙、采矿，以及任何不符合主体功能定位的投资建设项目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37BD183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w:t>
                  </w:r>
                  <w:r>
                    <w:rPr>
                      <w:rFonts w:hint="eastAsia" w:cs="Times New Roman"/>
                      <w:color w:val="000000" w:themeColor="text1"/>
                      <w:sz w:val="21"/>
                      <w:szCs w:val="21"/>
                      <w:lang w:val="en-US" w:eastAsia="zh-CN"/>
                      <w14:textFill>
                        <w14:solidFill>
                          <w14:schemeClr w14:val="tx1"/>
                        </w14:solidFill>
                      </w14:textFill>
                    </w:rPr>
                    <w:t>不在</w:t>
                  </w:r>
                  <w:r>
                    <w:rPr>
                      <w:rFonts w:hint="default" w:ascii="Times New Roman" w:hAnsi="Times New Roman" w:cs="Times New Roman"/>
                      <w:color w:val="000000" w:themeColor="text1"/>
                      <w:sz w:val="21"/>
                      <w:szCs w:val="21"/>
                      <w14:textFill>
                        <w14:solidFill>
                          <w14:schemeClr w14:val="tx1"/>
                        </w14:solidFill>
                      </w14:textFill>
                    </w:rPr>
                    <w:t>水产种质资源保护区的岸线和河段范围，不属于国家湿地公园的岸线和河段范围</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4236B62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38DBE0E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55BF9E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w:t>
                  </w:r>
                </w:p>
              </w:tc>
              <w:tc>
                <w:tcPr>
                  <w:tcW w:w="2762" w:type="pct"/>
                  <w:noWrap w:val="0"/>
                  <w:vAlign w:val="center"/>
                </w:tcPr>
                <w:p w14:paraId="697A9F1E">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2D4F2E9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w:t>
                  </w:r>
                  <w:r>
                    <w:rPr>
                      <w:rFonts w:hint="eastAsia" w:cs="Times New Roman"/>
                      <w:color w:val="000000" w:themeColor="text1"/>
                      <w:sz w:val="21"/>
                      <w:szCs w:val="21"/>
                      <w:lang w:val="en-US" w:eastAsia="zh-CN"/>
                      <w14:textFill>
                        <w14:solidFill>
                          <w14:schemeClr w14:val="tx1"/>
                        </w14:solidFill>
                      </w14:textFill>
                    </w:rPr>
                    <w:t>不在</w:t>
                  </w:r>
                  <w:r>
                    <w:rPr>
                      <w:rFonts w:hint="default" w:ascii="Times New Roman" w:hAnsi="Times New Roman" w:cs="Times New Roman"/>
                      <w:color w:val="000000" w:themeColor="text1"/>
                      <w:sz w:val="21"/>
                      <w:szCs w:val="21"/>
                      <w14:textFill>
                        <w14:solidFill>
                          <w14:schemeClr w14:val="tx1"/>
                        </w14:solidFill>
                      </w14:textFill>
                    </w:rPr>
                    <w:t>于长江流域河湖岸线、《长江岸线保护和开发利用总体规划》划定岸线保护区和保留区内、《全国重要江河湖泊水功能区划》划定的河段及湖泊保护区、保留区</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43C6C2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3FCFD72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7C8C4B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w:t>
                  </w:r>
                </w:p>
              </w:tc>
              <w:tc>
                <w:tcPr>
                  <w:tcW w:w="2762" w:type="pct"/>
                  <w:noWrap w:val="0"/>
                  <w:vAlign w:val="center"/>
                </w:tcPr>
                <w:p w14:paraId="41C029B2">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禁止未经许可在长江</w:t>
                  </w:r>
                  <w:r>
                    <w:rPr>
                      <w:rFonts w:hint="eastAsia" w:ascii="Times New Roman" w:hAnsi="Times New Roman" w:cs="Times New Roman"/>
                      <w:color w:val="000000" w:themeColor="text1"/>
                      <w:sz w:val="21"/>
                      <w:szCs w:val="21"/>
                      <w:lang w:eastAsia="zh-CN"/>
                      <w14:textFill>
                        <w14:solidFill>
                          <w14:schemeClr w14:val="tx1"/>
                        </w14:solidFill>
                      </w14:textFill>
                    </w:rPr>
                    <w:t>干</w:t>
                  </w:r>
                  <w:r>
                    <w:rPr>
                      <w:rFonts w:hint="default" w:ascii="Times New Roman" w:hAnsi="Times New Roman" w:cs="Times New Roman"/>
                      <w:color w:val="000000" w:themeColor="text1"/>
                      <w:sz w:val="21"/>
                      <w:szCs w:val="21"/>
                      <w14:textFill>
                        <w14:solidFill>
                          <w14:schemeClr w14:val="tx1"/>
                        </w14:solidFill>
                      </w14:textFill>
                    </w:rPr>
                    <w:t>支流及湖泊新设、改设或扩大排污口</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63D54435">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本项目生活</w:t>
                  </w:r>
                  <w:r>
                    <w:rPr>
                      <w:rFonts w:hint="eastAsia" w:ascii="Times New Roman" w:hAnsi="Times New Roman" w:cs="Times New Roman"/>
                      <w:color w:val="000000" w:themeColor="text1"/>
                      <w:sz w:val="21"/>
                      <w:szCs w:val="21"/>
                      <w:lang w:val="en-US" w:eastAsia="zh-CN"/>
                      <w14:textFill>
                        <w14:solidFill>
                          <w14:schemeClr w14:val="tx1"/>
                        </w14:solidFill>
                      </w14:textFill>
                    </w:rPr>
                    <w:t>污</w:t>
                  </w:r>
                  <w:r>
                    <w:rPr>
                      <w:rFonts w:hint="default" w:ascii="Times New Roman" w:hAnsi="Times New Roman" w:cs="Times New Roman"/>
                      <w:color w:val="000000" w:themeColor="text1"/>
                      <w:sz w:val="21"/>
                      <w:szCs w:val="21"/>
                      <w14:textFill>
                        <w14:solidFill>
                          <w14:schemeClr w14:val="tx1"/>
                        </w14:solidFill>
                      </w14:textFill>
                    </w:rPr>
                    <w:t>水</w:t>
                  </w:r>
                  <w:r>
                    <w:rPr>
                      <w:rFonts w:hint="eastAsia"/>
                      <w:color w:val="000000" w:themeColor="text1"/>
                      <w:sz w:val="21"/>
                      <w:szCs w:val="21"/>
                      <w:highlight w:val="none"/>
                      <w:lang w:val="en-US" w:eastAsia="zh-CN"/>
                      <w14:textFill>
                        <w14:solidFill>
                          <w14:schemeClr w14:val="tx1"/>
                        </w14:solidFill>
                      </w14:textFill>
                    </w:rPr>
                    <w:t>经厂区化粪池处理后由园区污水管网</w:t>
                  </w:r>
                  <w:r>
                    <w:rPr>
                      <w:rFonts w:hint="default"/>
                      <w:color w:val="000000" w:themeColor="text1"/>
                      <w:sz w:val="21"/>
                      <w:szCs w:val="21"/>
                      <w:highlight w:val="none"/>
                      <w14:textFill>
                        <w14:solidFill>
                          <w14:schemeClr w14:val="tx1"/>
                        </w14:solidFill>
                      </w14:textFill>
                    </w:rPr>
                    <w:t>排入</w:t>
                  </w:r>
                  <w:r>
                    <w:rPr>
                      <w:rFonts w:hint="eastAsia"/>
                      <w:bCs/>
                      <w:color w:val="000000" w:themeColor="text1"/>
                      <w:sz w:val="21"/>
                      <w:szCs w:val="21"/>
                      <w:lang w:val="en-US" w:eastAsia="zh-CN"/>
                      <w14:textFill>
                        <w14:solidFill>
                          <w14:schemeClr w14:val="tx1"/>
                        </w14:solidFill>
                      </w14:textFill>
                    </w:rPr>
                    <w:t>高安市工业园污水处理厂</w:t>
                  </w:r>
                  <w:r>
                    <w:rPr>
                      <w:rFonts w:hint="eastAsia"/>
                      <w:bCs/>
                      <w:color w:val="000000" w:themeColor="text1"/>
                      <w:sz w:val="21"/>
                      <w:szCs w:val="21"/>
                      <w:highlight w:val="none"/>
                      <w:lang w:val="en-US" w:eastAsia="zh-CN"/>
                      <w14:textFill>
                        <w14:solidFill>
                          <w14:schemeClr w14:val="tx1"/>
                        </w14:solidFill>
                      </w14:textFill>
                    </w:rPr>
                    <w:t>处理</w:t>
                  </w:r>
                  <w:r>
                    <w:rPr>
                      <w:rFonts w:hint="default" w:ascii="Times New Roman" w:hAnsi="Times New Roman" w:cs="Times New Roman"/>
                      <w:color w:val="000000" w:themeColor="text1"/>
                      <w:sz w:val="21"/>
                      <w:szCs w:val="21"/>
                      <w14:textFill>
                        <w14:solidFill>
                          <w14:schemeClr w14:val="tx1"/>
                        </w14:solidFill>
                      </w14:textFill>
                    </w:rPr>
                    <w:t>，不直接排入自然水体，不涉及新设、改设或扩大排污口</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08ADA9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71CB1F1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572CE1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w:t>
                  </w:r>
                </w:p>
              </w:tc>
              <w:tc>
                <w:tcPr>
                  <w:tcW w:w="2762" w:type="pct"/>
                  <w:noWrap w:val="0"/>
                  <w:vAlign w:val="center"/>
                </w:tcPr>
                <w:p w14:paraId="3ACC41C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禁止在“一江一口两湖七河”和 332 个水生生物保护区开展生产性捕捞</w:t>
                  </w:r>
                </w:p>
              </w:tc>
              <w:tc>
                <w:tcPr>
                  <w:tcW w:w="1381" w:type="pct"/>
                  <w:noWrap w:val="0"/>
                  <w:vAlign w:val="center"/>
                </w:tcPr>
                <w:p w14:paraId="7FEE091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本项目不涉及捕捞</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387376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439C2FF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06A446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w:t>
                  </w:r>
                </w:p>
              </w:tc>
              <w:tc>
                <w:tcPr>
                  <w:tcW w:w="2762" w:type="pct"/>
                  <w:noWrap w:val="0"/>
                  <w:vAlign w:val="center"/>
                </w:tcPr>
                <w:p w14:paraId="478C91E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5857B5C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本项目不属于化工、尾矿、冶炼渣库和磷石膏库项目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216085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1D4DB12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568160B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w:t>
                  </w:r>
                </w:p>
              </w:tc>
              <w:tc>
                <w:tcPr>
                  <w:tcW w:w="2762" w:type="pct"/>
                  <w:noWrap w:val="0"/>
                  <w:vAlign w:val="center"/>
                </w:tcPr>
                <w:p w14:paraId="04584EBD">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禁止在合规园区外新建、扩建钢铁、石化、化工、焦化、建材、有色、制浆造纸等高污染项目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3AAD3F2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本项目不属于钢铁、石化、化工、焦化、建材、有色、制浆造纸等高污染项目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506726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406EFC8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6F5329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2762" w:type="pct"/>
                  <w:noWrap w:val="0"/>
                  <w:vAlign w:val="center"/>
                </w:tcPr>
                <w:p w14:paraId="4C2C03DB">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禁止新建、扩建不符合国家石化、现代煤化工等产业布局规划的项目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18366E3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本项目不属于石化、现代煤化工项目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4B017E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77F09A21">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727B68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2762" w:type="pct"/>
                  <w:noWrap w:val="0"/>
                  <w:vAlign w:val="center"/>
                </w:tcPr>
                <w:p w14:paraId="65C7380C">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381" w:type="pct"/>
                  <w:noWrap w:val="0"/>
                  <w:vAlign w:val="center"/>
                </w:tcPr>
                <w:p w14:paraId="0DFC3DA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本项目不属于禁止的落后产能项目、过剩产能行业的项目、高耗能高排放项目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752471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bl>
          <w:p w14:paraId="64793DBB">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0" w:firstLineChars="0"/>
              <w:textAlignment w:val="auto"/>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七、</w:t>
            </w:r>
            <w:r>
              <w:rPr>
                <w:rFonts w:hint="default" w:ascii="Times New Roman" w:hAnsi="Times New Roman" w:cs="Times New Roman"/>
                <w:b/>
                <w:bCs/>
                <w:color w:val="000000" w:themeColor="text1"/>
                <w:sz w:val="24"/>
                <w:szCs w:val="24"/>
                <w14:textFill>
                  <w14:solidFill>
                    <w14:schemeClr w14:val="tx1"/>
                  </w14:solidFill>
                </w14:textFill>
              </w:rPr>
              <w:t>与《江西省长江经济带发展负面清单实施细则（试行，2022版）》（赣长江办〔2022〕7号）的相符性分析</w:t>
            </w:r>
          </w:p>
          <w:p w14:paraId="0BF46099">
            <w:pPr>
              <w:pStyle w:val="57"/>
              <w:rPr>
                <w:rFonts w:hint="default" w:eastAsia="宋体"/>
                <w:color w:val="000000" w:themeColor="text1"/>
                <w:lang w:eastAsia="zh-CN"/>
                <w14:textFill>
                  <w14:solidFill>
                    <w14:schemeClr w14:val="tx1"/>
                  </w14:solidFill>
                </w14:textFill>
              </w:rPr>
            </w:pPr>
            <w:r>
              <w:rPr>
                <w:rFonts w:hint="default" w:eastAsia="宋体"/>
                <w:color w:val="000000" w:themeColor="text1"/>
                <w:lang w:eastAsia="zh-CN"/>
                <w14:textFill>
                  <w14:solidFill>
                    <w14:schemeClr w14:val="tx1"/>
                  </w14:solidFill>
                </w14:textFill>
              </w:rPr>
              <w:t>与《江西省长江经济带发展负面清单实施细则》相符性分析一览表</w:t>
            </w:r>
          </w:p>
          <w:tbl>
            <w:tblPr>
              <w:tblStyle w:val="36"/>
              <w:tblW w:w="50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97"/>
              <w:gridCol w:w="4009"/>
              <w:gridCol w:w="2466"/>
              <w:gridCol w:w="740"/>
            </w:tblGrid>
            <w:tr w14:paraId="2591B4A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tblHeader/>
                <w:jc w:val="center"/>
              </w:trPr>
              <w:tc>
                <w:tcPr>
                  <w:tcW w:w="382" w:type="pct"/>
                  <w:noWrap w:val="0"/>
                  <w:vAlign w:val="center"/>
                </w:tcPr>
                <w:p w14:paraId="5ABAEB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2565" w:type="pct"/>
                  <w:noWrap w:val="0"/>
                  <w:vAlign w:val="center"/>
                </w:tcPr>
                <w:p w14:paraId="4BBD08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要求</w:t>
                  </w:r>
                </w:p>
              </w:tc>
              <w:tc>
                <w:tcPr>
                  <w:tcW w:w="1578" w:type="pct"/>
                  <w:noWrap w:val="0"/>
                  <w:vAlign w:val="center"/>
                </w:tcPr>
                <w:p w14:paraId="5400AE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本项目情况</w:t>
                  </w:r>
                </w:p>
              </w:tc>
              <w:tc>
                <w:tcPr>
                  <w:tcW w:w="473" w:type="pct"/>
                  <w:noWrap w:val="0"/>
                  <w:vAlign w:val="center"/>
                </w:tcPr>
                <w:p w14:paraId="18B9E9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相符性</w:t>
                  </w:r>
                </w:p>
              </w:tc>
            </w:tr>
            <w:tr w14:paraId="0140797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505578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2565" w:type="pct"/>
                  <w:noWrap w:val="0"/>
                  <w:vAlign w:val="center"/>
                </w:tcPr>
                <w:p w14:paraId="5FBD821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禁止建设不符合全国和省级港口布局规划以及港口总体规划的码头项目，禁止建设不符合《长江干线过江通道布局规划》的过长江通道项目</w:t>
                  </w: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578" w:type="pct"/>
                  <w:noWrap w:val="0"/>
                  <w:vAlign w:val="center"/>
                </w:tcPr>
                <w:p w14:paraId="022EDEDF">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项目为</w:t>
                  </w:r>
                  <w:r>
                    <w:rPr>
                      <w:rFonts w:hint="default" w:ascii="Times New Roman" w:hAnsi="Times New Roman" w:cs="Times New Roman"/>
                      <w:color w:val="000000" w:themeColor="text1"/>
                      <w:sz w:val="21"/>
                      <w:szCs w:val="21"/>
                      <w:lang w:val="en-US" w:eastAsia="zh-CN"/>
                      <w14:textFill>
                        <w14:solidFill>
                          <w14:schemeClr w14:val="tx1"/>
                        </w14:solidFill>
                      </w14:textFill>
                    </w:rPr>
                    <w:t>C2439其他工艺美术及礼仪用品制造</w:t>
                  </w:r>
                  <w:r>
                    <w:rPr>
                      <w:rFonts w:hint="eastAsia"/>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本项目不属于码头、过长江通道项目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1209FA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17B662A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03BCD7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2565" w:type="pct"/>
                  <w:noWrap w:val="0"/>
                  <w:vAlign w:val="center"/>
                </w:tcPr>
                <w:p w14:paraId="2E5F923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禁止在自然保护区核心区、缓冲区的岸线和河段范围内投资建设旅游和生产经营项目。</w:t>
                  </w:r>
                </w:p>
              </w:tc>
              <w:tc>
                <w:tcPr>
                  <w:tcW w:w="1578" w:type="pct"/>
                  <w:vMerge w:val="restart"/>
                  <w:noWrap w:val="0"/>
                  <w:vAlign w:val="center"/>
                </w:tcPr>
                <w:p w14:paraId="3B503FC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项目位于</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江西高安高新技术产业园区新世纪产业园</w:t>
                  </w:r>
                  <w:r>
                    <w:rPr>
                      <w:rFonts w:hint="eastAsia" w:ascii="Times New Roman" w:hAnsi="Times New Roman" w:eastAsia="宋体" w:cs="Times New Roman"/>
                      <w:color w:val="000000" w:themeColor="text1"/>
                      <w:sz w:val="21"/>
                      <w:szCs w:val="21"/>
                      <w:lang w:eastAsia="zh-CN"/>
                      <w14:textFill>
                        <w14:solidFill>
                          <w14:schemeClr w14:val="tx1"/>
                        </w14:solidFill>
                      </w14:textFill>
                    </w:rPr>
                    <w:t>内</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占地范围不涉及自然保护区，风景名胜区，饮用水水源一、二级保护区，水产种质资源保护区，国家湿地公园，长江流域河湖岸线，河段及湖泊等区域及其河岸和保留区</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4D9521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2BCE884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494D6F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p>
              </w:tc>
              <w:tc>
                <w:tcPr>
                  <w:tcW w:w="2565" w:type="pct"/>
                  <w:noWrap w:val="0"/>
                  <w:vAlign w:val="center"/>
                </w:tcPr>
                <w:p w14:paraId="6F5B78D2">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风景名胜区核心景区的岸线和河段范围内开展以下行为：（一）开山、采石、开矿、开荒、修坟立碑等破坏景观、植被和地形地貌的活动。（二）修建储存爆炸性、易燃性、放射性、毒害性、腐蚀性物品的设施。（三）违反风景名胜区规划，建设与风景名胜资源保护无关的设施。</w:t>
                  </w:r>
                </w:p>
              </w:tc>
              <w:tc>
                <w:tcPr>
                  <w:tcW w:w="1578" w:type="pct"/>
                  <w:vMerge w:val="continue"/>
                  <w:noWrap w:val="0"/>
                  <w:vAlign w:val="center"/>
                </w:tcPr>
                <w:p w14:paraId="7AE3D7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73" w:type="pct"/>
                  <w:noWrap w:val="0"/>
                  <w:vAlign w:val="center"/>
                </w:tcPr>
                <w:p w14:paraId="666827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7F45EBF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676136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w:t>
                  </w:r>
                </w:p>
              </w:tc>
              <w:tc>
                <w:tcPr>
                  <w:tcW w:w="2565" w:type="pct"/>
                  <w:noWrap w:val="0"/>
                  <w:vAlign w:val="center"/>
                </w:tcPr>
                <w:p w14:paraId="466579D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饮用水水源一级保护区的岸线和河段范围内开展以下行为：（一）新建、改建、扩建与供水设施和保护水源无关的建设项目；已建成的与供水设施和保护水源无关的建设项目，由县级以上人民政府责令拆除或者关闭。（二）禁止在饮用水水源一级保护区内从事网箱养殖、旅游、游泳、垂钓或者其他可能污染饮用水水体的活动。</w:t>
                  </w:r>
                </w:p>
              </w:tc>
              <w:tc>
                <w:tcPr>
                  <w:tcW w:w="1578" w:type="pct"/>
                  <w:vMerge w:val="continue"/>
                  <w:noWrap w:val="0"/>
                  <w:vAlign w:val="center"/>
                </w:tcPr>
                <w:p w14:paraId="6ADA6D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73" w:type="pct"/>
                  <w:noWrap w:val="0"/>
                  <w:vAlign w:val="center"/>
                </w:tcPr>
                <w:p w14:paraId="77B748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122553C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0C8190A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5</w:t>
                  </w:r>
                </w:p>
              </w:tc>
              <w:tc>
                <w:tcPr>
                  <w:tcW w:w="2565" w:type="pct"/>
                  <w:noWrap w:val="0"/>
                  <w:vAlign w:val="center"/>
                </w:tcPr>
                <w:p w14:paraId="7E23828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饮用水水源二级保护区的岸线和河段范围内开展以下行为：（一）新建、改建、扩建排放污染物的建设项目；已建成的排放污染物的建设项目，由县级以上人民政府责令拆除或者关闭。（二）在饮用水水源二级保护区内从事网箱养殖、旅游等活动的，应当按照规定采取措施，防止污染饮用水体。</w:t>
                  </w:r>
                </w:p>
              </w:tc>
              <w:tc>
                <w:tcPr>
                  <w:tcW w:w="1578" w:type="pct"/>
                  <w:vMerge w:val="continue"/>
                  <w:noWrap w:val="0"/>
                  <w:vAlign w:val="center"/>
                </w:tcPr>
                <w:p w14:paraId="5E07D5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73" w:type="pct"/>
                  <w:noWrap w:val="0"/>
                  <w:vAlign w:val="center"/>
                </w:tcPr>
                <w:p w14:paraId="1B1784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5DE471A5">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7B2C24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6</w:t>
                  </w:r>
                </w:p>
              </w:tc>
              <w:tc>
                <w:tcPr>
                  <w:tcW w:w="2565" w:type="pct"/>
                  <w:noWrap w:val="0"/>
                  <w:vAlign w:val="center"/>
                </w:tcPr>
                <w:p w14:paraId="6E9E52B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水产种质资源保护区的岸线和河段范围内新建围湖（河）造田（地）等投资建设项目。单位和个人在水产种质资源保护区内从事水生生物资源调查、科学研究、教学实习、参观游览、影视拍摄等活动，应当遵守有关法律法规和保护区管理制度，不得损害水产种质资源及其生存环</w:t>
                  </w:r>
                </w:p>
                <w:p w14:paraId="7839342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境。</w:t>
                  </w:r>
                </w:p>
              </w:tc>
              <w:tc>
                <w:tcPr>
                  <w:tcW w:w="1578" w:type="pct"/>
                  <w:vMerge w:val="continue"/>
                  <w:noWrap w:val="0"/>
                  <w:vAlign w:val="center"/>
                </w:tcPr>
                <w:p w14:paraId="4997FD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73" w:type="pct"/>
                  <w:noWrap w:val="0"/>
                  <w:vAlign w:val="center"/>
                </w:tcPr>
                <w:p w14:paraId="277EBB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4002378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7A0FC4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7</w:t>
                  </w:r>
                </w:p>
              </w:tc>
              <w:tc>
                <w:tcPr>
                  <w:tcW w:w="2565" w:type="pct"/>
                  <w:noWrap w:val="0"/>
                  <w:vAlign w:val="center"/>
                </w:tcPr>
                <w:p w14:paraId="3CAF1FCD">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除国家规定的外，禁止在国家湿地公园的岸线和河段范围内挖沙、采矿以及任何不符合主体功能定位的投资建设项目</w:t>
                  </w:r>
                </w:p>
              </w:tc>
              <w:tc>
                <w:tcPr>
                  <w:tcW w:w="1578" w:type="pct"/>
                  <w:vMerge w:val="continue"/>
                  <w:noWrap w:val="0"/>
                  <w:vAlign w:val="center"/>
                </w:tcPr>
                <w:p w14:paraId="65E46A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73" w:type="pct"/>
                  <w:noWrap w:val="0"/>
                  <w:vAlign w:val="center"/>
                </w:tcPr>
                <w:p w14:paraId="7A0A88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02AE4AC4">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64581E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w:t>
                  </w:r>
                </w:p>
              </w:tc>
              <w:tc>
                <w:tcPr>
                  <w:tcW w:w="2565" w:type="pct"/>
                  <w:noWrap w:val="0"/>
                  <w:vAlign w:val="center"/>
                </w:tcPr>
                <w:p w14:paraId="137D639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1578" w:type="pct"/>
                  <w:vMerge w:val="continue"/>
                  <w:noWrap w:val="0"/>
                  <w:vAlign w:val="center"/>
                </w:tcPr>
                <w:p w14:paraId="57ADEE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73" w:type="pct"/>
                  <w:noWrap w:val="0"/>
                  <w:vAlign w:val="center"/>
                </w:tcPr>
                <w:p w14:paraId="0793FE6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04F34C1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7E5101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9</w:t>
                  </w:r>
                </w:p>
              </w:tc>
              <w:tc>
                <w:tcPr>
                  <w:tcW w:w="2565" w:type="pct"/>
                  <w:noWrap w:val="0"/>
                  <w:vAlign w:val="center"/>
                </w:tcPr>
                <w:p w14:paraId="5F2541DF">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禁止在《全国重要江河湖泊水功能区划》划定的河段及湖泊保护区、保留区内投资建设不利于水资源及自然生态保护的项目。</w:t>
                  </w:r>
                </w:p>
              </w:tc>
              <w:tc>
                <w:tcPr>
                  <w:tcW w:w="1578" w:type="pct"/>
                  <w:vMerge w:val="continue"/>
                  <w:noWrap w:val="0"/>
                  <w:vAlign w:val="center"/>
                </w:tcPr>
                <w:p w14:paraId="4B8292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473" w:type="pct"/>
                  <w:noWrap w:val="0"/>
                  <w:vAlign w:val="center"/>
                </w:tcPr>
                <w:p w14:paraId="2F2B70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4EF362CB">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6D8097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w:t>
                  </w:r>
                </w:p>
              </w:tc>
              <w:tc>
                <w:tcPr>
                  <w:tcW w:w="2565" w:type="pct"/>
                  <w:noWrap w:val="0"/>
                  <w:vAlign w:val="center"/>
                </w:tcPr>
                <w:p w14:paraId="763AFDB9">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禁止未经许可在长江干支流及湖泊新设、改设或扩大排污口。</w:t>
                  </w:r>
                </w:p>
              </w:tc>
              <w:tc>
                <w:tcPr>
                  <w:tcW w:w="1578" w:type="pct"/>
                  <w:noWrap w:val="0"/>
                  <w:vAlign w:val="center"/>
                </w:tcPr>
                <w:p w14:paraId="0BA9DE4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项目生活</w:t>
                  </w:r>
                  <w:r>
                    <w:rPr>
                      <w:rFonts w:hint="eastAsia" w:ascii="Times New Roman" w:hAnsi="Times New Roman" w:cs="Times New Roman"/>
                      <w:color w:val="000000" w:themeColor="text1"/>
                      <w:sz w:val="21"/>
                      <w:szCs w:val="21"/>
                      <w:lang w:val="en-US" w:eastAsia="zh-CN"/>
                      <w14:textFill>
                        <w14:solidFill>
                          <w14:schemeClr w14:val="tx1"/>
                        </w14:solidFill>
                      </w14:textFill>
                    </w:rPr>
                    <w:t>污</w:t>
                  </w:r>
                  <w:r>
                    <w:rPr>
                      <w:rFonts w:hint="default" w:ascii="Times New Roman" w:hAnsi="Times New Roman" w:cs="Times New Roman"/>
                      <w:color w:val="000000" w:themeColor="text1"/>
                      <w:sz w:val="21"/>
                      <w:szCs w:val="21"/>
                      <w14:textFill>
                        <w14:solidFill>
                          <w14:schemeClr w14:val="tx1"/>
                        </w14:solidFill>
                      </w14:textFill>
                    </w:rPr>
                    <w:t>水</w:t>
                  </w:r>
                  <w:r>
                    <w:rPr>
                      <w:rFonts w:hint="eastAsia"/>
                      <w:color w:val="000000" w:themeColor="text1"/>
                      <w:sz w:val="21"/>
                      <w:szCs w:val="21"/>
                      <w:highlight w:val="none"/>
                      <w:lang w:val="en-US" w:eastAsia="zh-CN"/>
                      <w14:textFill>
                        <w14:solidFill>
                          <w14:schemeClr w14:val="tx1"/>
                        </w14:solidFill>
                      </w14:textFill>
                    </w:rPr>
                    <w:t>经厂区化粪池处理后由园区污水管网</w:t>
                  </w:r>
                  <w:r>
                    <w:rPr>
                      <w:rFonts w:hint="default"/>
                      <w:color w:val="000000" w:themeColor="text1"/>
                      <w:sz w:val="21"/>
                      <w:szCs w:val="21"/>
                      <w:highlight w:val="none"/>
                      <w14:textFill>
                        <w14:solidFill>
                          <w14:schemeClr w14:val="tx1"/>
                        </w14:solidFill>
                      </w14:textFill>
                    </w:rPr>
                    <w:t>排入</w:t>
                  </w:r>
                  <w:r>
                    <w:rPr>
                      <w:rFonts w:hint="eastAsia"/>
                      <w:bCs/>
                      <w:color w:val="000000" w:themeColor="text1"/>
                      <w:sz w:val="21"/>
                      <w:szCs w:val="21"/>
                      <w:lang w:val="en-US" w:eastAsia="zh-CN"/>
                      <w14:textFill>
                        <w14:solidFill>
                          <w14:schemeClr w14:val="tx1"/>
                        </w14:solidFill>
                      </w14:textFill>
                    </w:rPr>
                    <w:t>高安市工业园污水处理厂</w:t>
                  </w:r>
                  <w:r>
                    <w:rPr>
                      <w:rFonts w:hint="eastAsia"/>
                      <w:bCs/>
                      <w:color w:val="000000" w:themeColor="text1"/>
                      <w:sz w:val="21"/>
                      <w:szCs w:val="21"/>
                      <w:highlight w:val="none"/>
                      <w:lang w:val="en-US" w:eastAsia="zh-CN"/>
                      <w14:textFill>
                        <w14:solidFill>
                          <w14:schemeClr w14:val="tx1"/>
                        </w14:solidFill>
                      </w14:textFill>
                    </w:rPr>
                    <w:t>处理</w:t>
                  </w:r>
                  <w:r>
                    <w:rPr>
                      <w:rFonts w:hint="default" w:ascii="Times New Roman" w:hAnsi="Times New Roman" w:cs="Times New Roman"/>
                      <w:color w:val="000000" w:themeColor="text1"/>
                      <w:sz w:val="21"/>
                      <w:szCs w:val="21"/>
                      <w14:textFill>
                        <w14:solidFill>
                          <w14:schemeClr w14:val="tx1"/>
                        </w14:solidFill>
                      </w14:textFill>
                    </w:rPr>
                    <w:t>，，不涉及新增、改设、扩大排污口</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5FEFA8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2903F519">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29ADB0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11</w:t>
                  </w:r>
                </w:p>
              </w:tc>
              <w:tc>
                <w:tcPr>
                  <w:tcW w:w="2565" w:type="pct"/>
                  <w:noWrap w:val="0"/>
                  <w:vAlign w:val="center"/>
                </w:tcPr>
                <w:p w14:paraId="1698C6E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禁止在长江干流江西段、鄱阳湖和《率先全面禁捕的长江流域水生生物保护区名录》中的水生生物保护区开展生产性捕捞。</w:t>
                  </w:r>
                </w:p>
              </w:tc>
              <w:tc>
                <w:tcPr>
                  <w:tcW w:w="1578" w:type="pct"/>
                  <w:noWrap w:val="0"/>
                  <w:vAlign w:val="center"/>
                </w:tcPr>
                <w:p w14:paraId="210BED47">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项目不涉及水生生物捕捞</w:t>
                  </w:r>
                  <w:r>
                    <w:rPr>
                      <w:rFonts w:hint="eastAsia" w:cs="Times New Roman"/>
                      <w:color w:val="000000" w:themeColor="text1"/>
                      <w:sz w:val="21"/>
                      <w:szCs w:val="21"/>
                      <w:lang w:eastAsia="zh-CN"/>
                      <w14:textFill>
                        <w14:solidFill>
                          <w14:schemeClr w14:val="tx1"/>
                        </w14:solidFill>
                      </w14:textFill>
                    </w:rPr>
                    <w:t>。</w:t>
                  </w:r>
                </w:p>
              </w:tc>
              <w:tc>
                <w:tcPr>
                  <w:tcW w:w="473" w:type="pct"/>
                  <w:noWrap w:val="0"/>
                  <w:vAlign w:val="center"/>
                </w:tcPr>
                <w:p w14:paraId="0B7C1C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2D5F7AC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4620DA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12</w:t>
                  </w:r>
                </w:p>
              </w:tc>
              <w:tc>
                <w:tcPr>
                  <w:tcW w:w="2565" w:type="pct"/>
                  <w:noWrap w:val="0"/>
                  <w:vAlign w:val="center"/>
                </w:tcPr>
                <w:p w14:paraId="27BFC10F">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禁止在长江干流岸线三公里范围内和重要支流岸线一公里范围内新建、改建、扩建尾矿库、冶炼渣库和磷石膏库，以提升安全、生态环境保护水平为目的的改建除外。</w:t>
                  </w:r>
                </w:p>
              </w:tc>
              <w:tc>
                <w:tcPr>
                  <w:tcW w:w="1578" w:type="pct"/>
                  <w:noWrap w:val="0"/>
                  <w:vAlign w:val="center"/>
                </w:tcPr>
                <w:p w14:paraId="55E78306">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w:t>
                  </w:r>
                  <w:r>
                    <w:rPr>
                      <w:rFonts w:hint="default" w:ascii="Times New Roman" w:hAnsi="Times New Roman" w:eastAsia="宋体" w:cs="Times New Roman"/>
                      <w:color w:val="000000" w:themeColor="text1"/>
                      <w:sz w:val="21"/>
                      <w:szCs w:val="21"/>
                      <w14:textFill>
                        <w14:solidFill>
                          <w14:schemeClr w14:val="tx1"/>
                        </w14:solidFill>
                      </w14:textFill>
                    </w:rPr>
                    <w:t>不属于尾矿库、冶炼</w:t>
                  </w:r>
                  <w:r>
                    <w:rPr>
                      <w:rFonts w:hint="default" w:ascii="Times New Roman" w:hAnsi="Times New Roman" w:cs="Times New Roman"/>
                      <w:color w:val="000000" w:themeColor="text1"/>
                      <w:sz w:val="21"/>
                      <w:szCs w:val="21"/>
                      <w14:textFill>
                        <w14:solidFill>
                          <w14:schemeClr w14:val="tx1"/>
                        </w14:solidFill>
                      </w14:textFill>
                    </w:rPr>
                    <w:t>渣库和磷石膏库</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02BE12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5B36B5C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6FA82FC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13</w:t>
                  </w:r>
                </w:p>
              </w:tc>
              <w:tc>
                <w:tcPr>
                  <w:tcW w:w="2565" w:type="pct"/>
                  <w:noWrap w:val="0"/>
                  <w:vAlign w:val="center"/>
                </w:tcPr>
                <w:p w14:paraId="30E42DD8">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禁止在合规园区外新建、扩建钢铁、石化、化工、焦化、建材、有色、制浆造纸等高污染项目。</w:t>
                  </w:r>
                </w:p>
              </w:tc>
              <w:tc>
                <w:tcPr>
                  <w:tcW w:w="1578" w:type="pct"/>
                  <w:noWrap w:val="0"/>
                  <w:vAlign w:val="center"/>
                </w:tcPr>
                <w:p w14:paraId="50DD8AC4">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本项目不属于钢铁、石化、化工、焦化、建材、有色、制浆造纸等高污染项目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7376BB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6737657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15799F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14</w:t>
                  </w:r>
                </w:p>
              </w:tc>
              <w:tc>
                <w:tcPr>
                  <w:tcW w:w="2565" w:type="pct"/>
                  <w:noWrap w:val="0"/>
                  <w:vAlign w:val="center"/>
                </w:tcPr>
                <w:p w14:paraId="390E71A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禁止新建、 扩建不符合国家石化、现代煤化工等产业布局规划的项目。</w:t>
                  </w:r>
                </w:p>
              </w:tc>
              <w:tc>
                <w:tcPr>
                  <w:tcW w:w="1578" w:type="pct"/>
                  <w:noWrap w:val="0"/>
                  <w:vAlign w:val="center"/>
                </w:tcPr>
                <w:p w14:paraId="6D077E2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项目不属于石化、现代煤化工等项目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257394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0108B93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79E285C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15</w:t>
                  </w:r>
                </w:p>
              </w:tc>
              <w:tc>
                <w:tcPr>
                  <w:tcW w:w="2565" w:type="pct"/>
                  <w:noWrap w:val="0"/>
                  <w:vAlign w:val="center"/>
                </w:tcPr>
                <w:p w14:paraId="27F5853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1578" w:type="pct"/>
                  <w:noWrap w:val="0"/>
                  <w:vAlign w:val="center"/>
                </w:tcPr>
                <w:p w14:paraId="24BE294A">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项目属于《产业结构调整指导目录》现行版本中的</w:t>
                  </w:r>
                  <w:r>
                    <w:rPr>
                      <w:rFonts w:hint="eastAsia" w:ascii="Times New Roman" w:hAnsi="Times New Roman" w:cs="Times New Roman"/>
                      <w:color w:val="000000" w:themeColor="text1"/>
                      <w:sz w:val="21"/>
                      <w:szCs w:val="21"/>
                      <w:lang w:eastAsia="zh-CN"/>
                      <w14:textFill>
                        <w14:solidFill>
                          <w14:schemeClr w14:val="tx1"/>
                        </w14:solidFill>
                      </w14:textFill>
                    </w:rPr>
                    <w:t>允许类</w:t>
                  </w:r>
                  <w:r>
                    <w:rPr>
                      <w:rFonts w:hint="eastAsia" w:cs="Times New Roman"/>
                      <w:color w:val="000000" w:themeColor="text1"/>
                      <w:sz w:val="21"/>
                      <w:szCs w:val="21"/>
                      <w:lang w:eastAsia="zh-CN"/>
                      <w14:textFill>
                        <w14:solidFill>
                          <w14:schemeClr w14:val="tx1"/>
                        </w14:solidFill>
                      </w14:textFill>
                    </w:rPr>
                    <w:t>。</w:t>
                  </w:r>
                </w:p>
              </w:tc>
              <w:tc>
                <w:tcPr>
                  <w:tcW w:w="473" w:type="pct"/>
                  <w:noWrap w:val="0"/>
                  <w:vAlign w:val="center"/>
                </w:tcPr>
                <w:p w14:paraId="3B29858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274C32B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24DC50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16</w:t>
                  </w:r>
                </w:p>
              </w:tc>
              <w:tc>
                <w:tcPr>
                  <w:tcW w:w="2565" w:type="pct"/>
                  <w:noWrap w:val="0"/>
                  <w:vAlign w:val="center"/>
                </w:tcPr>
                <w:p w14:paraId="65685C3E">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禁止新建、 扩建不符合国家产能置换要求的钢铁、电解铝、水泥熟料、平板玻璃、船舶等严重过剩产能行业的项目。严格执行《国务院关于化解产能严重过剩矛盾的指导意见》，各地各部门不得以任何名义、任何方式新增产能片；对确有必要建设的，必须严格执行产能置换实施办法，实施减量或等量置换，依法依规办理有关手续。</w:t>
                  </w:r>
                </w:p>
              </w:tc>
              <w:tc>
                <w:tcPr>
                  <w:tcW w:w="1578" w:type="pct"/>
                  <w:noWrap w:val="0"/>
                  <w:vAlign w:val="center"/>
                </w:tcPr>
                <w:p w14:paraId="090F1961">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项目不属于钢铁、电解铝、水泥熟料、平板玻璃、船舶等产能过剩项目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4370AC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r w14:paraId="299CDD7E">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382" w:type="pct"/>
                  <w:noWrap w:val="0"/>
                  <w:vAlign w:val="center"/>
                </w:tcPr>
                <w:p w14:paraId="3DB18B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17</w:t>
                  </w:r>
                </w:p>
              </w:tc>
              <w:tc>
                <w:tcPr>
                  <w:tcW w:w="2565" w:type="pct"/>
                  <w:noWrap w:val="0"/>
                  <w:vAlign w:val="center"/>
                </w:tcPr>
                <w:p w14:paraId="7B11ABB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禁止新建、扩建不符合要求的高耗能高排放项目。严格执行《江西省人民政府办公厅关于严格高耗能高排放项目准入管理的实施意见》（赣府厅发〔2021〕33 号），加强项目审查论证，落实等量、减量替代要求，规范项目行政审批。</w:t>
                  </w:r>
                </w:p>
              </w:tc>
              <w:tc>
                <w:tcPr>
                  <w:tcW w:w="1578" w:type="pct"/>
                  <w:noWrap w:val="0"/>
                  <w:vAlign w:val="center"/>
                </w:tcPr>
                <w:p w14:paraId="18301E23">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项目不属于石化、化工、煤化工、钢铁、焦化、建材、有色、煤电8个行业的项目，不属于高耗能高排放项目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473" w:type="pct"/>
                  <w:noWrap w:val="0"/>
                  <w:vAlign w:val="center"/>
                </w:tcPr>
                <w:p w14:paraId="1891C1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相符</w:t>
                  </w:r>
                </w:p>
              </w:tc>
            </w:tr>
          </w:tbl>
          <w:p w14:paraId="6234B26C">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firstLine="0" w:firstLineChars="0"/>
              <w:textAlignment w:val="auto"/>
              <w:rPr>
                <w:rFonts w:hint="default" w:eastAsia="宋体" w:cs="Times New Roman"/>
                <w:b/>
                <w:bCs/>
                <w:color w:val="000000" w:themeColor="text1"/>
                <w:sz w:val="24"/>
                <w:szCs w:val="24"/>
                <w:lang w:val="en-US" w:eastAsia="zh-CN"/>
                <w14:textFill>
                  <w14:solidFill>
                    <w14:schemeClr w14:val="tx1"/>
                  </w14:solidFill>
                </w14:textFill>
              </w:rPr>
            </w:pPr>
            <w:r>
              <w:rPr>
                <w:rFonts w:hint="eastAsia" w:eastAsia="宋体" w:cs="Times New Roman"/>
                <w:b/>
                <w:bCs/>
                <w:color w:val="000000" w:themeColor="text1"/>
                <w:sz w:val="24"/>
                <w:szCs w:val="24"/>
                <w:lang w:val="en-US" w:eastAsia="zh-CN"/>
                <w14:textFill>
                  <w14:solidFill>
                    <w14:schemeClr w14:val="tx1"/>
                  </w14:solidFill>
                </w14:textFill>
              </w:rPr>
              <w:t>八、</w:t>
            </w:r>
            <w:r>
              <w:rPr>
                <w:rFonts w:hint="default" w:eastAsia="宋体" w:cs="Times New Roman"/>
                <w:b/>
                <w:bCs/>
                <w:color w:val="000000" w:themeColor="text1"/>
                <w:sz w:val="24"/>
                <w:szCs w:val="24"/>
                <w:lang w:val="en-US" w:eastAsia="zh-CN"/>
                <w14:textFill>
                  <w14:solidFill>
                    <w14:schemeClr w14:val="tx1"/>
                  </w14:solidFill>
                </w14:textFill>
              </w:rPr>
              <w:t>与《</w:t>
            </w:r>
            <w:r>
              <w:rPr>
                <w:rFonts w:hint="eastAsia" w:eastAsia="宋体" w:cs="Times New Roman"/>
                <w:b/>
                <w:bCs/>
                <w:color w:val="000000" w:themeColor="text1"/>
                <w:sz w:val="24"/>
                <w:szCs w:val="24"/>
                <w:lang w:val="en-US" w:eastAsia="zh-CN"/>
                <w14:textFill>
                  <w14:solidFill>
                    <w14:schemeClr w14:val="tx1"/>
                  </w14:solidFill>
                </w14:textFill>
              </w:rPr>
              <w:t>江西省人民政府关于印发江西省“十四五”节能减排综合工作方案的通知</w:t>
            </w:r>
            <w:r>
              <w:rPr>
                <w:rFonts w:hint="default" w:eastAsia="宋体" w:cs="Times New Roman"/>
                <w:b/>
                <w:bCs/>
                <w:color w:val="000000" w:themeColor="text1"/>
                <w:sz w:val="24"/>
                <w:szCs w:val="24"/>
                <w:lang w:val="en-US" w:eastAsia="zh-CN"/>
                <w14:textFill>
                  <w14:solidFill>
                    <w14:schemeClr w14:val="tx1"/>
                  </w14:solidFill>
                </w14:textFill>
              </w:rPr>
              <w:t>》</w:t>
            </w:r>
            <w:r>
              <w:rPr>
                <w:rFonts w:hint="eastAsia" w:eastAsia="宋体" w:cs="Times New Roman"/>
                <w:b/>
                <w:bCs/>
                <w:color w:val="000000" w:themeColor="text1"/>
                <w:sz w:val="24"/>
                <w:szCs w:val="24"/>
                <w:lang w:val="en-US" w:eastAsia="zh-CN"/>
                <w14:textFill>
                  <w14:solidFill>
                    <w14:schemeClr w14:val="tx1"/>
                  </w14:solidFill>
                </w14:textFill>
              </w:rPr>
              <w:t>（赣府字【2022】31号）</w:t>
            </w:r>
            <w:r>
              <w:rPr>
                <w:rFonts w:hint="default" w:eastAsia="宋体" w:cs="Times New Roman"/>
                <w:b/>
                <w:bCs/>
                <w:color w:val="000000" w:themeColor="text1"/>
                <w:sz w:val="24"/>
                <w:szCs w:val="24"/>
                <w:lang w:val="en-US" w:eastAsia="zh-CN"/>
                <w14:textFill>
                  <w14:solidFill>
                    <w14:schemeClr w14:val="tx1"/>
                  </w14:solidFill>
                </w14:textFill>
              </w:rPr>
              <w:t>的相符性分析</w:t>
            </w:r>
          </w:p>
          <w:p w14:paraId="30F73629">
            <w:pPr>
              <w:pStyle w:val="57"/>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t>与</w:t>
            </w:r>
            <w:r>
              <w:rPr>
                <w:rFonts w:hint="eastAsia" w:eastAsia="宋体"/>
                <w:color w:val="000000" w:themeColor="text1"/>
                <w:lang w:val="en-US" w:eastAsia="zh-CN"/>
                <w14:textFill>
                  <w14:solidFill>
                    <w14:schemeClr w14:val="tx1"/>
                  </w14:solidFill>
                </w14:textFill>
              </w:rPr>
              <w:t>赣府字【2022】31号文</w:t>
            </w:r>
            <w:r>
              <w:rPr>
                <w:rFonts w:hint="eastAsia" w:eastAsia="宋体"/>
                <w:color w:val="000000" w:themeColor="text1"/>
                <w:lang w:eastAsia="zh-CN"/>
                <w14:textFill>
                  <w14:solidFill>
                    <w14:schemeClr w14:val="tx1"/>
                  </w14:solidFill>
                </w14:textFill>
              </w:rPr>
              <w:t>相符性分析</w:t>
            </w:r>
          </w:p>
          <w:tbl>
            <w:tblPr>
              <w:tblStyle w:val="36"/>
              <w:tblW w:w="50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64"/>
              <w:gridCol w:w="4448"/>
              <w:gridCol w:w="2581"/>
              <w:gridCol w:w="519"/>
            </w:tblGrid>
            <w:tr w14:paraId="5B5CCC5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tblHeader/>
                <w:jc w:val="center"/>
              </w:trPr>
              <w:tc>
                <w:tcPr>
                  <w:tcW w:w="169" w:type="pct"/>
                  <w:noWrap w:val="0"/>
                  <w:vAlign w:val="center"/>
                </w:tcPr>
                <w:p w14:paraId="3C3083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2846" w:type="pct"/>
                  <w:noWrap w:val="0"/>
                  <w:vAlign w:val="center"/>
                </w:tcPr>
                <w:p w14:paraId="0E10A0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要求</w:t>
                  </w:r>
                </w:p>
              </w:tc>
              <w:tc>
                <w:tcPr>
                  <w:tcW w:w="1651" w:type="pct"/>
                  <w:noWrap w:val="0"/>
                  <w:vAlign w:val="center"/>
                </w:tcPr>
                <w:p w14:paraId="17CED97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本项目情况</w:t>
                  </w:r>
                </w:p>
              </w:tc>
              <w:tc>
                <w:tcPr>
                  <w:tcW w:w="332" w:type="pct"/>
                  <w:noWrap w:val="0"/>
                  <w:vAlign w:val="center"/>
                </w:tcPr>
                <w:p w14:paraId="6C66AFA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相符性</w:t>
                  </w:r>
                </w:p>
              </w:tc>
            </w:tr>
            <w:tr w14:paraId="7E5151C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69" w:type="pct"/>
                  <w:noWrap w:val="0"/>
                  <w:vAlign w:val="center"/>
                </w:tcPr>
                <w:p w14:paraId="763F38C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46" w:type="pct"/>
                  <w:noWrap w:val="0"/>
                  <w:vAlign w:val="center"/>
                </w:tcPr>
                <w:p w14:paraId="4EB2BC9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九）挥发性有机物综合整治工程。推进原辅材料和产品源头替代工程，以工业涂装、包装印刷等行业为重点，鼓励企业实施溶剂型工业涂料、油墨、胶粘剂、清洗剂等清洁原料替代。深化石化、化工等行业挥发性有机物污染治理，开展涉挥发性有机物储罐排查，全面提升废气收集率、治理设施同步运行率和去除率。对易挥发有机液体储罐实施改造，对浮顶罐推广采用全接液浮盘和高效双重密封技术，对废水系统高浓度废气实施单独收集处理。探索建设集中涂装中心、活性炭集中处理中心等。到2025年，完成国家下达的溶剂型工业涂料、油墨、胶粘剂使用量削减比例要求</w:t>
                  </w:r>
                  <w:r>
                    <w:rPr>
                      <w:rFonts w:hint="eastAsia" w:eastAsia="宋体" w:cs="Times New Roman"/>
                      <w:color w:val="000000" w:themeColor="text1"/>
                      <w:sz w:val="21"/>
                      <w:szCs w:val="21"/>
                      <w:lang w:eastAsia="zh-CN"/>
                      <w14:textFill>
                        <w14:solidFill>
                          <w14:schemeClr w14:val="tx1"/>
                        </w14:solidFill>
                      </w14:textFill>
                    </w:rPr>
                    <w:t>。</w:t>
                  </w:r>
                </w:p>
              </w:tc>
              <w:tc>
                <w:tcPr>
                  <w:tcW w:w="1651" w:type="pct"/>
                  <w:noWrap w:val="0"/>
                  <w:vAlign w:val="center"/>
                </w:tcPr>
                <w:p w14:paraId="09EB48A6">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color w:val="000000" w:themeColor="text1"/>
                      <w:sz w:val="21"/>
                      <w14:textFill>
                        <w14:solidFill>
                          <w14:schemeClr w14:val="tx1"/>
                        </w14:solidFill>
                      </w14:textFill>
                    </w:rPr>
                    <w:t>本项目使用的含挥发性有机物物料主要为</w:t>
                  </w:r>
                  <w:r>
                    <w:rPr>
                      <w:rFonts w:hint="eastAsia"/>
                      <w:color w:val="000000" w:themeColor="text1"/>
                      <w:sz w:val="21"/>
                      <w14:textFill>
                        <w14:solidFill>
                          <w14:schemeClr w14:val="tx1"/>
                        </w14:solidFill>
                      </w14:textFill>
                    </w:rPr>
                    <w:t>水性漆、油性漆、稀释剂等</w:t>
                  </w:r>
                  <w:r>
                    <w:rPr>
                      <w:color w:val="000000" w:themeColor="text1"/>
                      <w:sz w:val="21"/>
                      <w14:textFill>
                        <w14:solidFill>
                          <w14:schemeClr w14:val="tx1"/>
                        </w14:solidFill>
                      </w14:textFill>
                    </w:rPr>
                    <w:t>，</w:t>
                  </w:r>
                  <w:r>
                    <w:rPr>
                      <w:rFonts w:hint="eastAsia"/>
                      <w:color w:val="000000" w:themeColor="text1"/>
                      <w:sz w:val="21"/>
                      <w:lang w:val="en-US" w:eastAsia="zh-CN"/>
                      <w14:textFill>
                        <w14:solidFill>
                          <w14:schemeClr w14:val="tx1"/>
                        </w14:solidFill>
                      </w14:textFill>
                    </w:rPr>
                    <w:t>满足</w:t>
                  </w:r>
                  <w:r>
                    <w:rPr>
                      <w:color w:val="000000" w:themeColor="text1"/>
                      <w:sz w:val="21"/>
                      <w14:textFill>
                        <w14:solidFill>
                          <w14:schemeClr w14:val="tx1"/>
                        </w14:solidFill>
                      </w14:textFill>
                    </w:rPr>
                    <w:t>国家和地方产品VOCs含量限制标准</w:t>
                  </w:r>
                  <w:r>
                    <w:rPr>
                      <w:rFonts w:hint="eastAsia"/>
                      <w:color w:val="000000" w:themeColor="text1"/>
                      <w:sz w:val="21"/>
                      <w14:textFill>
                        <w14:solidFill>
                          <w14:schemeClr w14:val="tx1"/>
                        </w14:solidFill>
                      </w14:textFill>
                    </w:rPr>
                    <w:t>。</w:t>
                  </w:r>
                </w:p>
              </w:tc>
              <w:tc>
                <w:tcPr>
                  <w:tcW w:w="332" w:type="pct"/>
                  <w:noWrap w:val="0"/>
                  <w:vAlign w:val="center"/>
                </w:tcPr>
                <w:p w14:paraId="2D0FC39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bl>
          <w:p w14:paraId="37C0781D">
            <w:pPr>
              <w:keepNext w:val="0"/>
              <w:keepLines w:val="0"/>
              <w:pageBreakBefore w:val="0"/>
              <w:widowControl w:val="0"/>
              <w:kinsoku/>
              <w:wordWrap/>
              <w:overflowPunct/>
              <w:topLinePunct w:val="0"/>
              <w:autoSpaceDE/>
              <w:autoSpaceDN/>
              <w:bidi w:val="0"/>
              <w:adjustRightInd/>
              <w:snapToGrid w:val="0"/>
              <w:spacing w:before="157" w:beforeLines="50"/>
              <w:ind w:left="0" w:leftChars="0" w:firstLine="0" w:firstLineChars="0"/>
              <w:textAlignment w:val="auto"/>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九、与《吸附法工业有机废气治理工程技术规范》（HJ 2026-2013）相符性分析</w:t>
            </w:r>
          </w:p>
          <w:p w14:paraId="48C08319">
            <w:pPr>
              <w:pStyle w:val="57"/>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t>与</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吸附法工业有机废气治理工程技术规范</w:t>
            </w:r>
            <w:r>
              <w:rPr>
                <w:rFonts w:hint="eastAsia"/>
                <w:color w:val="000000" w:themeColor="text1"/>
                <w:lang w:eastAsia="zh-CN"/>
                <w14:textFill>
                  <w14:solidFill>
                    <w14:schemeClr w14:val="tx1"/>
                  </w14:solidFill>
                </w14:textFill>
              </w:rPr>
              <w:t>》</w:t>
            </w:r>
            <w:r>
              <w:rPr>
                <w:rFonts w:hint="eastAsia" w:eastAsia="宋体"/>
                <w:color w:val="000000" w:themeColor="text1"/>
                <w:lang w:eastAsia="zh-CN"/>
                <w14:textFill>
                  <w14:solidFill>
                    <w14:schemeClr w14:val="tx1"/>
                  </w14:solidFill>
                </w14:textFill>
              </w:rPr>
              <w:t>相符性分析</w:t>
            </w:r>
          </w:p>
          <w:tbl>
            <w:tblPr>
              <w:tblStyle w:val="36"/>
              <w:tblW w:w="5000" w:type="pct"/>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28"/>
              <w:gridCol w:w="4084"/>
              <w:gridCol w:w="2581"/>
              <w:gridCol w:w="519"/>
            </w:tblGrid>
            <w:tr w14:paraId="2A31539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tblHeader/>
                <w:jc w:val="center"/>
              </w:trPr>
              <w:tc>
                <w:tcPr>
                  <w:tcW w:w="402" w:type="pct"/>
                  <w:noWrap w:val="0"/>
                  <w:vAlign w:val="center"/>
                </w:tcPr>
                <w:p w14:paraId="0ABFC5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2613" w:type="pct"/>
                  <w:noWrap w:val="0"/>
                  <w:vAlign w:val="center"/>
                </w:tcPr>
                <w:p w14:paraId="641E20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要求</w:t>
                  </w:r>
                </w:p>
              </w:tc>
              <w:tc>
                <w:tcPr>
                  <w:tcW w:w="1651" w:type="pct"/>
                  <w:noWrap w:val="0"/>
                  <w:vAlign w:val="center"/>
                </w:tcPr>
                <w:p w14:paraId="342056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本项目情况</w:t>
                  </w:r>
                </w:p>
              </w:tc>
              <w:tc>
                <w:tcPr>
                  <w:tcW w:w="332" w:type="pct"/>
                  <w:noWrap w:val="0"/>
                  <w:vAlign w:val="center"/>
                </w:tcPr>
                <w:p w14:paraId="538727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相符性</w:t>
                  </w:r>
                </w:p>
              </w:tc>
            </w:tr>
            <w:tr w14:paraId="380BD9D3">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402" w:type="pct"/>
                  <w:noWrap w:val="0"/>
                  <w:vAlign w:val="center"/>
                </w:tcPr>
                <w:p w14:paraId="2800D3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总体要求</w:t>
                  </w:r>
                </w:p>
              </w:tc>
              <w:tc>
                <w:tcPr>
                  <w:tcW w:w="2613" w:type="pct"/>
                  <w:noWrap w:val="0"/>
                  <w:vAlign w:val="center"/>
                </w:tcPr>
                <w:p w14:paraId="5BBB937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color w:val="000000" w:themeColor="text1"/>
                      <w:sz w:val="21"/>
                      <w14:textFill>
                        <w14:solidFill>
                          <w14:schemeClr w14:val="tx1"/>
                        </w14:solidFill>
                      </w14:textFill>
                    </w:rPr>
                  </w:pPr>
                  <w:r>
                    <w:rPr>
                      <w:color w:val="000000" w:themeColor="text1"/>
                      <w:sz w:val="21"/>
                      <w14:textFill>
                        <w14:solidFill>
                          <w14:schemeClr w14:val="tx1"/>
                        </w14:solidFill>
                      </w14:textFill>
                    </w:rPr>
                    <w:t>5.1.1  治理工程建设应按国家相关的基本建设程序或技术改造审批程序进行，总体设计应满足《建设项目环境保护设计规定》和《建设项目环境保护管理条例》的规定。</w:t>
                  </w:r>
                </w:p>
                <w:p w14:paraId="068A0EB3">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color w:val="000000" w:themeColor="text1"/>
                      <w:sz w:val="21"/>
                      <w14:textFill>
                        <w14:solidFill>
                          <w14:schemeClr w14:val="tx1"/>
                        </w14:solidFill>
                      </w14:textFill>
                    </w:rPr>
                  </w:pPr>
                  <w:r>
                    <w:rPr>
                      <w:color w:val="000000" w:themeColor="text1"/>
                      <w:sz w:val="21"/>
                      <w14:textFill>
                        <w14:solidFill>
                          <w14:schemeClr w14:val="tx1"/>
                        </w14:solidFill>
                      </w14:textFill>
                    </w:rPr>
                    <w:t>5.1.2  治理工程应遵循综合治理、循环利用、达标排放、总量控制的原则。治理工艺设计应本着成熟可靠、技术先进、经济适用的原则，并考虑节能、安全和操作简便。</w:t>
                  </w:r>
                </w:p>
                <w:p w14:paraId="00241AAF">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color w:val="000000" w:themeColor="text1"/>
                      <w:sz w:val="21"/>
                      <w14:textFill>
                        <w14:solidFill>
                          <w14:schemeClr w14:val="tx1"/>
                        </w14:solidFill>
                      </w14:textFill>
                    </w:rPr>
                  </w:pPr>
                  <w:r>
                    <w:rPr>
                      <w:color w:val="000000" w:themeColor="text1"/>
                      <w:sz w:val="21"/>
                      <w14:textFill>
                        <w14:solidFill>
                          <w14:schemeClr w14:val="tx1"/>
                        </w14:solidFill>
                      </w14:textFill>
                    </w:rPr>
                    <w:t>5.1.3  治理工程应与生产工艺水平相适应。生产企业应把治理设备作为生产系统的一部分进行管理，治理设备应与产生废气的相应生产设备同步运转。</w:t>
                  </w:r>
                </w:p>
                <w:p w14:paraId="539EA050">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color w:val="000000" w:themeColor="text1"/>
                      <w:sz w:val="21"/>
                      <w14:textFill>
                        <w14:solidFill>
                          <w14:schemeClr w14:val="tx1"/>
                        </w14:solidFill>
                      </w14:textFill>
                    </w:rPr>
                  </w:pPr>
                  <w:r>
                    <w:rPr>
                      <w:color w:val="000000" w:themeColor="text1"/>
                      <w:sz w:val="21"/>
                      <w14:textFill>
                        <w14:solidFill>
                          <w14:schemeClr w14:val="tx1"/>
                        </w14:solidFill>
                      </w14:textFill>
                    </w:rPr>
                    <w:t>5.1.4  经过治理后的污染物排放应符合国家或地方相关大气污染物排放标准的规定。</w:t>
                  </w:r>
                </w:p>
                <w:p w14:paraId="16FAA6F4">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color w:val="000000" w:themeColor="text1"/>
                      <w:sz w:val="21"/>
                      <w14:textFill>
                        <w14:solidFill>
                          <w14:schemeClr w14:val="tx1"/>
                        </w14:solidFill>
                      </w14:textFill>
                    </w:rPr>
                  </w:pPr>
                  <w:r>
                    <w:rPr>
                      <w:color w:val="000000" w:themeColor="text1"/>
                      <w:sz w:val="21"/>
                      <w14:textFill>
                        <w14:solidFill>
                          <w14:schemeClr w14:val="tx1"/>
                        </w14:solidFill>
                      </w14:textFill>
                    </w:rPr>
                    <w:t>5.1.5  治理工程在建设、运行过程中产生的废气、废水、废渣及其它污染物的治理与排放，应执行国家或地方环境保护法规和标准的相关规定，防止二次污染。</w:t>
                  </w:r>
                </w:p>
                <w:p w14:paraId="45BFB5B9">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color w:val="000000" w:themeColor="text1"/>
                      <w:sz w:val="21"/>
                      <w14:textFill>
                        <w14:solidFill>
                          <w14:schemeClr w14:val="tx1"/>
                        </w14:solidFill>
                      </w14:textFill>
                    </w:rPr>
                    <w:t>5.1.6  治理工程应按照国家相关法律法规、大气污染物排放标准和地方环境保护部门的要求设置在线连续监测设备。</w:t>
                  </w:r>
                </w:p>
              </w:tc>
              <w:tc>
                <w:tcPr>
                  <w:tcW w:w="1651" w:type="pct"/>
                  <w:noWrap w:val="0"/>
                  <w:vAlign w:val="center"/>
                </w:tcPr>
                <w:p w14:paraId="6E2CD20A">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项目有机废气治理设施按照国家相关法律法规进行，技术成熟可靠、安全节能；经治理后的有机废气满足相关废气排放标准要求</w:t>
                  </w:r>
                  <w:r>
                    <w:rPr>
                      <w:rFonts w:hint="eastAsia"/>
                      <w:color w:val="000000" w:themeColor="text1"/>
                      <w:sz w:val="21"/>
                      <w14:textFill>
                        <w14:solidFill>
                          <w14:schemeClr w14:val="tx1"/>
                        </w14:solidFill>
                      </w14:textFill>
                    </w:rPr>
                    <w:t>。</w:t>
                  </w:r>
                </w:p>
              </w:tc>
              <w:tc>
                <w:tcPr>
                  <w:tcW w:w="332" w:type="pct"/>
                  <w:noWrap w:val="0"/>
                  <w:vAlign w:val="center"/>
                </w:tcPr>
                <w:p w14:paraId="3BBACA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bl>
          <w:p w14:paraId="105F0B70">
            <w:pPr>
              <w:keepNext w:val="0"/>
              <w:keepLines w:val="0"/>
              <w:pageBreakBefore w:val="0"/>
              <w:widowControl w:val="0"/>
              <w:kinsoku/>
              <w:wordWrap/>
              <w:overflowPunct/>
              <w:topLinePunct w:val="0"/>
              <w:autoSpaceDE/>
              <w:autoSpaceDN/>
              <w:bidi w:val="0"/>
              <w:adjustRightInd/>
              <w:snapToGrid w:val="0"/>
              <w:spacing w:before="157" w:beforeLines="50"/>
              <w:ind w:left="0" w:leftChars="0" w:firstLine="0" w:firstLineChars="0"/>
              <w:textAlignment w:val="auto"/>
              <w:rPr>
                <w:rFonts w:hint="default"/>
                <w:color w:val="000000" w:themeColor="text1"/>
                <w:lang w:val="en-US" w:eastAsia="zh-CN"/>
                <w14:textFill>
                  <w14:solidFill>
                    <w14:schemeClr w14:val="tx1"/>
                  </w14:solidFill>
                </w14:textFill>
              </w:rPr>
            </w:pPr>
          </w:p>
          <w:p w14:paraId="4CE79A3E">
            <w:pPr>
              <w:adjustRightInd/>
              <w:ind w:left="0" w:leftChars="0" w:firstLine="0" w:firstLineChars="0"/>
              <w:rPr>
                <w:rFonts w:hint="eastAsia"/>
                <w:color w:val="000000" w:themeColor="text1"/>
                <w14:textFill>
                  <w14:solidFill>
                    <w14:schemeClr w14:val="tx1"/>
                  </w14:solidFill>
                </w14:textFill>
              </w:rPr>
            </w:pPr>
          </w:p>
          <w:p w14:paraId="0912503A">
            <w:pPr>
              <w:adjustRightInd/>
              <w:ind w:left="0" w:leftChars="0" w:firstLine="0" w:firstLineChars="0"/>
              <w:rPr>
                <w:rFonts w:hint="eastAsia"/>
                <w:color w:val="000000" w:themeColor="text1"/>
                <w14:textFill>
                  <w14:solidFill>
                    <w14:schemeClr w14:val="tx1"/>
                  </w14:solidFill>
                </w14:textFill>
              </w:rPr>
            </w:pPr>
          </w:p>
          <w:p w14:paraId="507C7D43">
            <w:pPr>
              <w:adjustRightInd/>
              <w:ind w:left="0" w:leftChars="0" w:firstLine="0" w:firstLineChars="0"/>
              <w:rPr>
                <w:rFonts w:hint="eastAsia"/>
                <w:color w:val="000000" w:themeColor="text1"/>
                <w14:textFill>
                  <w14:solidFill>
                    <w14:schemeClr w14:val="tx1"/>
                  </w14:solidFill>
                </w14:textFill>
              </w:rPr>
            </w:pPr>
          </w:p>
          <w:p w14:paraId="5892D7F3">
            <w:pPr>
              <w:adjustRightInd/>
              <w:ind w:left="0" w:leftChars="0" w:firstLine="0" w:firstLineChars="0"/>
              <w:rPr>
                <w:rFonts w:hint="eastAsia"/>
                <w:color w:val="000000" w:themeColor="text1"/>
                <w14:textFill>
                  <w14:solidFill>
                    <w14:schemeClr w14:val="tx1"/>
                  </w14:solidFill>
                </w14:textFill>
              </w:rPr>
            </w:pPr>
          </w:p>
          <w:p w14:paraId="32C0CEA7">
            <w:pPr>
              <w:adjustRightInd/>
              <w:ind w:left="0" w:leftChars="0" w:firstLine="0" w:firstLineChars="0"/>
              <w:rPr>
                <w:rFonts w:hint="eastAsia"/>
                <w:color w:val="000000" w:themeColor="text1"/>
                <w14:textFill>
                  <w14:solidFill>
                    <w14:schemeClr w14:val="tx1"/>
                  </w14:solidFill>
                </w14:textFill>
              </w:rPr>
            </w:pPr>
          </w:p>
          <w:p w14:paraId="0AEFB423">
            <w:pPr>
              <w:adjustRightInd/>
              <w:ind w:left="0" w:leftChars="0" w:firstLine="0" w:firstLineChars="0"/>
              <w:rPr>
                <w:rFonts w:hint="eastAsia"/>
                <w:color w:val="000000" w:themeColor="text1"/>
                <w14:textFill>
                  <w14:solidFill>
                    <w14:schemeClr w14:val="tx1"/>
                  </w14:solidFill>
                </w14:textFill>
              </w:rPr>
            </w:pPr>
          </w:p>
          <w:p w14:paraId="45298138">
            <w:pPr>
              <w:adjustRightInd/>
              <w:ind w:left="0" w:leftChars="0" w:firstLine="0" w:firstLineChars="0"/>
              <w:rPr>
                <w:rFonts w:hint="eastAsia"/>
                <w:color w:val="000000" w:themeColor="text1"/>
                <w14:textFill>
                  <w14:solidFill>
                    <w14:schemeClr w14:val="tx1"/>
                  </w14:solidFill>
                </w14:textFill>
              </w:rPr>
            </w:pPr>
          </w:p>
          <w:p w14:paraId="169A8FB3">
            <w:pPr>
              <w:adjustRightInd/>
              <w:ind w:left="0" w:leftChars="0" w:firstLine="0" w:firstLineChars="0"/>
              <w:rPr>
                <w:rFonts w:hint="eastAsia"/>
                <w:color w:val="000000" w:themeColor="text1"/>
                <w14:textFill>
                  <w14:solidFill>
                    <w14:schemeClr w14:val="tx1"/>
                  </w14:solidFill>
                </w14:textFill>
              </w:rPr>
            </w:pPr>
          </w:p>
          <w:p w14:paraId="4F639C2F">
            <w:pPr>
              <w:adjustRightInd/>
              <w:ind w:left="0" w:leftChars="0" w:firstLine="0" w:firstLineChars="0"/>
              <w:rPr>
                <w:rFonts w:hint="eastAsia"/>
                <w:color w:val="000000" w:themeColor="text1"/>
                <w14:textFill>
                  <w14:solidFill>
                    <w14:schemeClr w14:val="tx1"/>
                  </w14:solidFill>
                </w14:textFill>
              </w:rPr>
            </w:pPr>
          </w:p>
          <w:p w14:paraId="68D0D923">
            <w:pPr>
              <w:adjustRightInd/>
              <w:ind w:left="0" w:leftChars="0" w:firstLine="0" w:firstLineChars="0"/>
              <w:rPr>
                <w:rFonts w:hint="eastAsia"/>
                <w:color w:val="000000" w:themeColor="text1"/>
                <w14:textFill>
                  <w14:solidFill>
                    <w14:schemeClr w14:val="tx1"/>
                  </w14:solidFill>
                </w14:textFill>
              </w:rPr>
            </w:pPr>
          </w:p>
          <w:p w14:paraId="49A6BBC0">
            <w:pPr>
              <w:adjustRightInd/>
              <w:ind w:left="0" w:leftChars="0" w:firstLine="0" w:firstLineChars="0"/>
              <w:rPr>
                <w:rFonts w:hint="eastAsia"/>
                <w:color w:val="000000" w:themeColor="text1"/>
                <w14:textFill>
                  <w14:solidFill>
                    <w14:schemeClr w14:val="tx1"/>
                  </w14:solidFill>
                </w14:textFill>
              </w:rPr>
            </w:pPr>
          </w:p>
          <w:p w14:paraId="06BE4EC1">
            <w:pPr>
              <w:adjustRightInd/>
              <w:ind w:left="0" w:leftChars="0" w:firstLine="0" w:firstLineChars="0"/>
              <w:rPr>
                <w:rFonts w:hint="eastAsia"/>
                <w:color w:val="000000" w:themeColor="text1"/>
                <w14:textFill>
                  <w14:solidFill>
                    <w14:schemeClr w14:val="tx1"/>
                  </w14:solidFill>
                </w14:textFill>
              </w:rPr>
            </w:pPr>
          </w:p>
          <w:p w14:paraId="26D7904C">
            <w:pPr>
              <w:adjustRightInd/>
              <w:ind w:left="0" w:leftChars="0" w:firstLine="0" w:firstLineChars="0"/>
              <w:rPr>
                <w:rFonts w:hint="eastAsia"/>
                <w:color w:val="000000" w:themeColor="text1"/>
                <w14:textFill>
                  <w14:solidFill>
                    <w14:schemeClr w14:val="tx1"/>
                  </w14:solidFill>
                </w14:textFill>
              </w:rPr>
            </w:pPr>
          </w:p>
          <w:p w14:paraId="3DEAFAC0">
            <w:pPr>
              <w:adjustRightInd/>
              <w:ind w:left="0" w:leftChars="0" w:firstLine="0" w:firstLineChars="0"/>
              <w:rPr>
                <w:rFonts w:hint="eastAsia"/>
                <w:color w:val="000000" w:themeColor="text1"/>
                <w14:textFill>
                  <w14:solidFill>
                    <w14:schemeClr w14:val="tx1"/>
                  </w14:solidFill>
                </w14:textFill>
              </w:rPr>
            </w:pPr>
          </w:p>
          <w:p w14:paraId="6448193D">
            <w:pPr>
              <w:adjustRightInd/>
              <w:ind w:left="0" w:leftChars="0" w:firstLine="0" w:firstLineChars="0"/>
              <w:rPr>
                <w:rFonts w:hint="eastAsia"/>
                <w:color w:val="000000" w:themeColor="text1"/>
                <w14:textFill>
                  <w14:solidFill>
                    <w14:schemeClr w14:val="tx1"/>
                  </w14:solidFill>
                </w14:textFill>
              </w:rPr>
            </w:pPr>
          </w:p>
          <w:p w14:paraId="3529CD08">
            <w:pPr>
              <w:adjustRightInd/>
              <w:ind w:left="0" w:leftChars="0" w:firstLine="0" w:firstLineChars="0"/>
              <w:rPr>
                <w:rFonts w:hint="eastAsia"/>
                <w:color w:val="000000" w:themeColor="text1"/>
                <w14:textFill>
                  <w14:solidFill>
                    <w14:schemeClr w14:val="tx1"/>
                  </w14:solidFill>
                </w14:textFill>
              </w:rPr>
            </w:pPr>
          </w:p>
          <w:p w14:paraId="0FAF4BD0">
            <w:pPr>
              <w:adjustRightInd/>
              <w:ind w:left="0" w:leftChars="0" w:firstLine="0" w:firstLineChars="0"/>
              <w:rPr>
                <w:rFonts w:hint="eastAsia"/>
                <w:color w:val="000000" w:themeColor="text1"/>
                <w14:textFill>
                  <w14:solidFill>
                    <w14:schemeClr w14:val="tx1"/>
                  </w14:solidFill>
                </w14:textFill>
              </w:rPr>
            </w:pPr>
          </w:p>
        </w:tc>
      </w:tr>
    </w:tbl>
    <w:p w14:paraId="3DD25D10">
      <w:pPr>
        <w:ind w:firstLine="600"/>
        <w:rPr>
          <w:rFonts w:eastAsia="黑体"/>
          <w:color w:val="000000" w:themeColor="text1"/>
          <w:sz w:val="30"/>
          <w14:textFill>
            <w14:solidFill>
              <w14:schemeClr w14:val="tx1"/>
            </w14:solidFill>
          </w14:textFill>
        </w:rPr>
        <w:sectPr>
          <w:footerReference r:id="rId12" w:type="default"/>
          <w:pgSz w:w="11906" w:h="16838"/>
          <w:pgMar w:top="1797" w:right="1440" w:bottom="1797" w:left="1440" w:header="851" w:footer="1191" w:gutter="0"/>
          <w:pgBorders>
            <w:top w:val="none" w:sz="0" w:space="0"/>
            <w:left w:val="none" w:sz="0" w:space="0"/>
            <w:bottom w:val="none" w:sz="0" w:space="0"/>
            <w:right w:val="none" w:sz="0" w:space="0"/>
          </w:pgBorders>
          <w:pgNumType w:start="1"/>
          <w:cols w:space="0" w:num="1"/>
          <w:docGrid w:linePitch="312" w:charSpace="0"/>
        </w:sectPr>
      </w:pPr>
    </w:p>
    <w:p w14:paraId="4A490CC6">
      <w:pPr>
        <w:pStyle w:val="56"/>
        <w:spacing w:before="120"/>
        <w:rPr>
          <w:color w:val="000000" w:themeColor="text1"/>
          <w14:textFill>
            <w14:solidFill>
              <w14:schemeClr w14:val="tx1"/>
            </w14:solidFill>
          </w14:textFill>
        </w:rPr>
      </w:pPr>
      <w:bookmarkStart w:id="19" w:name="_Toc20225"/>
      <w:r>
        <w:rPr>
          <w:rFonts w:hint="eastAsia"/>
          <w:color w:val="000000" w:themeColor="text1"/>
          <w14:textFill>
            <w14:solidFill>
              <w14:schemeClr w14:val="tx1"/>
            </w14:solidFill>
          </w14:textFill>
        </w:rPr>
        <w:t>建设项目工程分析</w:t>
      </w:r>
      <w:bookmarkEnd w:id="19"/>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8788"/>
      </w:tblGrid>
      <w:tr w14:paraId="02136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7" w:type="dxa"/>
            <w:tcBorders>
              <w:tl2br w:val="nil"/>
              <w:tr2bl w:val="nil"/>
            </w:tcBorders>
            <w:vAlign w:val="center"/>
          </w:tcPr>
          <w:p w14:paraId="6F7BD939">
            <w:pPr>
              <w:pStyle w:val="31"/>
              <w:spacing w:before="0" w:beforeAutospacing="0" w:after="0" w:afterAutospacing="0"/>
              <w:ind w:firstLine="0" w:firstLineChars="0"/>
              <w:jc w:val="center"/>
              <w:rPr>
                <w:rFonts w:hint="eastAsia" w:cs="宋体"/>
                <w:color w:val="000000" w:themeColor="text1"/>
                <w:szCs w:val="24"/>
                <w14:textFill>
                  <w14:solidFill>
                    <w14:schemeClr w14:val="tx1"/>
                  </w14:solidFill>
                </w14:textFill>
              </w:rPr>
            </w:pPr>
            <w:r>
              <w:rPr>
                <w:rFonts w:hint="eastAsia" w:cs="宋体"/>
                <w:color w:val="000000" w:themeColor="text1"/>
                <w:szCs w:val="24"/>
                <w14:textFill>
                  <w14:solidFill>
                    <w14:schemeClr w14:val="tx1"/>
                  </w14:solidFill>
                </w14:textFill>
              </w:rPr>
              <w:t>建设内容</w:t>
            </w:r>
          </w:p>
        </w:tc>
        <w:tc>
          <w:tcPr>
            <w:tcW w:w="8515" w:type="dxa"/>
            <w:tcBorders>
              <w:tl2br w:val="nil"/>
              <w:tr2bl w:val="nil"/>
            </w:tcBorders>
          </w:tcPr>
          <w:p w14:paraId="02B57788">
            <w:pPr>
              <w:tabs>
                <w:tab w:val="left" w:pos="4800"/>
              </w:tabs>
              <w:spacing w:before="120" w:beforeLines="50"/>
              <w:ind w:firstLine="482"/>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1、项目基本概况</w:t>
            </w:r>
          </w:p>
          <w:p w14:paraId="3799E1C1">
            <w:pPr>
              <w:tabs>
                <w:tab w:val="left" w:pos="4800"/>
              </w:tabs>
              <w:spacing w:before="120" w:beforeLines="50"/>
              <w:ind w:firstLine="480"/>
              <w:jc w:val="left"/>
              <w:rPr>
                <w:color w:val="000000" w:themeColor="text1"/>
                <w14:textFill>
                  <w14:solidFill>
                    <w14:schemeClr w14:val="tx1"/>
                  </w14:solidFill>
                </w14:textFill>
              </w:rPr>
            </w:pPr>
            <w:r>
              <w:rPr>
                <w:color w:val="000000" w:themeColor="text1"/>
                <w14:textFill>
                  <w14:solidFill>
                    <w14:schemeClr w14:val="tx1"/>
                  </w14:solidFill>
                </w14:textFill>
              </w:rPr>
              <w:t>1.1、项目由来</w:t>
            </w:r>
          </w:p>
          <w:p w14:paraId="06B75222">
            <w:pPr>
              <w:keepNext w:val="0"/>
              <w:keepLines w:val="0"/>
              <w:pageBreakBefore w:val="0"/>
              <w:widowControl w:val="0"/>
              <w:tabs>
                <w:tab w:val="left" w:pos="4800"/>
              </w:tabs>
              <w:kinsoku/>
              <w:wordWrap/>
              <w:overflowPunct/>
              <w:topLinePunct w:val="0"/>
              <w:autoSpaceDE/>
              <w:autoSpaceDN/>
              <w:bidi w:val="0"/>
              <w:ind w:firstLine="480"/>
              <w:jc w:val="lef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高安福丽臻礼制造有限公司选址于</w:t>
            </w:r>
            <w:r>
              <w:rPr>
                <w:rFonts w:hint="eastAsia"/>
                <w:color w:val="000000" w:themeColor="text1"/>
                <w:lang w:val="en-US" w:eastAsia="zh-CN"/>
                <w14:textFill>
                  <w14:solidFill>
                    <w14:schemeClr w14:val="tx1"/>
                  </w14:solidFill>
                </w14:textFill>
              </w:rPr>
              <w:t>江西高安高新技术产业园区新世纪产业园，租赁新世纪产业园区</w:t>
            </w:r>
            <w:r>
              <w:rPr>
                <w:rFonts w:hint="eastAsia"/>
                <w:color w:val="000000" w:themeColor="text1"/>
                <w14:textFill>
                  <w14:solidFill>
                    <w14:schemeClr w14:val="tx1"/>
                  </w14:solidFill>
                </w14:textFill>
              </w:rPr>
              <w:t>祥星大道西侧标准厂房第8栋，</w:t>
            </w:r>
            <w:r>
              <w:rPr>
                <w:rFonts w:hint="eastAsia"/>
                <w:color w:val="000000" w:themeColor="text1"/>
                <w:lang w:val="en-US" w:eastAsia="zh-CN"/>
                <w14:textFill>
                  <w14:solidFill>
                    <w14:schemeClr w14:val="tx1"/>
                  </w14:solidFill>
                </w14:textFill>
              </w:rPr>
              <w:t>投资</w:t>
            </w:r>
            <w:r>
              <w:rPr>
                <w:rFonts w:hint="eastAsia"/>
                <w:color w:val="000000" w:themeColor="text1"/>
                <w14:textFill>
                  <w14:solidFill>
                    <w14:schemeClr w14:val="tx1"/>
                  </w14:solidFill>
                </w14:textFill>
              </w:rPr>
              <w:t>12000万元</w:t>
            </w:r>
            <w:r>
              <w:rPr>
                <w:rFonts w:hint="eastAsia"/>
                <w:color w:val="000000" w:themeColor="text1"/>
                <w:lang w:val="en-US" w:eastAsia="zh-CN"/>
                <w14:textFill>
                  <w14:solidFill>
                    <w14:schemeClr w14:val="tx1"/>
                  </w14:solidFill>
                </w14:textFill>
              </w:rPr>
              <w:t>建设</w:t>
            </w:r>
            <w:r>
              <w:rPr>
                <w:rFonts w:hint="eastAsia"/>
                <w:color w:val="000000" w:themeColor="text1"/>
                <w14:textFill>
                  <w14:solidFill>
                    <w14:schemeClr w14:val="tx1"/>
                  </w14:solidFill>
                </w14:textFill>
              </w:rPr>
              <w:t>“高安福丽臻礼制造有限公司年产300万件文化工艺品项目”</w:t>
            </w:r>
            <w:r>
              <w:rPr>
                <w:rFonts w:hint="eastAsia"/>
                <w:color w:val="000000" w:themeColor="text1"/>
                <w:lang w:eastAsia="zh-CN"/>
                <w14:textFill>
                  <w14:solidFill>
                    <w14:schemeClr w14:val="tx1"/>
                  </w14:solidFill>
                </w14:textFill>
              </w:rPr>
              <w:t>。</w:t>
            </w:r>
          </w:p>
          <w:p w14:paraId="7A6CB1CE">
            <w:pPr>
              <w:keepNext w:val="0"/>
              <w:keepLines w:val="0"/>
              <w:pageBreakBefore w:val="0"/>
              <w:widowControl w:val="0"/>
              <w:tabs>
                <w:tab w:val="left" w:pos="4800"/>
              </w:tabs>
              <w:kinsoku/>
              <w:wordWrap/>
              <w:overflowPunct/>
              <w:topLinePunct w:val="0"/>
              <w:autoSpaceDE/>
              <w:autoSpaceDN/>
              <w:bidi w:val="0"/>
              <w:ind w:firstLine="480"/>
              <w:jc w:val="lef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根据《建设项目环境影响评价分类管理名录》（2021年版），本项目属于其中“二十一、文教、工美、体育和娱乐用品制造业24”中41的“工艺美术及礼仪用品制</w:t>
            </w:r>
            <w:r>
              <w:rPr>
                <w:color w:val="000000" w:themeColor="text1"/>
                <w14:textFill>
                  <w14:solidFill>
                    <w14:schemeClr w14:val="tx1"/>
                  </w14:solidFill>
                </w14:textFill>
              </w:rPr>
              <w:t>243</w:t>
            </w:r>
            <w:r>
              <w:rPr>
                <w:rFonts w:hint="eastAsia"/>
                <w:color w:val="000000" w:themeColor="text1"/>
                <w14:textFill>
                  <w14:solidFill>
                    <w14:schemeClr w14:val="tx1"/>
                  </w14:solidFill>
                </w14:textFill>
              </w:rPr>
              <w:t>-年用溶剂型涂料（含稀释剂）在10吨以下的”。按分类管理名录要求，本项目需要编制环境影响报告表。因此，建设单位于2025年</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月委托本单位编制该项目的环境影响报告表，本环评单位接受委托后，前往现场进行了实地踏勘，同时根据项目的工程特征和建设区域的环境状况，对建设项目的环境影响因素进行了分析，依据《中华人民共和国环境影响评价法》《建设项目环境保护管理条例》《建设项目环境影响报告表编制技术指南（污染影响类）（试行）》中的有关要求和技术规范，编制了本项目的环境影响报告表。</w:t>
            </w:r>
          </w:p>
          <w:p w14:paraId="7D4962FA">
            <w:pPr>
              <w:keepNext w:val="0"/>
              <w:keepLines w:val="0"/>
              <w:pageBreakBefore w:val="0"/>
              <w:widowControl w:val="0"/>
              <w:tabs>
                <w:tab w:val="left" w:pos="4800"/>
              </w:tabs>
              <w:kinsoku/>
              <w:wordWrap/>
              <w:overflowPunct/>
              <w:topLinePunct w:val="0"/>
              <w:autoSpaceDE/>
              <w:autoSpaceDN/>
              <w:bidi w:val="0"/>
              <w:ind w:firstLine="480"/>
              <w:jc w:val="lef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1.2、建设项目概况</w:t>
            </w:r>
          </w:p>
          <w:p w14:paraId="03671A05">
            <w:pPr>
              <w:keepNext w:val="0"/>
              <w:keepLines w:val="0"/>
              <w:pageBreakBefore w:val="0"/>
              <w:widowControl w:val="0"/>
              <w:kinsoku/>
              <w:wordWrap/>
              <w:overflowPunct/>
              <w:topLinePunct w:val="0"/>
              <w:autoSpaceDE/>
              <w:autoSpaceDN/>
              <w:bidi w:val="0"/>
              <w:adjustRightInd/>
              <w:snapToGrid/>
              <w:ind w:firstLine="480"/>
              <w:textAlignment w:val="auto"/>
              <w:rPr>
                <w:color w:val="000000" w:themeColor="text1"/>
                <w14:textFill>
                  <w14:solidFill>
                    <w14:schemeClr w14:val="tx1"/>
                  </w14:solidFill>
                </w14:textFill>
              </w:rPr>
            </w:pPr>
            <w:r>
              <w:rPr>
                <w:color w:val="000000" w:themeColor="text1"/>
                <w14:textFill>
                  <w14:solidFill>
                    <w14:schemeClr w14:val="tx1"/>
                  </w14:solidFill>
                </w14:textFill>
              </w:rPr>
              <w:t>项目名称：</w:t>
            </w:r>
            <w:r>
              <w:rPr>
                <w:rFonts w:hint="eastAsia"/>
                <w:color w:val="000000" w:themeColor="text1"/>
                <w14:textFill>
                  <w14:solidFill>
                    <w14:schemeClr w14:val="tx1"/>
                  </w14:solidFill>
                </w14:textFill>
              </w:rPr>
              <w:t>高安福丽臻礼制造有限公司年产300万件文化工艺品项目</w:t>
            </w:r>
            <w:r>
              <w:rPr>
                <w:color w:val="000000" w:themeColor="text1"/>
                <w14:textFill>
                  <w14:solidFill>
                    <w14:schemeClr w14:val="tx1"/>
                  </w14:solidFill>
                </w14:textFill>
              </w:rPr>
              <w:t>；</w:t>
            </w:r>
          </w:p>
          <w:p w14:paraId="255DD569">
            <w:pPr>
              <w:keepNext w:val="0"/>
              <w:keepLines w:val="0"/>
              <w:pageBreakBefore w:val="0"/>
              <w:widowControl w:val="0"/>
              <w:kinsoku/>
              <w:wordWrap/>
              <w:overflowPunct/>
              <w:topLinePunct w:val="0"/>
              <w:autoSpaceDE/>
              <w:autoSpaceDN/>
              <w:bidi w:val="0"/>
              <w:adjustRightInd/>
              <w:snapToGrid/>
              <w:ind w:firstLine="480"/>
              <w:textAlignment w:val="auto"/>
              <w:rPr>
                <w:color w:val="000000" w:themeColor="text1"/>
                <w14:textFill>
                  <w14:solidFill>
                    <w14:schemeClr w14:val="tx1"/>
                  </w14:solidFill>
                </w14:textFill>
              </w:rPr>
            </w:pPr>
            <w:r>
              <w:rPr>
                <w:color w:val="000000" w:themeColor="text1"/>
                <w14:textFill>
                  <w14:solidFill>
                    <w14:schemeClr w14:val="tx1"/>
                  </w14:solidFill>
                </w14:textFill>
              </w:rPr>
              <w:t>建设单位：</w:t>
            </w:r>
            <w:bookmarkStart w:id="20" w:name="OLE_LINK37"/>
            <w:r>
              <w:rPr>
                <w:rFonts w:hint="eastAsia"/>
                <w:color w:val="000000" w:themeColor="text1"/>
                <w14:textFill>
                  <w14:solidFill>
                    <w14:schemeClr w14:val="tx1"/>
                  </w14:solidFill>
                </w14:textFill>
              </w:rPr>
              <w:t>高安福丽臻礼制造有限公司</w:t>
            </w:r>
            <w:bookmarkEnd w:id="20"/>
            <w:r>
              <w:rPr>
                <w:color w:val="000000" w:themeColor="text1"/>
                <w14:textFill>
                  <w14:solidFill>
                    <w14:schemeClr w14:val="tx1"/>
                  </w14:solidFill>
                </w14:textFill>
              </w:rPr>
              <w:t>；</w:t>
            </w:r>
          </w:p>
          <w:p w14:paraId="1BD0DB56">
            <w:pPr>
              <w:keepNext w:val="0"/>
              <w:keepLines w:val="0"/>
              <w:pageBreakBefore w:val="0"/>
              <w:widowControl w:val="0"/>
              <w:kinsoku/>
              <w:wordWrap/>
              <w:overflowPunct/>
              <w:topLinePunct w:val="0"/>
              <w:autoSpaceDE/>
              <w:autoSpaceDN/>
              <w:bidi w:val="0"/>
              <w:adjustRightInd/>
              <w:snapToGrid/>
              <w:ind w:firstLine="480"/>
              <w:textAlignment w:val="auto"/>
              <w:rPr>
                <w:color w:val="000000" w:themeColor="text1"/>
                <w14:textFill>
                  <w14:solidFill>
                    <w14:schemeClr w14:val="tx1"/>
                  </w14:solidFill>
                </w14:textFill>
              </w:rPr>
            </w:pPr>
            <w:r>
              <w:rPr>
                <w:color w:val="000000" w:themeColor="text1"/>
                <w14:textFill>
                  <w14:solidFill>
                    <w14:schemeClr w14:val="tx1"/>
                  </w14:solidFill>
                </w14:textFill>
              </w:rPr>
              <w:t>建设地点：</w:t>
            </w:r>
            <w:r>
              <w:rPr>
                <w:rFonts w:hint="eastAsia"/>
                <w:color w:val="000000" w:themeColor="text1"/>
                <w:lang w:val="en-US" w:eastAsia="zh-CN"/>
                <w14:textFill>
                  <w14:solidFill>
                    <w14:schemeClr w14:val="tx1"/>
                  </w14:solidFill>
                </w14:textFill>
              </w:rPr>
              <w:t>江西高安高新技术产业园区新世纪产业园</w:t>
            </w:r>
            <w:r>
              <w:rPr>
                <w:rFonts w:hint="eastAsia"/>
                <w:color w:val="000000" w:themeColor="text1"/>
                <w14:textFill>
                  <w14:solidFill>
                    <w14:schemeClr w14:val="tx1"/>
                  </w14:solidFill>
                </w14:textFill>
              </w:rPr>
              <w:t>祥星大道西侧标准厂房第8栋</w:t>
            </w:r>
            <w:r>
              <w:rPr>
                <w:color w:val="000000" w:themeColor="text1"/>
                <w14:textFill>
                  <w14:solidFill>
                    <w14:schemeClr w14:val="tx1"/>
                  </w14:solidFill>
                </w14:textFill>
              </w:rPr>
              <w:t>；</w:t>
            </w:r>
          </w:p>
          <w:p w14:paraId="367B42F1">
            <w:pPr>
              <w:keepNext w:val="0"/>
              <w:keepLines w:val="0"/>
              <w:pageBreakBefore w:val="0"/>
              <w:widowControl w:val="0"/>
              <w:kinsoku/>
              <w:wordWrap/>
              <w:overflowPunct/>
              <w:topLinePunct w:val="0"/>
              <w:autoSpaceDE/>
              <w:autoSpaceDN/>
              <w:bidi w:val="0"/>
              <w:adjustRightInd/>
              <w:snapToGrid/>
              <w:ind w:firstLine="480"/>
              <w:textAlignment w:val="auto"/>
              <w:rPr>
                <w:color w:val="000000" w:themeColor="text1"/>
                <w14:textFill>
                  <w14:solidFill>
                    <w14:schemeClr w14:val="tx1"/>
                  </w14:solidFill>
                </w14:textFill>
              </w:rPr>
            </w:pPr>
            <w:r>
              <w:rPr>
                <w:color w:val="000000" w:themeColor="text1"/>
                <w14:textFill>
                  <w14:solidFill>
                    <w14:schemeClr w14:val="tx1"/>
                  </w14:solidFill>
                </w14:textFill>
              </w:rPr>
              <w:t>地理坐标：</w:t>
            </w:r>
            <w:bookmarkStart w:id="21" w:name="OLE_LINK19"/>
            <w:r>
              <w:rPr>
                <w:rFonts w:hint="eastAsia"/>
                <w:color w:val="000000" w:themeColor="text1"/>
                <w:lang w:val="en-US" w:eastAsia="zh-CN"/>
                <w14:textFill>
                  <w14:solidFill>
                    <w14:schemeClr w14:val="tx1"/>
                  </w14:solidFill>
                </w14:textFill>
              </w:rPr>
              <w:t>东经</w:t>
            </w:r>
            <w:r>
              <w:rPr>
                <w:color w:val="000000" w:themeColor="text1"/>
                <w14:textFill>
                  <w14:solidFill>
                    <w14:schemeClr w14:val="tx1"/>
                  </w14:solidFill>
                </w14:textFill>
              </w:rPr>
              <w:t>115°27'1</w:t>
            </w:r>
            <w:r>
              <w:rPr>
                <w:rFonts w:hint="eastAsia"/>
                <w:color w:val="000000" w:themeColor="text1"/>
                <w:lang w:val="en-US" w:eastAsia="zh-CN"/>
                <w14:textFill>
                  <w14:solidFill>
                    <w14:schemeClr w14:val="tx1"/>
                  </w14:solidFill>
                </w14:textFill>
              </w:rPr>
              <w:t>7.164</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北纬</w:t>
            </w:r>
            <w:r>
              <w:rPr>
                <w:color w:val="000000" w:themeColor="text1"/>
                <w14:textFill>
                  <w14:solidFill>
                    <w14:schemeClr w14:val="tx1"/>
                  </w14:solidFill>
                </w14:textFill>
              </w:rPr>
              <w:t>28°28'</w:t>
            </w:r>
            <w:r>
              <w:rPr>
                <w:rFonts w:hint="eastAsia"/>
                <w:color w:val="000000" w:themeColor="text1"/>
                <w:lang w:val="en-US" w:eastAsia="zh-CN"/>
                <w14:textFill>
                  <w14:solidFill>
                    <w14:schemeClr w14:val="tx1"/>
                  </w14:solidFill>
                </w14:textFill>
              </w:rPr>
              <w:t>0.290</w:t>
            </w:r>
            <w:r>
              <w:rPr>
                <w:color w:val="000000" w:themeColor="text1"/>
                <w14:textFill>
                  <w14:solidFill>
                    <w14:schemeClr w14:val="tx1"/>
                  </w14:solidFill>
                </w14:textFill>
              </w:rPr>
              <w:t>"；</w:t>
            </w:r>
            <w:bookmarkEnd w:id="21"/>
          </w:p>
          <w:p w14:paraId="3F386E75">
            <w:pPr>
              <w:keepNext w:val="0"/>
              <w:keepLines w:val="0"/>
              <w:pageBreakBefore w:val="0"/>
              <w:widowControl w:val="0"/>
              <w:kinsoku/>
              <w:wordWrap/>
              <w:overflowPunct/>
              <w:topLinePunct w:val="0"/>
              <w:autoSpaceDE/>
              <w:autoSpaceDN/>
              <w:bidi w:val="0"/>
              <w:adjustRightInd/>
              <w:snapToGrid/>
              <w:ind w:firstLine="480"/>
              <w:textAlignment w:val="auto"/>
              <w:rPr>
                <w:color w:val="000000" w:themeColor="text1"/>
                <w14:textFill>
                  <w14:solidFill>
                    <w14:schemeClr w14:val="tx1"/>
                  </w14:solidFill>
                </w14:textFill>
              </w:rPr>
            </w:pPr>
            <w:r>
              <w:rPr>
                <w:color w:val="000000" w:themeColor="text1"/>
                <w14:textFill>
                  <w14:solidFill>
                    <w14:schemeClr w14:val="tx1"/>
                  </w14:solidFill>
                </w14:textFill>
              </w:rPr>
              <w:t>建设性质：新建；</w:t>
            </w:r>
          </w:p>
          <w:p w14:paraId="1424084E">
            <w:pPr>
              <w:keepNext w:val="0"/>
              <w:keepLines w:val="0"/>
              <w:pageBreakBefore w:val="0"/>
              <w:widowControl w:val="0"/>
              <w:kinsoku/>
              <w:wordWrap/>
              <w:overflowPunct/>
              <w:topLinePunct w:val="0"/>
              <w:autoSpaceDE/>
              <w:autoSpaceDN/>
              <w:bidi w:val="0"/>
              <w:adjustRightInd/>
              <w:snapToGrid/>
              <w:ind w:firstLine="48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职工人数：项目</w:t>
            </w:r>
            <w:r>
              <w:rPr>
                <w:rFonts w:hint="eastAsia"/>
                <w:color w:val="000000" w:themeColor="text1"/>
                <w:lang w:val="en-US" w:eastAsia="zh-CN"/>
                <w14:textFill>
                  <w14:solidFill>
                    <w14:schemeClr w14:val="tx1"/>
                  </w14:solidFill>
                </w14:textFill>
              </w:rPr>
              <w:t>劳动定员</w:t>
            </w:r>
            <w:r>
              <w:rPr>
                <w:rFonts w:hint="eastAsia"/>
                <w:color w:val="000000" w:themeColor="text1"/>
                <w14:textFill>
                  <w14:solidFill>
                    <w14:schemeClr w14:val="tx1"/>
                  </w14:solidFill>
                </w14:textFill>
              </w:rPr>
              <w:t>91人，厂区不提供住宿，不设食堂，不提供淋浴。</w:t>
            </w:r>
          </w:p>
          <w:p w14:paraId="31C3E314">
            <w:pPr>
              <w:keepNext w:val="0"/>
              <w:keepLines w:val="0"/>
              <w:pageBreakBefore w:val="0"/>
              <w:widowControl w:val="0"/>
              <w:kinsoku/>
              <w:wordWrap/>
              <w:overflowPunct/>
              <w:topLinePunct w:val="0"/>
              <w:autoSpaceDE/>
              <w:autoSpaceDN/>
              <w:bidi w:val="0"/>
              <w:adjustRightInd/>
              <w:snapToGrid/>
              <w:ind w:firstLine="48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工作制度：年工作日</w:t>
            </w:r>
            <w:r>
              <w:rPr>
                <w:color w:val="000000" w:themeColor="text1"/>
                <w14:textFill>
                  <w14:solidFill>
                    <w14:schemeClr w14:val="tx1"/>
                  </w14:solidFill>
                </w14:textFill>
              </w:rPr>
              <w:t>300</w:t>
            </w:r>
            <w:r>
              <w:rPr>
                <w:rFonts w:hint="eastAsia"/>
                <w:color w:val="000000" w:themeColor="text1"/>
                <w14:textFill>
                  <w14:solidFill>
                    <w14:schemeClr w14:val="tx1"/>
                  </w14:solidFill>
                </w14:textFill>
              </w:rPr>
              <w:t>天，每天工作</w:t>
            </w:r>
            <w:r>
              <w:rPr>
                <w:color w:val="000000" w:themeColor="text1"/>
                <w14:textFill>
                  <w14:solidFill>
                    <w14:schemeClr w14:val="tx1"/>
                  </w14:solidFill>
                </w14:textFill>
              </w:rPr>
              <w:t>8</w:t>
            </w:r>
            <w:r>
              <w:rPr>
                <w:rFonts w:hint="eastAsia"/>
                <w:color w:val="000000" w:themeColor="text1"/>
                <w14:textFill>
                  <w14:solidFill>
                    <w14:schemeClr w14:val="tx1"/>
                  </w14:solidFill>
                </w14:textFill>
              </w:rPr>
              <w:t>小时（均为昼间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夜间不生产</w:t>
            </w:r>
            <w:r>
              <w:rPr>
                <w:rFonts w:hint="eastAsia"/>
                <w:color w:val="000000" w:themeColor="text1"/>
                <w14:textFill>
                  <w14:solidFill>
                    <w14:schemeClr w14:val="tx1"/>
                  </w14:solidFill>
                </w14:textFill>
              </w:rPr>
              <w:t>）。</w:t>
            </w:r>
          </w:p>
          <w:p w14:paraId="42EB53B4">
            <w:pPr>
              <w:adjustRightInd/>
              <w:snapToGrid/>
              <w:ind w:firstLine="480"/>
              <w:rPr>
                <w:color w:val="000000" w:themeColor="text1"/>
                <w:highlight w:val="yellow"/>
                <w14:textFill>
                  <w14:solidFill>
                    <w14:schemeClr w14:val="tx1"/>
                  </w14:solidFill>
                </w14:textFill>
              </w:rPr>
            </w:pPr>
            <w:r>
              <w:rPr>
                <w:color w:val="000000" w:themeColor="text1"/>
                <w14:textFill>
                  <w14:solidFill>
                    <w14:schemeClr w14:val="tx1"/>
                  </w14:solidFill>
                </w14:textFill>
              </w:rPr>
              <w:t>建设内容：</w:t>
            </w:r>
            <w:r>
              <w:rPr>
                <w:rFonts w:hint="eastAsia"/>
                <w:color w:val="000000" w:themeColor="text1"/>
                <w14:textFill>
                  <w14:solidFill>
                    <w14:schemeClr w14:val="tx1"/>
                  </w14:solidFill>
                </w14:textFill>
              </w:rPr>
              <w:t>项目租赁园区标准厂房</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共4层，建筑面积合计16898</w:t>
            </w:r>
            <w:r>
              <w:rPr>
                <w:color w:val="000000" w:themeColor="text1"/>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布置</w:t>
            </w:r>
            <w:r>
              <w:rPr>
                <w:rFonts w:hint="eastAsia"/>
                <w:color w:val="000000" w:themeColor="text1"/>
                <w14:textFill>
                  <w14:solidFill>
                    <w14:schemeClr w14:val="tx1"/>
                  </w14:solidFill>
                </w14:textFill>
              </w:rPr>
              <w:t>开模-成型车间、喷漆车间、彩绘车间、组装-包装车间、仓库、办公区等工程。</w:t>
            </w:r>
            <w:r>
              <w:rPr>
                <w:color w:val="000000" w:themeColor="text1"/>
                <w14:textFill>
                  <w14:solidFill>
                    <w14:schemeClr w14:val="tx1"/>
                  </w14:solidFill>
                </w14:textFill>
              </w:rPr>
              <w:t>项目建成后可形成</w:t>
            </w:r>
            <w:r>
              <w:rPr>
                <w:rFonts w:hint="eastAsia"/>
                <w:color w:val="000000" w:themeColor="text1"/>
                <w14:textFill>
                  <w14:solidFill>
                    <w14:schemeClr w14:val="tx1"/>
                  </w14:solidFill>
                </w14:textFill>
              </w:rPr>
              <w:t>年产300万件文化工艺品</w:t>
            </w:r>
            <w:r>
              <w:rPr>
                <w:color w:val="000000" w:themeColor="text1"/>
                <w14:textFill>
                  <w14:solidFill>
                    <w14:schemeClr w14:val="tx1"/>
                  </w14:solidFill>
                </w14:textFill>
              </w:rPr>
              <w:t>。</w:t>
            </w:r>
          </w:p>
          <w:p w14:paraId="13133BD4">
            <w:pPr>
              <w:ind w:firstLine="480"/>
              <w:rPr>
                <w:color w:val="000000" w:themeColor="text1"/>
                <w14:textFill>
                  <w14:solidFill>
                    <w14:schemeClr w14:val="tx1"/>
                  </w14:solidFill>
                </w14:textFill>
              </w:rPr>
            </w:pPr>
            <w:r>
              <w:rPr>
                <w:color w:val="000000" w:themeColor="text1"/>
                <w14:textFill>
                  <w14:solidFill>
                    <w14:schemeClr w14:val="tx1"/>
                  </w14:solidFill>
                </w14:textFill>
              </w:rPr>
              <w:t>四至情况：</w:t>
            </w:r>
            <w:r>
              <w:rPr>
                <w:rFonts w:hint="eastAsia"/>
                <w:color w:val="000000" w:themeColor="text1"/>
                <w14:textFill>
                  <w14:solidFill>
                    <w14:schemeClr w14:val="tx1"/>
                  </w14:solidFill>
                </w14:textFill>
              </w:rPr>
              <w:t>项目东面为停车区，东南面为</w:t>
            </w:r>
            <w:r>
              <w:rPr>
                <w:rFonts w:hint="eastAsia"/>
                <w:color w:val="000000" w:themeColor="text1"/>
                <w:lang w:val="en-US" w:eastAsia="zh-CN"/>
                <w14:textFill>
                  <w14:solidFill>
                    <w14:schemeClr w14:val="tx1"/>
                  </w14:solidFill>
                </w14:textFill>
              </w:rPr>
              <w:t>空置房屋（园区物业管理用房）</w:t>
            </w:r>
            <w:r>
              <w:rPr>
                <w:rFonts w:hint="eastAsia"/>
                <w:color w:val="000000" w:themeColor="text1"/>
                <w14:textFill>
                  <w14:solidFill>
                    <w14:schemeClr w14:val="tx1"/>
                  </w14:solidFill>
                </w14:textFill>
              </w:rPr>
              <w:t>；南面为新东申制衣厂；西面为</w:t>
            </w:r>
            <w:r>
              <w:rPr>
                <w:rFonts w:hint="eastAsia"/>
                <w:color w:val="000000" w:themeColor="text1"/>
                <w:lang w:val="en-US" w:eastAsia="zh-CN"/>
                <w14:textFill>
                  <w14:solidFill>
                    <w14:schemeClr w14:val="tx1"/>
                  </w14:solidFill>
                </w14:textFill>
              </w:rPr>
              <w:t>祥龙大道</w:t>
            </w:r>
            <w:r>
              <w:rPr>
                <w:rFonts w:hint="eastAsia"/>
                <w:color w:val="000000" w:themeColor="text1"/>
                <w14:textFill>
                  <w14:solidFill>
                    <w14:schemeClr w14:val="tx1"/>
                  </w14:solidFill>
                </w14:textFill>
              </w:rPr>
              <w:t>；北面为空置</w:t>
            </w:r>
            <w:r>
              <w:rPr>
                <w:rFonts w:hint="eastAsia"/>
                <w:color w:val="000000" w:themeColor="text1"/>
                <w:lang w:val="en-US" w:eastAsia="zh-CN"/>
                <w14:textFill>
                  <w14:solidFill>
                    <w14:schemeClr w14:val="tx1"/>
                  </w14:solidFill>
                </w14:textFill>
              </w:rPr>
              <w:t>标准厂房</w:t>
            </w:r>
            <w:r>
              <w:rPr>
                <w:color w:val="000000" w:themeColor="text1"/>
                <w14:textFill>
                  <w14:solidFill>
                    <w14:schemeClr w14:val="tx1"/>
                  </w14:solidFill>
                </w14:textFill>
              </w:rPr>
              <w:t>。项目厂界四周照片如图</w:t>
            </w:r>
            <w:r>
              <w:rPr>
                <w:rFonts w:hint="eastAsia"/>
                <w:color w:val="000000" w:themeColor="text1"/>
                <w14:textFill>
                  <w14:solidFill>
                    <w14:schemeClr w14:val="tx1"/>
                  </w14:solidFill>
                </w14:textFill>
              </w:rPr>
              <w:t>2-1</w:t>
            </w:r>
            <w:r>
              <w:rPr>
                <w:color w:val="000000" w:themeColor="text1"/>
                <w14:textFill>
                  <w14:solidFill>
                    <w14:schemeClr w14:val="tx1"/>
                  </w14:solidFill>
                </w14:textFill>
              </w:rPr>
              <w:t>所示</w:t>
            </w:r>
            <w:r>
              <w:rPr>
                <w:rFonts w:hint="eastAsia"/>
                <w:color w:val="000000" w:themeColor="text1"/>
                <w14:textFill>
                  <w14:solidFill>
                    <w14:schemeClr w14:val="tx1"/>
                  </w14:solidFill>
                </w14:textFill>
              </w:rPr>
              <w:t>。</w:t>
            </w:r>
          </w:p>
          <w:tbl>
            <w:tblPr>
              <w:tblStyle w:val="36"/>
              <w:tblW w:w="5000" w:type="pct"/>
              <w:tblInd w:w="5" w:type="dxa"/>
              <w:tblLayout w:type="autofit"/>
              <w:tblCellMar>
                <w:top w:w="0" w:type="dxa"/>
                <w:left w:w="108" w:type="dxa"/>
                <w:bottom w:w="0" w:type="dxa"/>
                <w:right w:w="108" w:type="dxa"/>
              </w:tblCellMar>
            </w:tblPr>
            <w:tblGrid>
              <w:gridCol w:w="4324"/>
              <w:gridCol w:w="4248"/>
            </w:tblGrid>
            <w:tr w14:paraId="008F7D84">
              <w:tblPrEx>
                <w:tblCellMar>
                  <w:top w:w="0" w:type="dxa"/>
                  <w:left w:w="108" w:type="dxa"/>
                  <w:bottom w:w="0" w:type="dxa"/>
                  <w:right w:w="108" w:type="dxa"/>
                </w:tblCellMar>
              </w:tblPrEx>
              <w:trPr>
                <w:trHeight w:val="3050" w:hRule="atLeast"/>
              </w:trPr>
              <w:tc>
                <w:tcPr>
                  <w:tcW w:w="2522" w:type="pct"/>
                </w:tcPr>
                <w:p w14:paraId="63EAEDDC">
                  <w:pPr>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2494280" cy="1871980"/>
                        <wp:effectExtent l="0" t="0" r="1270" b="0"/>
                        <wp:docPr id="169370817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708178" name="图片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494800" cy="1872000"/>
                                </a:xfrm>
                                <a:prstGeom prst="rect">
                                  <a:avLst/>
                                </a:prstGeom>
                                <a:noFill/>
                                <a:ln>
                                  <a:noFill/>
                                </a:ln>
                              </pic:spPr>
                            </pic:pic>
                          </a:graphicData>
                        </a:graphic>
                      </wp:inline>
                    </w:drawing>
                  </w:r>
                </w:p>
              </w:tc>
              <w:tc>
                <w:tcPr>
                  <w:tcW w:w="2477" w:type="pct"/>
                </w:tcPr>
                <w:p w14:paraId="46B3F374">
                  <w:pPr>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2498090" cy="1871980"/>
                        <wp:effectExtent l="0" t="0" r="635" b="0"/>
                        <wp:docPr id="104234251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342519" name="图片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498400" cy="1872000"/>
                                </a:xfrm>
                                <a:prstGeom prst="rect">
                                  <a:avLst/>
                                </a:prstGeom>
                                <a:noFill/>
                                <a:ln>
                                  <a:noFill/>
                                </a:ln>
                              </pic:spPr>
                            </pic:pic>
                          </a:graphicData>
                        </a:graphic>
                      </wp:inline>
                    </w:drawing>
                  </w:r>
                </w:p>
              </w:tc>
            </w:tr>
            <w:tr w14:paraId="3F6D0F34">
              <w:tblPrEx>
                <w:tblCellMar>
                  <w:top w:w="0" w:type="dxa"/>
                  <w:left w:w="108" w:type="dxa"/>
                  <w:bottom w:w="0" w:type="dxa"/>
                  <w:right w:w="108" w:type="dxa"/>
                </w:tblCellMar>
              </w:tblPrEx>
              <w:trPr>
                <w:trHeight w:val="23" w:hRule="atLeast"/>
              </w:trPr>
              <w:tc>
                <w:tcPr>
                  <w:tcW w:w="2522" w:type="pct"/>
                </w:tcPr>
                <w:p w14:paraId="3D132C05">
                  <w:pPr>
                    <w:spacing w:line="240" w:lineRule="auto"/>
                    <w:ind w:firstLine="0" w:firstLineChars="0"/>
                    <w:jc w:val="center"/>
                    <w:rPr>
                      <w:color w:val="000000" w:themeColor="text1"/>
                      <w14:textFill>
                        <w14:solidFill>
                          <w14:schemeClr w14:val="tx1"/>
                        </w14:solidFill>
                      </w14:textFill>
                    </w:rPr>
                  </w:pPr>
                  <w:r>
                    <w:rPr>
                      <w:b/>
                      <w:bCs/>
                      <w:color w:val="000000" w:themeColor="text1"/>
                      <w:sz w:val="21"/>
                      <w14:textFill>
                        <w14:solidFill>
                          <w14:schemeClr w14:val="tx1"/>
                        </w14:solidFill>
                      </w14:textFill>
                    </w:rPr>
                    <w:t>东</w:t>
                  </w:r>
                  <w:r>
                    <w:rPr>
                      <w:rFonts w:hint="eastAsia"/>
                      <w:b/>
                      <w:bCs/>
                      <w:color w:val="000000" w:themeColor="text1"/>
                      <w:sz w:val="21"/>
                      <w14:textFill>
                        <w14:solidFill>
                          <w14:schemeClr w14:val="tx1"/>
                        </w14:solidFill>
                      </w14:textFill>
                    </w:rPr>
                    <w:t>面</w:t>
                  </w:r>
                  <w:r>
                    <w:rPr>
                      <w:color w:val="000000" w:themeColor="text1"/>
                      <w14:textFill>
                        <w14:solidFill>
                          <w14:schemeClr w14:val="tx1"/>
                        </w14:solidFill>
                      </w14:textFill>
                    </w:rPr>
                    <w:drawing>
                      <wp:inline distT="0" distB="0" distL="0" distR="0">
                        <wp:extent cx="2494280" cy="1871980"/>
                        <wp:effectExtent l="0" t="0" r="0" b="0"/>
                        <wp:docPr id="4438805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880511" name="图片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494800" cy="1872000"/>
                                </a:xfrm>
                                <a:prstGeom prst="rect">
                                  <a:avLst/>
                                </a:prstGeom>
                                <a:noFill/>
                                <a:ln>
                                  <a:noFill/>
                                </a:ln>
                              </pic:spPr>
                            </pic:pic>
                          </a:graphicData>
                        </a:graphic>
                      </wp:inline>
                    </w:drawing>
                  </w:r>
                </w:p>
                <w:p w14:paraId="1BCED24C">
                  <w:pPr>
                    <w:ind w:firstLine="1897" w:firstLineChars="900"/>
                    <w:rPr>
                      <w:b/>
                      <w:bCs/>
                      <w:color w:val="000000" w:themeColor="text1"/>
                      <w:sz w:val="21"/>
                      <w14:textFill>
                        <w14:solidFill>
                          <w14:schemeClr w14:val="tx1"/>
                        </w14:solidFill>
                      </w14:textFill>
                    </w:rPr>
                  </w:pPr>
                  <w:r>
                    <w:rPr>
                      <w:rFonts w:hint="eastAsia"/>
                      <w:b/>
                      <w:bCs/>
                      <w:color w:val="000000" w:themeColor="text1"/>
                      <w:sz w:val="21"/>
                      <w14:textFill>
                        <w14:solidFill>
                          <w14:schemeClr w14:val="tx1"/>
                        </w14:solidFill>
                      </w14:textFill>
                    </w:rPr>
                    <w:t>西面</w:t>
                  </w:r>
                </w:p>
              </w:tc>
              <w:tc>
                <w:tcPr>
                  <w:tcW w:w="2477" w:type="pct"/>
                </w:tcPr>
                <w:p w14:paraId="553584D3">
                  <w:pPr>
                    <w:spacing w:line="240" w:lineRule="auto"/>
                    <w:ind w:firstLine="0" w:firstLineChars="0"/>
                    <w:jc w:val="center"/>
                    <w:rPr>
                      <w:b/>
                      <w:bCs/>
                      <w:color w:val="000000" w:themeColor="text1"/>
                      <w:sz w:val="21"/>
                      <w14:textFill>
                        <w14:solidFill>
                          <w14:schemeClr w14:val="tx1"/>
                        </w14:solidFill>
                      </w14:textFill>
                    </w:rPr>
                  </w:pPr>
                  <w:r>
                    <w:rPr>
                      <w:b/>
                      <w:bCs/>
                      <w:color w:val="000000" w:themeColor="text1"/>
                      <w:sz w:val="21"/>
                      <w14:textFill>
                        <w14:solidFill>
                          <w14:schemeClr w14:val="tx1"/>
                        </w14:solidFill>
                      </w14:textFill>
                    </w:rPr>
                    <w:t>南</w:t>
                  </w:r>
                  <w:r>
                    <w:rPr>
                      <w:rFonts w:hint="eastAsia"/>
                      <w:b/>
                      <w:bCs/>
                      <w:color w:val="000000" w:themeColor="text1"/>
                      <w:sz w:val="21"/>
                      <w14:textFill>
                        <w14:solidFill>
                          <w14:schemeClr w14:val="tx1"/>
                        </w14:solidFill>
                      </w14:textFill>
                    </w:rPr>
                    <w:t>面</w:t>
                  </w:r>
                </w:p>
                <w:p w14:paraId="686680EE">
                  <w:pPr>
                    <w:pStyle w:val="35"/>
                    <w:spacing w:line="240" w:lineRule="auto"/>
                    <w:ind w:left="1890" w:leftChars="0" w:hanging="1890" w:hangingChars="900"/>
                    <w:rPr>
                      <w:b/>
                      <w:bCs/>
                      <w:color w:val="000000" w:themeColor="text1"/>
                      <w:sz w:val="21"/>
                      <w:szCs w:val="24"/>
                      <w14:textFill>
                        <w14:solidFill>
                          <w14:schemeClr w14:val="tx1"/>
                        </w14:solidFill>
                      </w14:textFill>
                    </w:rPr>
                  </w:pPr>
                  <w:r>
                    <w:rPr>
                      <w:color w:val="000000" w:themeColor="text1"/>
                      <w:sz w:val="21"/>
                      <w14:textFill>
                        <w14:solidFill>
                          <w14:schemeClr w14:val="tx1"/>
                        </w14:solidFill>
                      </w14:textFill>
                    </w:rPr>
                    <w:drawing>
                      <wp:inline distT="0" distB="0" distL="0" distR="0">
                        <wp:extent cx="2494280" cy="1871980"/>
                        <wp:effectExtent l="0" t="0" r="635" b="4445"/>
                        <wp:docPr id="3553746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74630" name="图片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494800" cy="1872000"/>
                                </a:xfrm>
                                <a:prstGeom prst="rect">
                                  <a:avLst/>
                                </a:prstGeom>
                                <a:noFill/>
                                <a:ln>
                                  <a:noFill/>
                                </a:ln>
                              </pic:spPr>
                            </pic:pic>
                          </a:graphicData>
                        </a:graphic>
                      </wp:inline>
                    </w:drawing>
                  </w:r>
                  <w:r>
                    <w:rPr>
                      <w:rFonts w:hint="eastAsia"/>
                      <w:b/>
                      <w:bCs/>
                      <w:color w:val="000000" w:themeColor="text1"/>
                      <w:sz w:val="21"/>
                      <w:szCs w:val="24"/>
                      <w14:textFill>
                        <w14:solidFill>
                          <w14:schemeClr w14:val="tx1"/>
                        </w14:solidFill>
                      </w14:textFill>
                    </w:rPr>
                    <w:t>北面</w:t>
                  </w:r>
                </w:p>
              </w:tc>
            </w:tr>
          </w:tbl>
          <w:p w14:paraId="43197C4D">
            <w:pPr>
              <w:pStyle w:val="58"/>
              <w:spacing w:after="120"/>
              <w:ind w:firstLine="422"/>
              <w:rPr>
                <w:color w:val="000000" w:themeColor="text1"/>
                <w14:textFill>
                  <w14:solidFill>
                    <w14:schemeClr w14:val="tx1"/>
                  </w14:solidFill>
                </w14:textFill>
              </w:rPr>
            </w:pPr>
            <w:r>
              <w:rPr>
                <w:color w:val="000000" w:themeColor="text1"/>
                <w14:textFill>
                  <w14:solidFill>
                    <w14:schemeClr w14:val="tx1"/>
                  </w14:solidFill>
                </w14:textFill>
              </w:rPr>
              <w:t>项目四至</w:t>
            </w:r>
            <w:r>
              <w:rPr>
                <w:rFonts w:hint="eastAsia"/>
                <w:color w:val="000000" w:themeColor="text1"/>
                <w:lang w:val="en-US" w:eastAsia="zh-CN"/>
                <w14:textFill>
                  <w14:solidFill>
                    <w14:schemeClr w14:val="tx1"/>
                  </w14:solidFill>
                </w14:textFill>
              </w:rPr>
              <w:t>关系现场照片</w:t>
            </w:r>
          </w:p>
          <w:p w14:paraId="08A2A866">
            <w:pPr>
              <w:pStyle w:val="58"/>
              <w:numPr>
                <w:ilvl w:val="4"/>
                <w:numId w:val="0"/>
              </w:numPr>
              <w:tabs>
                <w:tab w:val="clear" w:pos="420"/>
              </w:tabs>
              <w:spacing w:after="12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4102100" cy="2540000"/>
                  <wp:effectExtent l="0" t="0" r="12700" b="12700"/>
                  <wp:docPr id="23" name="图片 23" descr="四至关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四至关系图"/>
                          <pic:cNvPicPr>
                            <a:picLocks noChangeAspect="1"/>
                          </pic:cNvPicPr>
                        </pic:nvPicPr>
                        <pic:blipFill>
                          <a:blip r:embed="rId22"/>
                          <a:stretch>
                            <a:fillRect/>
                          </a:stretch>
                        </pic:blipFill>
                        <pic:spPr>
                          <a:xfrm>
                            <a:off x="0" y="0"/>
                            <a:ext cx="4102100" cy="2540000"/>
                          </a:xfrm>
                          <a:prstGeom prst="rect">
                            <a:avLst/>
                          </a:prstGeom>
                        </pic:spPr>
                      </pic:pic>
                    </a:graphicData>
                  </a:graphic>
                </wp:inline>
              </w:drawing>
            </w:r>
          </w:p>
          <w:p w14:paraId="58382B04">
            <w:pPr>
              <w:pStyle w:val="58"/>
              <w:spacing w:after="120"/>
              <w:ind w:firstLine="422"/>
              <w:rPr>
                <w:color w:val="000000" w:themeColor="text1"/>
                <w14:textFill>
                  <w14:solidFill>
                    <w14:schemeClr w14:val="tx1"/>
                  </w14:solidFill>
                </w14:textFill>
              </w:rPr>
            </w:pPr>
            <w:r>
              <w:rPr>
                <w:color w:val="000000" w:themeColor="text1"/>
                <w14:textFill>
                  <w14:solidFill>
                    <w14:schemeClr w14:val="tx1"/>
                  </w14:solidFill>
                </w14:textFill>
              </w:rPr>
              <w:t>项目四至</w:t>
            </w:r>
            <w:r>
              <w:rPr>
                <w:rFonts w:hint="eastAsia"/>
                <w:color w:val="000000" w:themeColor="text1"/>
                <w:lang w:val="en-US" w:eastAsia="zh-CN"/>
                <w14:textFill>
                  <w14:solidFill>
                    <w14:schemeClr w14:val="tx1"/>
                  </w14:solidFill>
                </w14:textFill>
              </w:rPr>
              <w:t>关系图</w:t>
            </w:r>
          </w:p>
        </w:tc>
      </w:tr>
      <w:tr w14:paraId="09CB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1" w:hRule="atLeast"/>
          <w:jc w:val="center"/>
        </w:trPr>
        <w:tc>
          <w:tcPr>
            <w:tcW w:w="727" w:type="dxa"/>
            <w:tcBorders>
              <w:tl2br w:val="nil"/>
              <w:tr2bl w:val="nil"/>
            </w:tcBorders>
            <w:vAlign w:val="center"/>
          </w:tcPr>
          <w:p w14:paraId="3D24438D">
            <w:pPr>
              <w:pStyle w:val="31"/>
              <w:spacing w:before="0" w:beforeAutospacing="0" w:after="0" w:afterAutospacing="0"/>
              <w:ind w:firstLine="0" w:firstLineChars="0"/>
              <w:jc w:val="center"/>
              <w:rPr>
                <w:rFonts w:hint="eastAsia" w:cs="宋体"/>
                <w:color w:val="000000" w:themeColor="text1"/>
                <w:sz w:val="21"/>
                <w:szCs w:val="21"/>
                <w14:textFill>
                  <w14:solidFill>
                    <w14:schemeClr w14:val="tx1"/>
                  </w14:solidFill>
                </w14:textFill>
              </w:rPr>
            </w:pPr>
          </w:p>
        </w:tc>
        <w:tc>
          <w:tcPr>
            <w:tcW w:w="8515" w:type="dxa"/>
            <w:tcBorders>
              <w:tl2br w:val="nil"/>
              <w:tr2bl w:val="nil"/>
            </w:tcBorders>
          </w:tcPr>
          <w:p w14:paraId="523D8D10">
            <w:pPr>
              <w:ind w:firstLine="482"/>
              <w:jc w:val="left"/>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2、项目主要建设内容</w:t>
            </w:r>
          </w:p>
          <w:p w14:paraId="1E5982C5">
            <w:pPr>
              <w:ind w:firstLine="480"/>
              <w:textAlignment w:val="baseline"/>
              <w:rPr>
                <w:color w:val="000000" w:themeColor="text1"/>
                <w14:textFill>
                  <w14:solidFill>
                    <w14:schemeClr w14:val="tx1"/>
                  </w14:solidFill>
                </w14:textFill>
              </w:rPr>
            </w:pPr>
            <w:r>
              <w:rPr>
                <w:rFonts w:hint="eastAsia"/>
                <w:color w:val="000000" w:themeColor="text1"/>
                <w14:textFill>
                  <w14:solidFill>
                    <w14:schemeClr w14:val="tx1"/>
                  </w14:solidFill>
                </w14:textFill>
              </w:rPr>
              <w:t>项目</w:t>
            </w:r>
            <w:r>
              <w:rPr>
                <w:rFonts w:hint="eastAsia"/>
                <w:color w:val="000000" w:themeColor="text1"/>
                <w:lang w:val="en-US" w:eastAsia="zh-CN"/>
                <w14:textFill>
                  <w14:solidFill>
                    <w14:schemeClr w14:val="tx1"/>
                  </w14:solidFill>
                </w14:textFill>
              </w:rPr>
              <w:t>租赁1栋占地面积约4224.5m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vertAlign w:val="baseline"/>
                <w:lang w:val="en-US" w:eastAsia="zh-CN"/>
                <w14:textFill>
                  <w14:solidFill>
                    <w14:schemeClr w14:val="tx1"/>
                  </w14:solidFill>
                </w14:textFill>
              </w:rPr>
              <w:t>标准厂房进行建设，总共4层，第一层高度为7m，其余楼层高度为5.2m；建设内容</w:t>
            </w:r>
            <w:r>
              <w:rPr>
                <w:rFonts w:hint="eastAsia"/>
                <w:color w:val="000000" w:themeColor="text1"/>
                <w:lang w:val="en-US" w:eastAsia="zh-CN"/>
                <w14:textFill>
                  <w14:solidFill>
                    <w14:schemeClr w14:val="tx1"/>
                  </w14:solidFill>
                </w14:textFill>
              </w:rPr>
              <w:t>包括：</w:t>
            </w:r>
            <w:r>
              <w:rPr>
                <w:rFonts w:hint="eastAsia"/>
                <w:color w:val="000000" w:themeColor="text1"/>
                <w14:textFill>
                  <w14:solidFill>
                    <w14:schemeClr w14:val="tx1"/>
                  </w14:solidFill>
                </w14:textFill>
              </w:rPr>
              <w:t>主体工程、储运工程、辅助工程、</w:t>
            </w:r>
            <w:r>
              <w:rPr>
                <w:color w:val="000000" w:themeColor="text1"/>
                <w14:textFill>
                  <w14:solidFill>
                    <w14:schemeClr w14:val="tx1"/>
                  </w14:solidFill>
                </w14:textFill>
              </w:rPr>
              <w:t>公用工程和环保工程。</w:t>
            </w:r>
          </w:p>
          <w:p w14:paraId="2E7D9F46">
            <w:pPr>
              <w:ind w:firstLine="480"/>
              <w:textAlignment w:val="baseline"/>
              <w:rPr>
                <w:rFonts w:hint="default"/>
                <w:color w:val="000000" w:themeColor="text1"/>
                <w:lang w:val="en-US" w:eastAsia="zh-CN"/>
                <w14:textFill>
                  <w14:solidFill>
                    <w14:schemeClr w14:val="tx1"/>
                  </w14:solidFill>
                </w14:textFill>
              </w:rPr>
            </w:pPr>
            <w:r>
              <w:rPr>
                <w:rFonts w:hint="eastAsia"/>
                <w:b/>
                <w:bCs/>
                <w:color w:val="000000" w:themeColor="text1"/>
                <w:u w:val="single"/>
                <w:lang w:val="en-US" w:eastAsia="zh-CN"/>
                <w14:textFill>
                  <w14:solidFill>
                    <w14:schemeClr w14:val="tx1"/>
                  </w14:solidFill>
                </w14:textFill>
              </w:rPr>
              <w:t>关于项目厂界的说明：</w:t>
            </w:r>
            <w:r>
              <w:rPr>
                <w:rFonts w:hint="eastAsia"/>
                <w:color w:val="000000" w:themeColor="text1"/>
                <w:lang w:val="en-US" w:eastAsia="zh-CN"/>
                <w14:textFill>
                  <w14:solidFill>
                    <w14:schemeClr w14:val="tx1"/>
                  </w14:solidFill>
                </w14:textFill>
              </w:rPr>
              <w:t>由于本项目是租赁整栋标准厂房作为生产、办公之用，标准厂房外为园区内部道路。项目厂区没有围墙或围栏等作为厂界，因此本次评价以标准厂房外5米范围内作为本项目厂界。</w:t>
            </w:r>
          </w:p>
          <w:p w14:paraId="4CEB4B6B">
            <w:pPr>
              <w:pStyle w:val="57"/>
              <w:numPr>
                <w:ilvl w:val="3"/>
                <w:numId w:val="19"/>
              </w:numPr>
              <w:rPr>
                <w:color w:val="000000" w:themeColor="text1"/>
                <w:lang w:eastAsia="zh-CN"/>
                <w14:textFill>
                  <w14:solidFill>
                    <w14:schemeClr w14:val="tx1"/>
                  </w14:solidFill>
                </w14:textFill>
              </w:rPr>
            </w:pPr>
            <w:r>
              <w:rPr>
                <w:color w:val="000000" w:themeColor="text1"/>
                <w14:textFill>
                  <w14:solidFill>
                    <w14:schemeClr w14:val="tx1"/>
                  </w14:solidFill>
                </w14:textFill>
              </w:rPr>
              <w:t>建设项目组成表</w:t>
            </w:r>
          </w:p>
          <w:tbl>
            <w:tblPr>
              <w:tblStyle w:val="36"/>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autofit"/>
              <w:tblCellMar>
                <w:top w:w="0" w:type="dxa"/>
                <w:left w:w="108" w:type="dxa"/>
                <w:bottom w:w="0" w:type="dxa"/>
                <w:right w:w="108" w:type="dxa"/>
              </w:tblCellMar>
            </w:tblPr>
            <w:tblGrid>
              <w:gridCol w:w="739"/>
              <w:gridCol w:w="1145"/>
              <w:gridCol w:w="4834"/>
              <w:gridCol w:w="1851"/>
            </w:tblGrid>
            <w:tr w14:paraId="7F4BD57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tcBorders>
                    <w:tl2br w:val="nil"/>
                    <w:tr2bl w:val="nil"/>
                  </w:tcBorders>
                  <w:vAlign w:val="center"/>
                </w:tcPr>
                <w:p w14:paraId="26E26A3C">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类别</w:t>
                  </w:r>
                </w:p>
              </w:tc>
              <w:tc>
                <w:tcPr>
                  <w:tcW w:w="668" w:type="pct"/>
                  <w:tcBorders>
                    <w:tl2br w:val="nil"/>
                    <w:tr2bl w:val="nil"/>
                  </w:tcBorders>
                  <w:vAlign w:val="center"/>
                </w:tcPr>
                <w:p w14:paraId="57125A3C">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工程名称</w:t>
                  </w:r>
                </w:p>
              </w:tc>
              <w:tc>
                <w:tcPr>
                  <w:tcW w:w="2820" w:type="pct"/>
                  <w:tcBorders>
                    <w:tl2br w:val="nil"/>
                    <w:tr2bl w:val="nil"/>
                  </w:tcBorders>
                  <w:vAlign w:val="center"/>
                </w:tcPr>
                <w:p w14:paraId="761C92D9">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建设内容</w:t>
                  </w:r>
                </w:p>
              </w:tc>
              <w:tc>
                <w:tcPr>
                  <w:tcW w:w="1080" w:type="pct"/>
                  <w:tcBorders>
                    <w:tl2br w:val="nil"/>
                    <w:tr2bl w:val="nil"/>
                  </w:tcBorders>
                  <w:vAlign w:val="center"/>
                </w:tcPr>
                <w:p w14:paraId="413A93FB">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备注</w:t>
                  </w:r>
                </w:p>
              </w:tc>
            </w:tr>
            <w:tr w14:paraId="1E34DCF8">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restart"/>
                  <w:tcBorders>
                    <w:tl2br w:val="nil"/>
                    <w:tr2bl w:val="nil"/>
                  </w:tcBorders>
                  <w:vAlign w:val="center"/>
                </w:tcPr>
                <w:p w14:paraId="1B49AC99">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主体工程</w:t>
                  </w:r>
                </w:p>
              </w:tc>
              <w:tc>
                <w:tcPr>
                  <w:tcW w:w="668" w:type="pct"/>
                  <w:tcBorders>
                    <w:tl2br w:val="nil"/>
                    <w:tr2bl w:val="nil"/>
                  </w:tcBorders>
                  <w:vAlign w:val="center"/>
                </w:tcPr>
                <w:p w14:paraId="46815E74">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成型、坯体车间</w:t>
                  </w:r>
                </w:p>
              </w:tc>
              <w:tc>
                <w:tcPr>
                  <w:tcW w:w="2820" w:type="pct"/>
                  <w:tcBorders>
                    <w:tl2br w:val="nil"/>
                    <w:tr2bl w:val="nil"/>
                  </w:tcBorders>
                  <w:vAlign w:val="center"/>
                </w:tcPr>
                <w:p w14:paraId="63077D27">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位于四楼，占地面积1900m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H=</w:t>
                  </w:r>
                  <w:r>
                    <w:rPr>
                      <w:rFonts w:hint="eastAsia" w:cs="Times New Roman"/>
                      <w:color w:val="000000" w:themeColor="text1"/>
                      <w:sz w:val="21"/>
                      <w:szCs w:val="21"/>
                      <w:vertAlign w:val="baseline"/>
                      <w:lang w:val="en-US" w:eastAsia="zh-CN"/>
                      <w14:textFill>
                        <w14:solidFill>
                          <w14:schemeClr w14:val="tx1"/>
                        </w14:solidFill>
                      </w14:textFill>
                    </w:rPr>
                    <w:t>5.2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用于搅桨、注浆、成型、打磨、修边等工序。</w:t>
                  </w:r>
                </w:p>
              </w:tc>
              <w:tc>
                <w:tcPr>
                  <w:tcW w:w="1080" w:type="pct"/>
                  <w:tcBorders>
                    <w:tl2br w:val="nil"/>
                    <w:tr2bl w:val="nil"/>
                  </w:tcBorders>
                  <w:vAlign w:val="center"/>
                </w:tcPr>
                <w:p w14:paraId="73B913AE">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255F157C">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6490A942">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1E56CE3F">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喷漆房</w:t>
                  </w:r>
                </w:p>
              </w:tc>
              <w:tc>
                <w:tcPr>
                  <w:tcW w:w="2820" w:type="pct"/>
                  <w:tcBorders>
                    <w:tl2br w:val="nil"/>
                    <w:tr2bl w:val="nil"/>
                  </w:tcBorders>
                  <w:vAlign w:val="center"/>
                </w:tcPr>
                <w:p w14:paraId="083E1DCF">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位于四楼，占地面积190m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H=</w:t>
                  </w:r>
                  <w:r>
                    <w:rPr>
                      <w:rFonts w:hint="eastAsia" w:cs="Times New Roman"/>
                      <w:color w:val="000000" w:themeColor="text1"/>
                      <w:sz w:val="21"/>
                      <w:szCs w:val="21"/>
                      <w:vertAlign w:val="baseline"/>
                      <w:lang w:val="en-US" w:eastAsia="zh-CN"/>
                      <w14:textFill>
                        <w14:solidFill>
                          <w14:schemeClr w14:val="tx1"/>
                        </w14:solidFill>
                      </w14:textFill>
                    </w:rPr>
                    <w:t>5.2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用于喷漆、流平、晾干等工序。</w:t>
                  </w:r>
                </w:p>
              </w:tc>
              <w:tc>
                <w:tcPr>
                  <w:tcW w:w="1080" w:type="pct"/>
                  <w:vMerge w:val="restart"/>
                  <w:tcBorders>
                    <w:tl2br w:val="nil"/>
                    <w:tr2bl w:val="nil"/>
                  </w:tcBorders>
                  <w:vAlign w:val="center"/>
                </w:tcPr>
                <w:p w14:paraId="5A9A1EBC">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密闭设置，内设抽排风系统，使车间处于微负压状态。</w:t>
                  </w:r>
                </w:p>
              </w:tc>
            </w:tr>
            <w:tr w14:paraId="7CC0BF27">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5B7CD8F9">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shd w:val="clear" w:color="auto" w:fill="auto"/>
                  <w:vAlign w:val="center"/>
                </w:tcPr>
                <w:p w14:paraId="2711D5BA">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调漆室</w:t>
                  </w:r>
                </w:p>
              </w:tc>
              <w:tc>
                <w:tcPr>
                  <w:tcW w:w="2820" w:type="pct"/>
                  <w:tcBorders>
                    <w:bottom w:val="single" w:color="auto" w:sz="4" w:space="0"/>
                    <w:tl2br w:val="nil"/>
                    <w:tr2bl w:val="nil"/>
                  </w:tcBorders>
                  <w:shd w:val="clear" w:color="auto" w:fill="auto"/>
                  <w:vAlign w:val="center"/>
                </w:tcPr>
                <w:p w14:paraId="0727E7F5">
                  <w:pPr>
                    <w:keepNext w:val="0"/>
                    <w:keepLines w:val="0"/>
                    <w:pageBreakBefore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w:t>
                  </w:r>
                  <w:r>
                    <w:rPr>
                      <w:rFonts w:hint="eastAsia" w:cs="Times New Roman"/>
                      <w:color w:val="000000" w:themeColor="text1"/>
                      <w:sz w:val="21"/>
                      <w:szCs w:val="21"/>
                      <w:lang w:val="en-US" w:eastAsia="zh-CN"/>
                      <w14:textFill>
                        <w14:solidFill>
                          <w14:schemeClr w14:val="tx1"/>
                        </w14:solidFill>
                      </w14:textFill>
                    </w:rPr>
                    <w:t>三</w:t>
                  </w:r>
                  <w:r>
                    <w:rPr>
                      <w:rFonts w:hint="default" w:ascii="Times New Roman" w:hAnsi="Times New Roman" w:cs="Times New Roman"/>
                      <w:color w:val="000000" w:themeColor="text1"/>
                      <w:sz w:val="21"/>
                      <w:szCs w:val="21"/>
                      <w:lang w:val="en-US" w:eastAsia="zh-CN"/>
                      <w14:textFill>
                        <w14:solidFill>
                          <w14:schemeClr w14:val="tx1"/>
                        </w14:solidFill>
                      </w14:textFill>
                    </w:rPr>
                    <w:t>楼，占地面积60m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H=</w:t>
                  </w:r>
                  <w:r>
                    <w:rPr>
                      <w:rFonts w:hint="eastAsia" w:cs="Times New Roman"/>
                      <w:color w:val="000000" w:themeColor="text1"/>
                      <w:sz w:val="21"/>
                      <w:szCs w:val="21"/>
                      <w:vertAlign w:val="baseline"/>
                      <w:lang w:val="en-US" w:eastAsia="zh-CN"/>
                      <w14:textFill>
                        <w14:solidFill>
                          <w14:schemeClr w14:val="tx1"/>
                        </w14:solidFill>
                      </w14:textFill>
                    </w:rPr>
                    <w:t>5.2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用于调漆、喷枪清洗等工序。</w:t>
                  </w:r>
                </w:p>
              </w:tc>
              <w:tc>
                <w:tcPr>
                  <w:tcW w:w="1080" w:type="pct"/>
                  <w:vMerge w:val="continue"/>
                  <w:tcBorders>
                    <w:bottom w:val="single" w:color="auto" w:sz="4" w:space="0"/>
                    <w:tl2br w:val="nil"/>
                    <w:tr2bl w:val="nil"/>
                  </w:tcBorders>
                  <w:vAlign w:val="center"/>
                </w:tcPr>
                <w:p w14:paraId="215CE9DB">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p>
              </w:tc>
            </w:tr>
            <w:tr w14:paraId="0F03C5D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60D3715B">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24AE3F80">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彩绘车间</w:t>
                  </w:r>
                </w:p>
              </w:tc>
              <w:tc>
                <w:tcPr>
                  <w:tcW w:w="2820" w:type="pct"/>
                  <w:tcBorders>
                    <w:top w:val="single" w:color="auto" w:sz="4" w:space="0"/>
                    <w:tl2br w:val="nil"/>
                    <w:tr2bl w:val="nil"/>
                  </w:tcBorders>
                  <w:vAlign w:val="center"/>
                </w:tcPr>
                <w:p w14:paraId="513E1D5E">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w:t>
                  </w:r>
                  <w:r>
                    <w:rPr>
                      <w:rFonts w:hint="eastAsia" w:cs="Times New Roman"/>
                      <w:color w:val="000000" w:themeColor="text1"/>
                      <w:sz w:val="21"/>
                      <w:szCs w:val="21"/>
                      <w:lang w:val="en-US" w:eastAsia="zh-CN"/>
                      <w14:textFill>
                        <w14:solidFill>
                          <w14:schemeClr w14:val="tx1"/>
                        </w14:solidFill>
                      </w14:textFill>
                    </w:rPr>
                    <w:t>三</w:t>
                  </w:r>
                  <w:r>
                    <w:rPr>
                      <w:rFonts w:hint="default" w:ascii="Times New Roman" w:hAnsi="Times New Roman" w:cs="Times New Roman"/>
                      <w:color w:val="000000" w:themeColor="text1"/>
                      <w:sz w:val="21"/>
                      <w:szCs w:val="21"/>
                      <w:lang w:val="en-US" w:eastAsia="zh-CN"/>
                      <w14:textFill>
                        <w14:solidFill>
                          <w14:schemeClr w14:val="tx1"/>
                        </w14:solidFill>
                      </w14:textFill>
                    </w:rPr>
                    <w:t>楼，占地面积2200m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H=</w:t>
                  </w:r>
                  <w:r>
                    <w:rPr>
                      <w:rFonts w:hint="eastAsia" w:cs="Times New Roman"/>
                      <w:color w:val="000000" w:themeColor="text1"/>
                      <w:sz w:val="21"/>
                      <w:szCs w:val="21"/>
                      <w:vertAlign w:val="baseline"/>
                      <w:lang w:val="en-US" w:eastAsia="zh-CN"/>
                      <w14:textFill>
                        <w14:solidFill>
                          <w14:schemeClr w14:val="tx1"/>
                        </w14:solidFill>
                      </w14:textFill>
                    </w:rPr>
                    <w:t>5.2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用于彩绘、晾干等工序。</w:t>
                  </w:r>
                </w:p>
              </w:tc>
              <w:tc>
                <w:tcPr>
                  <w:tcW w:w="1080" w:type="pct"/>
                  <w:tcBorders>
                    <w:top w:val="single" w:color="auto" w:sz="4" w:space="0"/>
                    <w:tl2br w:val="nil"/>
                    <w:tr2bl w:val="nil"/>
                  </w:tcBorders>
                  <w:vAlign w:val="center"/>
                </w:tcPr>
                <w:p w14:paraId="6E81E7EA">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已建，车间进出口 </w:t>
                  </w:r>
                </w:p>
                <w:p w14:paraId="78666667">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设卷帘门，使彩 </w:t>
                  </w:r>
                </w:p>
                <w:p w14:paraId="1D6EF151">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绘、晾干</w:t>
                  </w:r>
                  <w:r>
                    <w:rPr>
                      <w:rFonts w:hint="eastAsia" w:cs="Times New Roman"/>
                      <w:color w:val="000000" w:themeColor="text1"/>
                      <w:sz w:val="21"/>
                      <w:szCs w:val="21"/>
                      <w:lang w:val="en-US" w:eastAsia="zh-CN"/>
                      <w14:textFill>
                        <w14:solidFill>
                          <w14:schemeClr w14:val="tx1"/>
                        </w14:solidFill>
                      </w14:textFill>
                    </w:rPr>
                    <w:t>作业</w:t>
                  </w: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时车 </w:t>
                  </w:r>
                </w:p>
                <w:p w14:paraId="584429ED">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 xml:space="preserve">间尽可能形成一 </w:t>
                  </w:r>
                </w:p>
                <w:p w14:paraId="27F931D5">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个相对封闭空间</w:t>
                  </w:r>
                  <w:r>
                    <w:rPr>
                      <w:rFonts w:hint="eastAsia" w:cs="Times New Roman"/>
                      <w:color w:val="000000" w:themeColor="text1"/>
                      <w:sz w:val="21"/>
                      <w:szCs w:val="21"/>
                      <w:lang w:val="en-US" w:eastAsia="zh-CN"/>
                      <w14:textFill>
                        <w14:solidFill>
                          <w14:schemeClr w14:val="tx1"/>
                        </w14:solidFill>
                      </w14:textFill>
                    </w:rPr>
                    <w:t>。</w:t>
                  </w:r>
                </w:p>
              </w:tc>
            </w:tr>
            <w:tr w14:paraId="32A232A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03B94CA6">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13CEC870">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组装车间</w:t>
                  </w:r>
                </w:p>
              </w:tc>
              <w:tc>
                <w:tcPr>
                  <w:tcW w:w="2820" w:type="pct"/>
                  <w:tcBorders>
                    <w:tl2br w:val="nil"/>
                    <w:tr2bl w:val="nil"/>
                  </w:tcBorders>
                  <w:vAlign w:val="center"/>
                </w:tcPr>
                <w:p w14:paraId="7EEC32B2">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位于二楼，占地面积2000</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H=</w:t>
                  </w:r>
                  <w:r>
                    <w:rPr>
                      <w:rFonts w:hint="eastAsia" w:cs="Times New Roman"/>
                      <w:color w:val="000000" w:themeColor="text1"/>
                      <w:sz w:val="21"/>
                      <w:szCs w:val="21"/>
                      <w:vertAlign w:val="baseline"/>
                      <w:lang w:val="en-US" w:eastAsia="zh-CN"/>
                      <w14:textFill>
                        <w14:solidFill>
                          <w14:schemeClr w14:val="tx1"/>
                        </w14:solidFill>
                      </w14:textFill>
                    </w:rPr>
                    <w:t>5.2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用于焊接、组装等工序。</w:t>
                  </w:r>
                </w:p>
              </w:tc>
              <w:tc>
                <w:tcPr>
                  <w:tcW w:w="1080" w:type="pct"/>
                  <w:tcBorders>
                    <w:tl2br w:val="nil"/>
                    <w:tr2bl w:val="nil"/>
                  </w:tcBorders>
                  <w:vAlign w:val="center"/>
                </w:tcPr>
                <w:p w14:paraId="4661D7D7">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5D08D85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1B520B3A">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5CAC3734">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包装车间</w:t>
                  </w:r>
                </w:p>
              </w:tc>
              <w:tc>
                <w:tcPr>
                  <w:tcW w:w="2820" w:type="pct"/>
                  <w:tcBorders>
                    <w:tl2br w:val="nil"/>
                    <w:tr2bl w:val="nil"/>
                  </w:tcBorders>
                  <w:vAlign w:val="center"/>
                </w:tcPr>
                <w:p w14:paraId="55CEBADA">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位于二楼，占地面积1650m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，用于产品包装工序。</w:t>
                  </w:r>
                </w:p>
              </w:tc>
              <w:tc>
                <w:tcPr>
                  <w:tcW w:w="1080" w:type="pct"/>
                  <w:tcBorders>
                    <w:tl2br w:val="nil"/>
                    <w:tr2bl w:val="nil"/>
                  </w:tcBorders>
                  <w:vAlign w:val="center"/>
                </w:tcPr>
                <w:p w14:paraId="35857C93">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1F2B6D9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restart"/>
                  <w:tcBorders>
                    <w:tl2br w:val="nil"/>
                    <w:tr2bl w:val="nil"/>
                  </w:tcBorders>
                  <w:vAlign w:val="center"/>
                </w:tcPr>
                <w:p w14:paraId="6D0DD927">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储运工程</w:t>
                  </w:r>
                </w:p>
              </w:tc>
              <w:tc>
                <w:tcPr>
                  <w:tcW w:w="668" w:type="pct"/>
                  <w:tcBorders>
                    <w:tl2br w:val="nil"/>
                    <w:tr2bl w:val="nil"/>
                  </w:tcBorders>
                  <w:vAlign w:val="center"/>
                </w:tcPr>
                <w:p w14:paraId="47509CD0">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原料仓库</w:t>
                  </w:r>
                </w:p>
              </w:tc>
              <w:tc>
                <w:tcPr>
                  <w:tcW w:w="2820" w:type="pct"/>
                  <w:tcBorders>
                    <w:tl2br w:val="nil"/>
                    <w:tr2bl w:val="nil"/>
                  </w:tcBorders>
                  <w:vAlign w:val="center"/>
                </w:tcPr>
                <w:p w14:paraId="7A9CA3E9">
                  <w:pPr>
                    <w:pStyle w:val="123"/>
                    <w:keepNext w:val="0"/>
                    <w:keepLines w:val="0"/>
                    <w:pageBreakBefore w:val="0"/>
                    <w:widowControl/>
                    <w:kinsoku/>
                    <w:wordWrap/>
                    <w:overflowPunct/>
                    <w:topLinePunct w:val="0"/>
                    <w:autoSpaceDE/>
                    <w:autoSpaceDN/>
                    <w:bidi w:val="0"/>
                    <w:adjustRightInd w:val="0"/>
                    <w:snapToGrid w:val="0"/>
                    <w:spacing w:before="0" w:line="240" w:lineRule="auto"/>
                    <w:ind w:left="0" w:firstLine="0" w:firstLineChars="0"/>
                    <w:jc w:val="both"/>
                    <w:textAlignment w:val="auto"/>
                    <w:rPr>
                      <w:rFonts w:hint="default" w:ascii="Times New Roman" w:hAnsi="Times New Roman" w:cs="Times New Roman"/>
                      <w:color w:val="000000" w:themeColor="text1"/>
                      <w:sz w:val="21"/>
                      <w:szCs w:val="21"/>
                      <w:lang w:val="en-US"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w:t>
                  </w:r>
                  <w:r>
                    <w:rPr>
                      <w:rFonts w:hint="eastAsia" w:ascii="Times New Roman" w:hAnsi="Times New Roman" w:cs="Times New Roman"/>
                      <w:color w:val="000000" w:themeColor="text1"/>
                      <w:sz w:val="21"/>
                      <w:szCs w:val="21"/>
                      <w:lang w:val="en-US" w:eastAsia="zh-CN"/>
                      <w14:textFill>
                        <w14:solidFill>
                          <w14:schemeClr w14:val="tx1"/>
                        </w14:solidFill>
                      </w14:textFill>
                    </w:rPr>
                    <w:t>一</w:t>
                  </w:r>
                  <w:r>
                    <w:rPr>
                      <w:rFonts w:hint="default" w:ascii="Times New Roman" w:hAnsi="Times New Roman" w:cs="Times New Roman"/>
                      <w:color w:val="000000" w:themeColor="text1"/>
                      <w:sz w:val="21"/>
                      <w:szCs w:val="21"/>
                      <w:lang w:val="en-US" w:eastAsia="zh-CN"/>
                      <w14:textFill>
                        <w14:solidFill>
                          <w14:schemeClr w14:val="tx1"/>
                        </w14:solidFill>
                      </w14:textFill>
                    </w:rPr>
                    <w:t>楼，占地面积</w:t>
                  </w:r>
                  <w:r>
                    <w:rPr>
                      <w:rFonts w:hint="eastAsia" w:ascii="Times New Roman" w:hAnsi="Times New Roman" w:cs="Times New Roman"/>
                      <w:color w:val="000000" w:themeColor="text1"/>
                      <w:sz w:val="21"/>
                      <w:szCs w:val="21"/>
                      <w:lang w:val="en-US" w:eastAsia="zh-CN"/>
                      <w14:textFill>
                        <w14:solidFill>
                          <w14:schemeClr w14:val="tx1"/>
                        </w14:solidFill>
                      </w14:textFill>
                    </w:rPr>
                    <w:t>765</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用于原材料存储</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1080" w:type="pct"/>
                  <w:tcBorders>
                    <w:bottom w:val="single" w:color="auto" w:sz="4" w:space="0"/>
                    <w:tl2br w:val="nil"/>
                    <w:tr2bl w:val="nil"/>
                  </w:tcBorders>
                  <w:vAlign w:val="center"/>
                </w:tcPr>
                <w:p w14:paraId="6649255E">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最大贮存能力500t。项目原料最大贮存量约17t，故原料仓库可以满足项目原料暂存需求。</w:t>
                  </w:r>
                </w:p>
              </w:tc>
            </w:tr>
            <w:tr w14:paraId="67FE1F8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56E19AB4">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42BCFB49">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原材料室</w:t>
                  </w:r>
                </w:p>
              </w:tc>
              <w:tc>
                <w:tcPr>
                  <w:tcW w:w="2820" w:type="pct"/>
                  <w:tcBorders>
                    <w:tl2br w:val="nil"/>
                    <w:tr2bl w:val="nil"/>
                  </w:tcBorders>
                  <w:vAlign w:val="center"/>
                </w:tcPr>
                <w:p w14:paraId="7F25DB25">
                  <w:pPr>
                    <w:pStyle w:val="123"/>
                    <w:keepNext w:val="0"/>
                    <w:keepLines w:val="0"/>
                    <w:pageBreakBefore w:val="0"/>
                    <w:widowControl/>
                    <w:kinsoku/>
                    <w:wordWrap/>
                    <w:overflowPunct/>
                    <w:topLinePunct w:val="0"/>
                    <w:autoSpaceDE/>
                    <w:autoSpaceDN/>
                    <w:bidi w:val="0"/>
                    <w:adjustRightInd w:val="0"/>
                    <w:snapToGrid w:val="0"/>
                    <w:spacing w:before="0" w:line="240" w:lineRule="auto"/>
                    <w:ind w:left="0" w:firstLine="0" w:firstLineChars="0"/>
                    <w:jc w:val="both"/>
                    <w:textAlignment w:val="auto"/>
                    <w:rPr>
                      <w:rFonts w:hint="default" w:ascii="Times New Roman" w:hAnsi="Times New Roman" w:cs="Times New Roman"/>
                      <w:color w:val="000000" w:themeColor="text1"/>
                      <w:sz w:val="21"/>
                      <w:szCs w:val="21"/>
                      <w:lang w:val="en-US"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w:t>
                  </w:r>
                  <w:r>
                    <w:rPr>
                      <w:rFonts w:hint="eastAsia" w:ascii="Times New Roman" w:hAnsi="Times New Roman" w:cs="Times New Roman"/>
                      <w:color w:val="000000" w:themeColor="text1"/>
                      <w:sz w:val="21"/>
                      <w:szCs w:val="21"/>
                      <w:lang w:val="en-US" w:eastAsia="zh-CN"/>
                      <w14:textFill>
                        <w14:solidFill>
                          <w14:schemeClr w14:val="tx1"/>
                        </w14:solidFill>
                      </w14:textFill>
                    </w:rPr>
                    <w:t>四</w:t>
                  </w:r>
                  <w:r>
                    <w:rPr>
                      <w:rFonts w:hint="default" w:ascii="Times New Roman" w:hAnsi="Times New Roman" w:cs="Times New Roman"/>
                      <w:color w:val="000000" w:themeColor="text1"/>
                      <w:sz w:val="21"/>
                      <w:szCs w:val="21"/>
                      <w:lang w:val="en-US" w:eastAsia="zh-CN"/>
                      <w14:textFill>
                        <w14:solidFill>
                          <w14:schemeClr w14:val="tx1"/>
                        </w14:solidFill>
                      </w14:textFill>
                    </w:rPr>
                    <w:t>楼，占地面积</w:t>
                  </w:r>
                  <w:r>
                    <w:rPr>
                      <w:rFonts w:hint="eastAsia" w:ascii="Times New Roman" w:hAnsi="Times New Roman" w:cs="Times New Roman"/>
                      <w:color w:val="000000" w:themeColor="text1"/>
                      <w:sz w:val="21"/>
                      <w:szCs w:val="21"/>
                      <w:lang w:val="en-US" w:eastAsia="zh-CN"/>
                      <w14:textFill>
                        <w14:solidFill>
                          <w14:schemeClr w14:val="tx1"/>
                        </w14:solidFill>
                      </w14:textFill>
                    </w:rPr>
                    <w:t>60</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用于原材料存储</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1080" w:type="pct"/>
                  <w:tcBorders>
                    <w:top w:val="single" w:color="auto" w:sz="4" w:space="0"/>
                    <w:bottom w:val="single" w:color="auto" w:sz="4" w:space="0"/>
                    <w:tl2br w:val="nil"/>
                    <w:tr2bl w:val="nil"/>
                  </w:tcBorders>
                  <w:vAlign w:val="center"/>
                </w:tcPr>
                <w:p w14:paraId="6B27FAF5">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2082204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5C7CE3E8">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5ADFDE71">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成品仓库</w:t>
                  </w:r>
                </w:p>
              </w:tc>
              <w:tc>
                <w:tcPr>
                  <w:tcW w:w="2820" w:type="pct"/>
                  <w:tcBorders>
                    <w:tl2br w:val="nil"/>
                    <w:tr2bl w:val="nil"/>
                  </w:tcBorders>
                  <w:vAlign w:val="center"/>
                </w:tcPr>
                <w:p w14:paraId="10704FF9">
                  <w:pPr>
                    <w:pStyle w:val="123"/>
                    <w:keepNext w:val="0"/>
                    <w:keepLines w:val="0"/>
                    <w:pageBreakBefore w:val="0"/>
                    <w:widowControl/>
                    <w:kinsoku/>
                    <w:wordWrap/>
                    <w:overflowPunct/>
                    <w:topLinePunct w:val="0"/>
                    <w:autoSpaceDE/>
                    <w:autoSpaceDN/>
                    <w:bidi w:val="0"/>
                    <w:adjustRightInd w:val="0"/>
                    <w:snapToGrid w:val="0"/>
                    <w:spacing w:before="0" w:line="240" w:lineRule="auto"/>
                    <w:ind w:left="0" w:firstLine="0" w:firstLineChars="0"/>
                    <w:jc w:val="both"/>
                    <w:textAlignment w:val="auto"/>
                    <w:rPr>
                      <w:rFonts w:hint="default" w:ascii="Times New Roman" w:hAnsi="Times New Roman" w:cs="Times New Roman"/>
                      <w:color w:val="000000" w:themeColor="text1"/>
                      <w:sz w:val="21"/>
                      <w:szCs w:val="21"/>
                      <w:lang w:val="en-US"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w:t>
                  </w:r>
                  <w:r>
                    <w:rPr>
                      <w:rFonts w:hint="eastAsia" w:ascii="Times New Roman" w:hAnsi="Times New Roman" w:cs="Times New Roman"/>
                      <w:color w:val="000000" w:themeColor="text1"/>
                      <w:sz w:val="21"/>
                      <w:szCs w:val="21"/>
                      <w:lang w:val="en-US" w:eastAsia="zh-CN"/>
                      <w14:textFill>
                        <w14:solidFill>
                          <w14:schemeClr w14:val="tx1"/>
                        </w14:solidFill>
                      </w14:textFill>
                    </w:rPr>
                    <w:t>一</w:t>
                  </w:r>
                  <w:r>
                    <w:rPr>
                      <w:rFonts w:hint="default" w:ascii="Times New Roman" w:hAnsi="Times New Roman" w:cs="Times New Roman"/>
                      <w:color w:val="000000" w:themeColor="text1"/>
                      <w:sz w:val="21"/>
                      <w:szCs w:val="21"/>
                      <w:lang w:val="en-US" w:eastAsia="zh-CN"/>
                      <w14:textFill>
                        <w14:solidFill>
                          <w14:schemeClr w14:val="tx1"/>
                        </w14:solidFill>
                      </w14:textFill>
                    </w:rPr>
                    <w:t>楼，占地面积</w:t>
                  </w:r>
                  <w:r>
                    <w:rPr>
                      <w:rFonts w:hint="eastAsia" w:ascii="Times New Roman" w:hAnsi="Times New Roman" w:cs="Times New Roman"/>
                      <w:color w:val="000000" w:themeColor="text1"/>
                      <w:sz w:val="21"/>
                      <w:szCs w:val="21"/>
                      <w:lang w:val="en-US" w:eastAsia="zh-CN"/>
                      <w14:textFill>
                        <w14:solidFill>
                          <w14:schemeClr w14:val="tx1"/>
                        </w14:solidFill>
                      </w14:textFill>
                    </w:rPr>
                    <w:t>2800</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用于产品存储</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1080" w:type="pct"/>
                  <w:tcBorders>
                    <w:top w:val="single" w:color="auto" w:sz="4" w:space="0"/>
                    <w:bottom w:val="single" w:color="auto" w:sz="4" w:space="0"/>
                    <w:tl2br w:val="nil"/>
                    <w:tr2bl w:val="nil"/>
                  </w:tcBorders>
                  <w:vAlign w:val="center"/>
                </w:tcPr>
                <w:p w14:paraId="47F4FE39">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02694DD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6BB54ACA">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497FC18E">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半成品</w:t>
                  </w:r>
                </w:p>
                <w:p w14:paraId="44E1FDA2">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仓库</w:t>
                  </w:r>
                </w:p>
              </w:tc>
              <w:tc>
                <w:tcPr>
                  <w:tcW w:w="2820" w:type="pct"/>
                  <w:tcBorders>
                    <w:tl2br w:val="nil"/>
                    <w:tr2bl w:val="nil"/>
                  </w:tcBorders>
                  <w:vAlign w:val="center"/>
                </w:tcPr>
                <w:p w14:paraId="50E2B2AB">
                  <w:pPr>
                    <w:pStyle w:val="123"/>
                    <w:keepNext w:val="0"/>
                    <w:keepLines w:val="0"/>
                    <w:pageBreakBefore w:val="0"/>
                    <w:widowControl/>
                    <w:kinsoku/>
                    <w:wordWrap/>
                    <w:overflowPunct/>
                    <w:topLinePunct w:val="0"/>
                    <w:autoSpaceDE/>
                    <w:autoSpaceDN/>
                    <w:bidi w:val="0"/>
                    <w:adjustRightInd w:val="0"/>
                    <w:snapToGrid w:val="0"/>
                    <w:spacing w:before="0" w:line="240" w:lineRule="auto"/>
                    <w:ind w:left="0" w:firstLine="0" w:firstLineChars="0"/>
                    <w:jc w:val="both"/>
                    <w:textAlignment w:val="auto"/>
                    <w:rPr>
                      <w:rFonts w:hint="default" w:ascii="Times New Roman" w:hAnsi="Times New Roman" w:cs="Times New Roman"/>
                      <w:color w:val="000000" w:themeColor="text1"/>
                      <w:sz w:val="21"/>
                      <w:szCs w:val="21"/>
                      <w:lang w:val="en-US"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w:t>
                  </w:r>
                  <w:r>
                    <w:rPr>
                      <w:rFonts w:hint="eastAsia" w:ascii="Times New Roman" w:hAnsi="Times New Roman" w:cs="Times New Roman"/>
                      <w:color w:val="000000" w:themeColor="text1"/>
                      <w:sz w:val="21"/>
                      <w:szCs w:val="21"/>
                      <w:lang w:val="en-US" w:eastAsia="zh-CN"/>
                      <w14:textFill>
                        <w14:solidFill>
                          <w14:schemeClr w14:val="tx1"/>
                        </w14:solidFill>
                      </w14:textFill>
                    </w:rPr>
                    <w:t>三</w:t>
                  </w:r>
                  <w:r>
                    <w:rPr>
                      <w:rFonts w:hint="default" w:ascii="Times New Roman" w:hAnsi="Times New Roman" w:cs="Times New Roman"/>
                      <w:color w:val="000000" w:themeColor="text1"/>
                      <w:sz w:val="21"/>
                      <w:szCs w:val="21"/>
                      <w:lang w:val="en-US" w:eastAsia="zh-CN"/>
                      <w14:textFill>
                        <w14:solidFill>
                          <w14:schemeClr w14:val="tx1"/>
                        </w14:solidFill>
                      </w14:textFill>
                    </w:rPr>
                    <w:t>楼</w:t>
                  </w:r>
                  <w:r>
                    <w:rPr>
                      <w:rFonts w:hint="eastAsia" w:ascii="Times New Roman" w:hAnsi="Times New Roman" w:cs="Times New Roman"/>
                      <w:color w:val="000000" w:themeColor="text1"/>
                      <w:sz w:val="21"/>
                      <w:szCs w:val="21"/>
                      <w:lang w:val="en-US" w:eastAsia="zh-CN"/>
                      <w14:textFill>
                        <w14:solidFill>
                          <w14:schemeClr w14:val="tx1"/>
                        </w14:solidFill>
                      </w14:textFill>
                    </w:rPr>
                    <w:t>和四楼</w:t>
                  </w:r>
                  <w:r>
                    <w:rPr>
                      <w:rFonts w:hint="default" w:ascii="Times New Roman" w:hAnsi="Times New Roman" w:cs="Times New Roman"/>
                      <w:color w:val="000000" w:themeColor="text1"/>
                      <w:sz w:val="21"/>
                      <w:szCs w:val="21"/>
                      <w:lang w:val="en-US" w:eastAsia="zh-CN"/>
                      <w14:textFill>
                        <w14:solidFill>
                          <w14:schemeClr w14:val="tx1"/>
                        </w14:solidFill>
                      </w14:textFill>
                    </w:rPr>
                    <w:t>，占地面积</w:t>
                  </w:r>
                  <w:r>
                    <w:rPr>
                      <w:rFonts w:hint="eastAsia" w:ascii="Times New Roman" w:hAnsi="Times New Roman" w:cs="Times New Roman"/>
                      <w:color w:val="000000" w:themeColor="text1"/>
                      <w:sz w:val="21"/>
                      <w:szCs w:val="21"/>
                      <w:lang w:val="en-US" w:eastAsia="zh-CN"/>
                      <w14:textFill>
                        <w14:solidFill>
                          <w14:schemeClr w14:val="tx1"/>
                        </w14:solidFill>
                      </w14:textFill>
                    </w:rPr>
                    <w:t>合计1900</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用于半成品存储</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p>
              </w:tc>
              <w:tc>
                <w:tcPr>
                  <w:tcW w:w="1080" w:type="pct"/>
                  <w:tcBorders>
                    <w:top w:val="single" w:color="auto" w:sz="4" w:space="0"/>
                    <w:tl2br w:val="nil"/>
                    <w:tr2bl w:val="nil"/>
                  </w:tcBorders>
                  <w:vAlign w:val="center"/>
                </w:tcPr>
                <w:p w14:paraId="0FA02188">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42869F6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restart"/>
                  <w:tcBorders>
                    <w:tl2br w:val="nil"/>
                    <w:tr2bl w:val="nil"/>
                  </w:tcBorders>
                  <w:vAlign w:val="center"/>
                </w:tcPr>
                <w:p w14:paraId="3CA3F71D">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辅助工程</w:t>
                  </w:r>
                </w:p>
              </w:tc>
              <w:tc>
                <w:tcPr>
                  <w:tcW w:w="668" w:type="pct"/>
                  <w:tcBorders>
                    <w:tl2br w:val="nil"/>
                    <w:tr2bl w:val="nil"/>
                  </w:tcBorders>
                  <w:vAlign w:val="center"/>
                </w:tcPr>
                <w:p w14:paraId="794BF982">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办公室</w:t>
                  </w:r>
                </w:p>
              </w:tc>
              <w:tc>
                <w:tcPr>
                  <w:tcW w:w="2820" w:type="pct"/>
                  <w:tcBorders>
                    <w:tl2br w:val="nil"/>
                    <w:tr2bl w:val="nil"/>
                  </w:tcBorders>
                  <w:vAlign w:val="center"/>
                </w:tcPr>
                <w:p w14:paraId="72AFF898">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1~4层均布置了办公室，占地面积合计785m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，用于员工办公。</w:t>
                  </w:r>
                </w:p>
              </w:tc>
              <w:tc>
                <w:tcPr>
                  <w:tcW w:w="1080" w:type="pct"/>
                  <w:tcBorders>
                    <w:tl2br w:val="nil"/>
                    <w:tr2bl w:val="nil"/>
                  </w:tcBorders>
                  <w:vAlign w:val="center"/>
                </w:tcPr>
                <w:p w14:paraId="63E0CF89">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4D321E98">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2867EE64">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6B58C3BE">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休息室</w:t>
                  </w:r>
                </w:p>
              </w:tc>
              <w:tc>
                <w:tcPr>
                  <w:tcW w:w="2820" w:type="pct"/>
                  <w:tcBorders>
                    <w:tl2br w:val="nil"/>
                    <w:tr2bl w:val="nil"/>
                  </w:tcBorders>
                  <w:vAlign w:val="center"/>
                </w:tcPr>
                <w:p w14:paraId="3C7CC80A">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位于</w:t>
                  </w:r>
                  <w:r>
                    <w:rPr>
                      <w:rFonts w:hint="eastAsia" w:ascii="Times New Roman" w:hAnsi="Times New Roman" w:cs="Times New Roman"/>
                      <w:color w:val="000000" w:themeColor="text1"/>
                      <w:sz w:val="21"/>
                      <w:szCs w:val="21"/>
                      <w:lang w:val="en-US" w:eastAsia="zh-CN"/>
                      <w14:textFill>
                        <w14:solidFill>
                          <w14:schemeClr w14:val="tx1"/>
                        </w14:solidFill>
                      </w14:textFill>
                    </w:rPr>
                    <w:t>一</w:t>
                  </w:r>
                  <w:r>
                    <w:rPr>
                      <w:rFonts w:hint="default" w:ascii="Times New Roman" w:hAnsi="Times New Roman" w:cs="Times New Roman"/>
                      <w:color w:val="000000" w:themeColor="text1"/>
                      <w:sz w:val="21"/>
                      <w:szCs w:val="21"/>
                      <w:lang w:val="en-US" w:eastAsia="zh-CN"/>
                      <w14:textFill>
                        <w14:solidFill>
                          <w14:schemeClr w14:val="tx1"/>
                        </w14:solidFill>
                      </w14:textFill>
                    </w:rPr>
                    <w:t>楼，占地面积</w:t>
                  </w:r>
                  <w:r>
                    <w:rPr>
                      <w:rFonts w:hint="eastAsia" w:cs="Times New Roman"/>
                      <w:color w:val="000000" w:themeColor="text1"/>
                      <w:sz w:val="21"/>
                      <w:szCs w:val="21"/>
                      <w:lang w:val="en-US" w:eastAsia="zh-CN"/>
                      <w14:textFill>
                        <w14:solidFill>
                          <w14:schemeClr w14:val="tx1"/>
                        </w14:solidFill>
                      </w14:textFill>
                    </w:rPr>
                    <w:t>50</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用于员工休息。</w:t>
                  </w:r>
                </w:p>
              </w:tc>
              <w:tc>
                <w:tcPr>
                  <w:tcW w:w="1080" w:type="pct"/>
                  <w:tcBorders>
                    <w:tl2br w:val="nil"/>
                    <w:tr2bl w:val="nil"/>
                  </w:tcBorders>
                  <w:vAlign w:val="center"/>
                </w:tcPr>
                <w:p w14:paraId="7D46ED42">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44714198">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restart"/>
                  <w:tcBorders>
                    <w:tl2br w:val="nil"/>
                    <w:tr2bl w:val="nil"/>
                  </w:tcBorders>
                  <w:vAlign w:val="center"/>
                </w:tcPr>
                <w:p w14:paraId="419DE3B9">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公用</w:t>
                  </w:r>
                </w:p>
                <w:p w14:paraId="6135F79D">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668" w:type="pct"/>
                  <w:tcBorders>
                    <w:tl2br w:val="nil"/>
                    <w:tr2bl w:val="nil"/>
                  </w:tcBorders>
                  <w:vAlign w:val="center"/>
                </w:tcPr>
                <w:p w14:paraId="6E691FD8">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供水</w:t>
                  </w:r>
                </w:p>
              </w:tc>
              <w:tc>
                <w:tcPr>
                  <w:tcW w:w="2820" w:type="pct"/>
                  <w:tcBorders>
                    <w:tl2br w:val="nil"/>
                    <w:tr2bl w:val="nil"/>
                  </w:tcBorders>
                  <w:vAlign w:val="center"/>
                </w:tcPr>
                <w:p w14:paraId="51F78B31">
                  <w:pPr>
                    <w:keepNext w:val="0"/>
                    <w:keepLines w:val="0"/>
                    <w:pageBreakBefore w:val="0"/>
                    <w:tabs>
                      <w:tab w:val="left" w:pos="4465"/>
                    </w:tabs>
                    <w:kinsoku/>
                    <w:wordWrap/>
                    <w:overflowPunct/>
                    <w:topLinePunct w:val="0"/>
                    <w:autoSpaceDE/>
                    <w:autoSpaceDN/>
                    <w:bidi w:val="0"/>
                    <w:adjustRightInd w:val="0"/>
                    <w:snapToGrid w:val="0"/>
                    <w:spacing w:line="240" w:lineRule="auto"/>
                    <w:ind w:left="0"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市政供水</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080" w:type="pct"/>
                  <w:tcBorders>
                    <w:tl2br w:val="nil"/>
                    <w:tr2bl w:val="nil"/>
                  </w:tcBorders>
                  <w:vAlign w:val="center"/>
                </w:tcPr>
                <w:p w14:paraId="20A3BC08">
                  <w:pPr>
                    <w:keepNext w:val="0"/>
                    <w:keepLines w:val="0"/>
                    <w:pageBreakBefore w:val="0"/>
                    <w:tabs>
                      <w:tab w:val="left" w:pos="4465"/>
                    </w:tabs>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64DA9FBD">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47EE3105">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17DB6DA0">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供电</w:t>
                  </w:r>
                </w:p>
              </w:tc>
              <w:tc>
                <w:tcPr>
                  <w:tcW w:w="2820" w:type="pct"/>
                  <w:tcBorders>
                    <w:tl2br w:val="nil"/>
                    <w:tr2bl w:val="nil"/>
                  </w:tcBorders>
                  <w:vAlign w:val="center"/>
                </w:tcPr>
                <w:p w14:paraId="580960AD">
                  <w:pPr>
                    <w:keepNext w:val="0"/>
                    <w:keepLines w:val="0"/>
                    <w:pageBreakBefore w:val="0"/>
                    <w:tabs>
                      <w:tab w:val="left" w:pos="4465"/>
                    </w:tabs>
                    <w:kinsoku/>
                    <w:wordWrap/>
                    <w:overflowPunct/>
                    <w:topLinePunct w:val="0"/>
                    <w:autoSpaceDE/>
                    <w:autoSpaceDN/>
                    <w:bidi w:val="0"/>
                    <w:adjustRightInd w:val="0"/>
                    <w:snapToGrid w:val="0"/>
                    <w:spacing w:line="240" w:lineRule="auto"/>
                    <w:ind w:left="0" w:firstLine="0" w:firstLineChars="0"/>
                    <w:jc w:val="both"/>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市政供电</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080" w:type="pct"/>
                  <w:tcBorders>
                    <w:tl2br w:val="nil"/>
                    <w:tr2bl w:val="nil"/>
                  </w:tcBorders>
                  <w:vAlign w:val="center"/>
                </w:tcPr>
                <w:p w14:paraId="7ACEA69C">
                  <w:pPr>
                    <w:keepNext w:val="0"/>
                    <w:keepLines w:val="0"/>
                    <w:pageBreakBefore w:val="0"/>
                    <w:tabs>
                      <w:tab w:val="left" w:pos="4465"/>
                    </w:tabs>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766C66A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322EF33F">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4E368CB4">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排水</w:t>
                  </w:r>
                </w:p>
              </w:tc>
              <w:tc>
                <w:tcPr>
                  <w:tcW w:w="2820" w:type="pct"/>
                  <w:tcBorders>
                    <w:tl2br w:val="nil"/>
                    <w:tr2bl w:val="nil"/>
                  </w:tcBorders>
                  <w:vAlign w:val="center"/>
                </w:tcPr>
                <w:p w14:paraId="1DC0C6E9">
                  <w:pPr>
                    <w:keepNext w:val="0"/>
                    <w:keepLines w:val="0"/>
                    <w:pageBreakBefore w:val="0"/>
                    <w:tabs>
                      <w:tab w:val="left" w:pos="3840"/>
                      <w:tab w:val="left" w:pos="4465"/>
                    </w:tabs>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采用雨污分流制，雨水直接排入</w:t>
                  </w:r>
                  <w:r>
                    <w:rPr>
                      <w:rFonts w:hint="eastAsia" w:ascii="Times New Roman" w:hAnsi="Times New Roman" w:cs="Times New Roman"/>
                      <w:color w:val="000000" w:themeColor="text1"/>
                      <w:sz w:val="21"/>
                      <w:szCs w:val="21"/>
                      <w:lang w:val="en-US" w:eastAsia="zh-CN"/>
                      <w14:textFill>
                        <w14:solidFill>
                          <w14:schemeClr w14:val="tx1"/>
                        </w14:solidFill>
                      </w14:textFill>
                    </w:rPr>
                    <w:t>园区</w:t>
                  </w:r>
                  <w:r>
                    <w:rPr>
                      <w:rFonts w:hint="default" w:ascii="Times New Roman" w:hAnsi="Times New Roman" w:cs="Times New Roman"/>
                      <w:color w:val="000000" w:themeColor="text1"/>
                      <w:sz w:val="21"/>
                      <w:szCs w:val="21"/>
                      <w14:textFill>
                        <w14:solidFill>
                          <w14:schemeClr w14:val="tx1"/>
                        </w14:solidFill>
                      </w14:textFill>
                    </w:rPr>
                    <w:t>雨水管网，生活污水经化粪池处理后</w:t>
                  </w:r>
                  <w:r>
                    <w:rPr>
                      <w:rFonts w:hint="eastAsia" w:ascii="Times New Roman" w:hAnsi="Times New Roman" w:cs="Times New Roman"/>
                      <w:color w:val="000000" w:themeColor="text1"/>
                      <w:sz w:val="21"/>
                      <w:szCs w:val="21"/>
                      <w:lang w:val="en-US" w:eastAsia="zh-CN"/>
                      <w14:textFill>
                        <w14:solidFill>
                          <w14:schemeClr w14:val="tx1"/>
                        </w14:solidFill>
                      </w14:textFill>
                    </w:rPr>
                    <w:t>由园区</w:t>
                  </w:r>
                  <w:r>
                    <w:rPr>
                      <w:rFonts w:hint="default" w:ascii="Times New Roman" w:hAnsi="Times New Roman" w:cs="Times New Roman"/>
                      <w:color w:val="000000" w:themeColor="text1"/>
                      <w:sz w:val="21"/>
                      <w:szCs w:val="21"/>
                      <w14:textFill>
                        <w14:solidFill>
                          <w14:schemeClr w14:val="tx1"/>
                        </w14:solidFill>
                      </w14:textFill>
                    </w:rPr>
                    <w:t>污水管网进入高安市</w:t>
                  </w:r>
                  <w:r>
                    <w:rPr>
                      <w:rFonts w:hint="eastAsia" w:ascii="Times New Roman" w:hAnsi="Times New Roman" w:cs="Times New Roman"/>
                      <w:color w:val="000000" w:themeColor="text1"/>
                      <w:sz w:val="21"/>
                      <w:szCs w:val="21"/>
                      <w:lang w:val="en-US" w:eastAsia="zh-CN"/>
                      <w14:textFill>
                        <w14:solidFill>
                          <w14:schemeClr w14:val="tx1"/>
                        </w14:solidFill>
                      </w14:textFill>
                    </w:rPr>
                    <w:t>工业园</w:t>
                  </w:r>
                  <w:r>
                    <w:rPr>
                      <w:rFonts w:hint="default" w:ascii="Times New Roman" w:hAnsi="Times New Roman" w:cs="Times New Roman"/>
                      <w:color w:val="000000" w:themeColor="text1"/>
                      <w:sz w:val="21"/>
                      <w:szCs w:val="21"/>
                      <w14:textFill>
                        <w14:solidFill>
                          <w14:schemeClr w14:val="tx1"/>
                        </w14:solidFill>
                      </w14:textFill>
                    </w:rPr>
                    <w:t>污水处理厂处理</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尾水排入锦江。</w:t>
                  </w:r>
                </w:p>
              </w:tc>
              <w:tc>
                <w:tcPr>
                  <w:tcW w:w="1080" w:type="pct"/>
                  <w:tcBorders>
                    <w:tl2br w:val="nil"/>
                    <w:tr2bl w:val="nil"/>
                  </w:tcBorders>
                  <w:vAlign w:val="center"/>
                </w:tcPr>
                <w:p w14:paraId="079B933E">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5B4168A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restart"/>
                  <w:tcBorders>
                    <w:tl2br w:val="nil"/>
                    <w:tr2bl w:val="nil"/>
                  </w:tcBorders>
                  <w:vAlign w:val="center"/>
                </w:tcPr>
                <w:p w14:paraId="37AABFD4">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环保</w:t>
                  </w:r>
                </w:p>
                <w:p w14:paraId="2C8DF378">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668" w:type="pct"/>
                  <w:tcBorders>
                    <w:tl2br w:val="nil"/>
                    <w:tr2bl w:val="nil"/>
                  </w:tcBorders>
                  <w:vAlign w:val="center"/>
                </w:tcPr>
                <w:p w14:paraId="5CC2190F">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废水治理</w:t>
                  </w:r>
                  <w:r>
                    <w:rPr>
                      <w:rFonts w:hint="eastAsia" w:ascii="Times New Roman" w:hAnsi="Times New Roman" w:cs="Times New Roman"/>
                      <w:color w:val="000000" w:themeColor="text1"/>
                      <w:sz w:val="21"/>
                      <w:szCs w:val="21"/>
                      <w:lang w:val="en-US" w:eastAsia="zh-CN"/>
                      <w14:textFill>
                        <w14:solidFill>
                          <w14:schemeClr w14:val="tx1"/>
                        </w14:solidFill>
                      </w14:textFill>
                    </w:rPr>
                    <w:t>措施</w:t>
                  </w:r>
                </w:p>
              </w:tc>
              <w:tc>
                <w:tcPr>
                  <w:tcW w:w="2820" w:type="pct"/>
                  <w:tcBorders>
                    <w:tl2br w:val="nil"/>
                    <w:tr2bl w:val="nil"/>
                  </w:tcBorders>
                  <w:vAlign w:val="center"/>
                </w:tcPr>
                <w:p w14:paraId="1D4845D1">
                  <w:pPr>
                    <w:keepNext w:val="0"/>
                    <w:keepLines w:val="0"/>
                    <w:pageBreakBefore w:val="0"/>
                    <w:kinsoku/>
                    <w:wordWrap/>
                    <w:overflowPunct/>
                    <w:topLinePunct w:val="0"/>
                    <w:autoSpaceDE/>
                    <w:autoSpaceDN/>
                    <w:bidi w:val="0"/>
                    <w:adjustRightInd w:val="0"/>
                    <w:snapToGrid w:val="0"/>
                    <w:spacing w:line="240" w:lineRule="auto"/>
                    <w:ind w:left="0" w:firstLine="0"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项目无生产废水产生，</w:t>
                  </w:r>
                  <w:r>
                    <w:rPr>
                      <w:rFonts w:hint="default" w:ascii="Times New Roman" w:hAnsi="Times New Roman" w:cs="Times New Roman"/>
                      <w:color w:val="000000" w:themeColor="text1"/>
                      <w:sz w:val="21"/>
                      <w:szCs w:val="21"/>
                      <w14:textFill>
                        <w14:solidFill>
                          <w14:schemeClr w14:val="tx1"/>
                        </w14:solidFill>
                      </w14:textFill>
                    </w:rPr>
                    <w:t>生活污水经化粪池处理后</w:t>
                  </w:r>
                  <w:r>
                    <w:rPr>
                      <w:rFonts w:hint="eastAsia" w:ascii="Times New Roman" w:hAnsi="Times New Roman" w:cs="Times New Roman"/>
                      <w:color w:val="000000" w:themeColor="text1"/>
                      <w:sz w:val="21"/>
                      <w:szCs w:val="21"/>
                      <w:lang w:val="en-US" w:eastAsia="zh-CN"/>
                      <w14:textFill>
                        <w14:solidFill>
                          <w14:schemeClr w14:val="tx1"/>
                        </w14:solidFill>
                      </w14:textFill>
                    </w:rPr>
                    <w:t>由园区</w:t>
                  </w:r>
                  <w:r>
                    <w:rPr>
                      <w:rFonts w:hint="default" w:ascii="Times New Roman" w:hAnsi="Times New Roman" w:cs="Times New Roman"/>
                      <w:color w:val="000000" w:themeColor="text1"/>
                      <w:sz w:val="21"/>
                      <w:szCs w:val="21"/>
                      <w14:textFill>
                        <w14:solidFill>
                          <w14:schemeClr w14:val="tx1"/>
                        </w14:solidFill>
                      </w14:textFill>
                    </w:rPr>
                    <w:t>污水管网进入高安市</w:t>
                  </w:r>
                  <w:r>
                    <w:rPr>
                      <w:rFonts w:hint="eastAsia" w:ascii="Times New Roman" w:hAnsi="Times New Roman" w:cs="Times New Roman"/>
                      <w:color w:val="000000" w:themeColor="text1"/>
                      <w:sz w:val="21"/>
                      <w:szCs w:val="21"/>
                      <w:lang w:val="en-US" w:eastAsia="zh-CN"/>
                      <w14:textFill>
                        <w14:solidFill>
                          <w14:schemeClr w14:val="tx1"/>
                        </w14:solidFill>
                      </w14:textFill>
                    </w:rPr>
                    <w:t>工业园</w:t>
                  </w:r>
                  <w:r>
                    <w:rPr>
                      <w:rFonts w:hint="default" w:ascii="Times New Roman" w:hAnsi="Times New Roman" w:cs="Times New Roman"/>
                      <w:color w:val="000000" w:themeColor="text1"/>
                      <w:sz w:val="21"/>
                      <w:szCs w:val="21"/>
                      <w14:textFill>
                        <w14:solidFill>
                          <w14:schemeClr w14:val="tx1"/>
                        </w14:solidFill>
                      </w14:textFill>
                    </w:rPr>
                    <w:t>污水处理厂处理</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尾水排入锦江</w:t>
                  </w:r>
                  <w:r>
                    <w:rPr>
                      <w:rFonts w:hint="default" w:ascii="Times New Roman" w:hAnsi="Times New Roman" w:cs="Times New Roman"/>
                      <w:color w:val="000000" w:themeColor="text1"/>
                      <w:sz w:val="21"/>
                      <w:szCs w:val="21"/>
                      <w14:textFill>
                        <w14:solidFill>
                          <w14:schemeClr w14:val="tx1"/>
                        </w14:solidFill>
                      </w14:textFill>
                    </w:rPr>
                    <w:t>。</w:t>
                  </w:r>
                </w:p>
              </w:tc>
              <w:tc>
                <w:tcPr>
                  <w:tcW w:w="1080" w:type="pct"/>
                  <w:tcBorders>
                    <w:tl2br w:val="nil"/>
                    <w:tr2bl w:val="nil"/>
                  </w:tcBorders>
                  <w:vAlign w:val="center"/>
                </w:tcPr>
                <w:p w14:paraId="78AB35F1">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已建</w:t>
                  </w:r>
                </w:p>
              </w:tc>
            </w:tr>
            <w:tr w14:paraId="3C94441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775852C9">
                  <w:pPr>
                    <w:keepNext w:val="0"/>
                    <w:keepLines w:val="0"/>
                    <w:pageBreakBefore w:val="0"/>
                    <w:tabs>
                      <w:tab w:val="left" w:pos="4465"/>
                    </w:tabs>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vMerge w:val="restart"/>
                  <w:tcBorders>
                    <w:tl2br w:val="nil"/>
                    <w:tr2bl w:val="nil"/>
                  </w:tcBorders>
                  <w:vAlign w:val="center"/>
                </w:tcPr>
                <w:p w14:paraId="126CE8DA">
                  <w:pPr>
                    <w:keepNext w:val="0"/>
                    <w:keepLines w:val="0"/>
                    <w:pageBreakBefore w:val="0"/>
                    <w:tabs>
                      <w:tab w:val="left" w:pos="4465"/>
                    </w:tabs>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废气治理</w:t>
                  </w:r>
                  <w:r>
                    <w:rPr>
                      <w:rFonts w:hint="eastAsia" w:ascii="Times New Roman" w:hAnsi="Times New Roman" w:cs="Times New Roman"/>
                      <w:color w:val="000000" w:themeColor="text1"/>
                      <w:sz w:val="21"/>
                      <w:szCs w:val="21"/>
                      <w:lang w:val="en-US" w:eastAsia="zh-CN"/>
                      <w14:textFill>
                        <w14:solidFill>
                          <w14:schemeClr w14:val="tx1"/>
                        </w14:solidFill>
                      </w14:textFill>
                    </w:rPr>
                    <w:t>措施</w:t>
                  </w:r>
                </w:p>
              </w:tc>
              <w:tc>
                <w:tcPr>
                  <w:tcW w:w="2820" w:type="pct"/>
                  <w:tcBorders>
                    <w:tl2br w:val="nil"/>
                    <w:tr2bl w:val="nil"/>
                  </w:tcBorders>
                  <w:vAlign w:val="center"/>
                </w:tcPr>
                <w:p w14:paraId="7E2ED088">
                  <w:pPr>
                    <w:keepNext w:val="0"/>
                    <w:keepLines w:val="0"/>
                    <w:pageBreakBefore w:val="0"/>
                    <w:tabs>
                      <w:tab w:val="left" w:pos="4465"/>
                    </w:tabs>
                    <w:kinsoku/>
                    <w:wordWrap/>
                    <w:overflowPunct/>
                    <w:topLinePunct w:val="0"/>
                    <w:bidi w:val="0"/>
                    <w:adjustRightInd w:val="0"/>
                    <w:spacing w:line="240" w:lineRule="auto"/>
                    <w:ind w:firstLine="0" w:firstLineChars="0"/>
                    <w:jc w:val="both"/>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搅浆废气、注浆、成型废气拟采取1套“二级活性炭吸附”处理，打磨废气拟采取1套“布袋除尘”处理，上述废气处理后共同通过1根30m高排气筒排放（DA001排气筒）。</w:t>
                  </w:r>
                </w:p>
              </w:tc>
              <w:tc>
                <w:tcPr>
                  <w:tcW w:w="1080" w:type="pct"/>
                  <w:vMerge w:val="restart"/>
                  <w:tcBorders>
                    <w:tl2br w:val="nil"/>
                    <w:tr2bl w:val="nil"/>
                  </w:tcBorders>
                  <w:vAlign w:val="center"/>
                </w:tcPr>
                <w:p w14:paraId="6502EEE9">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新建</w:t>
                  </w:r>
                  <w:r>
                    <w:rPr>
                      <w:rFonts w:hint="eastAsia" w:cs="Times New Roman"/>
                      <w:color w:val="000000" w:themeColor="text1"/>
                      <w:sz w:val="21"/>
                      <w:szCs w:val="21"/>
                      <w:lang w:val="en-US" w:eastAsia="zh-CN"/>
                      <w14:textFill>
                        <w14:solidFill>
                          <w14:schemeClr w14:val="tx1"/>
                        </w14:solidFill>
                      </w14:textFill>
                    </w:rPr>
                    <w:t>，排气筒设置在标准厂房旁（地面）。</w:t>
                  </w:r>
                </w:p>
              </w:tc>
            </w:tr>
            <w:tr w14:paraId="590B855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753D2A3E">
                  <w:pPr>
                    <w:keepNext w:val="0"/>
                    <w:keepLines w:val="0"/>
                    <w:pageBreakBefore w:val="0"/>
                    <w:tabs>
                      <w:tab w:val="left" w:pos="4465"/>
                    </w:tabs>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vMerge w:val="continue"/>
                  <w:tcBorders>
                    <w:tl2br w:val="nil"/>
                    <w:tr2bl w:val="nil"/>
                  </w:tcBorders>
                  <w:vAlign w:val="center"/>
                </w:tcPr>
                <w:p w14:paraId="468A8B3A">
                  <w:pPr>
                    <w:keepNext w:val="0"/>
                    <w:keepLines w:val="0"/>
                    <w:pageBreakBefore w:val="0"/>
                    <w:tabs>
                      <w:tab w:val="left" w:pos="4465"/>
                    </w:tabs>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2820" w:type="pct"/>
                  <w:tcBorders>
                    <w:tl2br w:val="nil"/>
                    <w:tr2bl w:val="nil"/>
                  </w:tcBorders>
                  <w:vAlign w:val="center"/>
                </w:tcPr>
                <w:p w14:paraId="05CAF6F9">
                  <w:pPr>
                    <w:keepNext w:val="0"/>
                    <w:keepLines w:val="0"/>
                    <w:pageBreakBefore w:val="0"/>
                    <w:tabs>
                      <w:tab w:val="left" w:pos="4465"/>
                    </w:tabs>
                    <w:kinsoku/>
                    <w:wordWrap/>
                    <w:overflowPunct/>
                    <w:topLinePunct w:val="0"/>
                    <w:bidi w:val="0"/>
                    <w:adjustRightInd w:val="0"/>
                    <w:spacing w:line="240" w:lineRule="auto"/>
                    <w:ind w:firstLine="0" w:firstLineChars="0"/>
                    <w:jc w:val="both"/>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调漆废气、喷漆、流平、晾干废气、喷枪清洗废气及彩绘、晾干废气拟采取1套“过滤棉+二级活性炭吸附”处理，处理后废气通过1根</w:t>
                  </w:r>
                  <w:r>
                    <w:rPr>
                      <w:rFonts w:hint="eastAsia" w:cs="Times New Roman"/>
                      <w:color w:val="000000" w:themeColor="text1"/>
                      <w:sz w:val="21"/>
                      <w:szCs w:val="21"/>
                      <w:lang w:val="en-US" w:eastAsia="zh-CN"/>
                      <w14:textFill>
                        <w14:solidFill>
                          <w14:schemeClr w14:val="tx1"/>
                        </w14:solidFill>
                      </w14:textFill>
                    </w:rPr>
                    <w:t>30</w:t>
                  </w:r>
                  <w:r>
                    <w:rPr>
                      <w:rFonts w:hint="eastAsia" w:ascii="Times New Roman" w:hAnsi="Times New Roman" w:cs="Times New Roman"/>
                      <w:color w:val="000000" w:themeColor="text1"/>
                      <w:sz w:val="21"/>
                      <w:szCs w:val="21"/>
                      <w:lang w:val="en-US" w:eastAsia="zh-CN"/>
                      <w14:textFill>
                        <w14:solidFill>
                          <w14:schemeClr w14:val="tx1"/>
                        </w14:solidFill>
                      </w14:textFill>
                    </w:rPr>
                    <w:t>m高排气筒排放（DA00</w:t>
                  </w:r>
                  <w:r>
                    <w:rPr>
                      <w:rFonts w:hint="eastAsia" w:cs="Times New Roman"/>
                      <w:color w:val="000000" w:themeColor="text1"/>
                      <w:sz w:val="21"/>
                      <w:szCs w:val="21"/>
                      <w:lang w:val="en-US" w:eastAsia="zh-CN"/>
                      <w14:textFill>
                        <w14:solidFill>
                          <w14:schemeClr w14:val="tx1"/>
                        </w14:solidFill>
                      </w14:textFill>
                    </w:rPr>
                    <w:t>2</w:t>
                  </w:r>
                  <w:r>
                    <w:rPr>
                      <w:rFonts w:hint="eastAsia" w:ascii="Times New Roman" w:hAnsi="Times New Roman" w:cs="Times New Roman"/>
                      <w:color w:val="000000" w:themeColor="text1"/>
                      <w:sz w:val="21"/>
                      <w:szCs w:val="21"/>
                      <w:lang w:val="en-US" w:eastAsia="zh-CN"/>
                      <w14:textFill>
                        <w14:solidFill>
                          <w14:schemeClr w14:val="tx1"/>
                        </w14:solidFill>
                      </w14:textFill>
                    </w:rPr>
                    <w:t>排气筒）。</w:t>
                  </w:r>
                </w:p>
              </w:tc>
              <w:tc>
                <w:tcPr>
                  <w:tcW w:w="1080" w:type="pct"/>
                  <w:vMerge w:val="continue"/>
                  <w:tcBorders>
                    <w:tl2br w:val="nil"/>
                    <w:tr2bl w:val="nil"/>
                  </w:tcBorders>
                  <w:vAlign w:val="center"/>
                </w:tcPr>
                <w:p w14:paraId="56717111">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42A071F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1F04682B">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071CF63E">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固废</w:t>
                  </w:r>
                  <w:r>
                    <w:rPr>
                      <w:rFonts w:hint="eastAsia" w:ascii="Times New Roman" w:hAnsi="Times New Roman" w:cs="Times New Roman"/>
                      <w:color w:val="000000" w:themeColor="text1"/>
                      <w:sz w:val="21"/>
                      <w:szCs w:val="21"/>
                      <w:lang w:val="en-US" w:eastAsia="zh-CN"/>
                      <w14:textFill>
                        <w14:solidFill>
                          <w14:schemeClr w14:val="tx1"/>
                        </w14:solidFill>
                      </w14:textFill>
                    </w:rPr>
                    <w:t>污染防治措施</w:t>
                  </w:r>
                </w:p>
              </w:tc>
              <w:tc>
                <w:tcPr>
                  <w:tcW w:w="2820" w:type="pct"/>
                  <w:tcBorders>
                    <w:tl2br w:val="nil"/>
                    <w:tr2bl w:val="nil"/>
                  </w:tcBorders>
                  <w:vAlign w:val="center"/>
                </w:tcPr>
                <w:p w14:paraId="36CBA12A">
                  <w:pPr>
                    <w:keepNext w:val="0"/>
                    <w:keepLines w:val="0"/>
                    <w:pageBreakBefore w:val="0"/>
                    <w:kinsoku/>
                    <w:wordWrap/>
                    <w:overflowPunct/>
                    <w:topLinePunct w:val="0"/>
                    <w:bidi w:val="0"/>
                    <w:adjustRightInd w:val="0"/>
                    <w:spacing w:line="240" w:lineRule="auto"/>
                    <w:ind w:firstLine="0" w:firstLineChars="0"/>
                    <w:jc w:val="both"/>
                    <w:textAlignment w:val="auto"/>
                    <w:rPr>
                      <w:rFonts w:hint="default" w:ascii="Times New Roman" w:hAnsi="Times New Roman" w:eastAsia="宋体" w:cs="Times New Roman"/>
                      <w:color w:val="000000" w:themeColor="text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拟在四楼设置1座占地</w:t>
                  </w:r>
                  <w:r>
                    <w:rPr>
                      <w:rFonts w:hint="eastAsia" w:cs="Times New Roman"/>
                      <w:color w:val="000000" w:themeColor="text1"/>
                      <w:sz w:val="21"/>
                      <w:szCs w:val="21"/>
                      <w:lang w:val="en-US" w:eastAsia="zh-CN"/>
                      <w14:textFill>
                        <w14:solidFill>
                          <w14:schemeClr w14:val="tx1"/>
                        </w14:solidFill>
                      </w14:textFill>
                    </w:rPr>
                    <w:t>20</w:t>
                  </w:r>
                  <w:r>
                    <w:rPr>
                      <w:rFonts w:hint="eastAsia" w:ascii="Times New Roman" w:hAnsi="Times New Roman" w:cs="Times New Roman"/>
                      <w:color w:val="000000" w:themeColor="text1"/>
                      <w:sz w:val="21"/>
                      <w:szCs w:val="21"/>
                      <w:lang w:val="en-US" w:eastAsia="zh-CN"/>
                      <w14:textFill>
                        <w14:solidFill>
                          <w14:schemeClr w14:val="tx1"/>
                        </w14:solidFill>
                      </w14:textFill>
                    </w:rPr>
                    <w:t>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危废暂存间，1座占地10m</w:t>
                  </w:r>
                  <w:r>
                    <w:rPr>
                      <w:rFonts w:hint="eastAsia" w:ascii="Times New Roman" w:hAnsi="Times New Roman" w:cs="Times New Roman"/>
                      <w:color w:val="000000" w:themeColor="text1"/>
                      <w:sz w:val="21"/>
                      <w:szCs w:val="21"/>
                      <w:vertAlign w:val="superscript"/>
                      <w:lang w:val="en-US" w:eastAsia="zh-CN"/>
                      <w14:textFill>
                        <w14:solidFill>
                          <w14:schemeClr w14:val="tx1"/>
                        </w14:solidFill>
                      </w14:textFill>
                    </w:rPr>
                    <w:t>2</w:t>
                  </w:r>
                  <w:r>
                    <w:rPr>
                      <w:rFonts w:hint="eastAsia" w:ascii="Times New Roman" w:hAnsi="Times New Roman" w:cs="Times New Roman"/>
                      <w:color w:val="000000" w:themeColor="text1"/>
                      <w:sz w:val="21"/>
                      <w:szCs w:val="21"/>
                      <w:vertAlign w:val="baseline"/>
                      <w:lang w:val="en-US" w:eastAsia="zh-CN"/>
                      <w14:textFill>
                        <w14:solidFill>
                          <w14:schemeClr w14:val="tx1"/>
                        </w14:solidFill>
                      </w14:textFill>
                    </w:rPr>
                    <w:t>一般固废暂存间</w:t>
                  </w:r>
                  <w:r>
                    <w:rPr>
                      <w:rFonts w:hint="eastAsia" w:cs="Times New Roman"/>
                      <w:color w:val="000000" w:themeColor="text1"/>
                      <w:sz w:val="21"/>
                      <w:szCs w:val="21"/>
                      <w:vertAlign w:val="baseline"/>
                      <w:lang w:val="en-US" w:eastAsia="zh-CN"/>
                      <w14:textFill>
                        <w14:solidFill>
                          <w14:schemeClr w14:val="tx1"/>
                        </w14:solidFill>
                      </w14:textFill>
                    </w:rPr>
                    <w:t>。</w:t>
                  </w:r>
                </w:p>
              </w:tc>
              <w:tc>
                <w:tcPr>
                  <w:tcW w:w="1080" w:type="pct"/>
                  <w:tcBorders>
                    <w:tl2br w:val="nil"/>
                    <w:tr2bl w:val="nil"/>
                  </w:tcBorders>
                  <w:vAlign w:val="center"/>
                </w:tcPr>
                <w:p w14:paraId="3CF29DE7">
                  <w:pPr>
                    <w:keepNext w:val="0"/>
                    <w:keepLines w:val="0"/>
                    <w:pageBreakBefore w:val="0"/>
                    <w:kinsoku/>
                    <w:wordWrap/>
                    <w:overflowPunct/>
                    <w:topLinePunct w:val="0"/>
                    <w:bidi w:val="0"/>
                    <w:adjustRightInd w:val="0"/>
                    <w:spacing w:line="240" w:lineRule="auto"/>
                    <w:ind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新建</w:t>
                  </w:r>
                </w:p>
              </w:tc>
            </w:tr>
            <w:tr w14:paraId="79AC240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20421DA1">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237762BC">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r>
                    <w:rPr>
                      <w:rFonts w:hint="eastAsia" w:ascii="Times New Roman" w:hAnsi="Times New Roman" w:cs="Times New Roman"/>
                      <w:color w:val="000000" w:themeColor="text1"/>
                      <w:sz w:val="21"/>
                      <w:szCs w:val="21"/>
                      <w:lang w:val="en-US" w:eastAsia="zh-CN"/>
                      <w14:textFill>
                        <w14:solidFill>
                          <w14:schemeClr w14:val="tx1"/>
                        </w14:solidFill>
                      </w14:textFill>
                    </w:rPr>
                    <w:t>污染防治措施</w:t>
                  </w:r>
                </w:p>
              </w:tc>
              <w:tc>
                <w:tcPr>
                  <w:tcW w:w="2820" w:type="pct"/>
                  <w:tcBorders>
                    <w:tl2br w:val="nil"/>
                    <w:tr2bl w:val="nil"/>
                  </w:tcBorders>
                  <w:vAlign w:val="center"/>
                </w:tcPr>
                <w:p w14:paraId="36139772">
                  <w:pPr>
                    <w:keepNext w:val="0"/>
                    <w:keepLines w:val="0"/>
                    <w:pageBreakBefore w:val="0"/>
                    <w:tabs>
                      <w:tab w:val="left" w:pos="1693"/>
                    </w:tabs>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选用低噪声设备</w:t>
                  </w:r>
                  <w:r>
                    <w:rPr>
                      <w:rFonts w:hint="eastAsia" w:ascii="Times New Roman" w:hAnsi="Times New Roman"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隔声、减振、吸声等措施</w:t>
                  </w:r>
                  <w:r>
                    <w:rPr>
                      <w:rFonts w:hint="default" w:ascii="Times New Roman" w:hAnsi="Times New Roman" w:cs="Times New Roman"/>
                      <w:color w:val="000000" w:themeColor="text1"/>
                      <w:sz w:val="21"/>
                      <w:szCs w:val="21"/>
                      <w14:textFill>
                        <w14:solidFill>
                          <w14:schemeClr w14:val="tx1"/>
                        </w14:solidFill>
                      </w14:textFill>
                    </w:rPr>
                    <w:t>。</w:t>
                  </w:r>
                </w:p>
              </w:tc>
              <w:tc>
                <w:tcPr>
                  <w:tcW w:w="1080" w:type="pct"/>
                  <w:tcBorders>
                    <w:tl2br w:val="nil"/>
                    <w:tr2bl w:val="nil"/>
                  </w:tcBorders>
                  <w:vAlign w:val="center"/>
                </w:tcPr>
                <w:p w14:paraId="28A5BF64">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新建</w:t>
                  </w:r>
                </w:p>
              </w:tc>
            </w:tr>
            <w:tr w14:paraId="015CC23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83" w:hRule="atLeast"/>
                <w:jc w:val="center"/>
              </w:trPr>
              <w:tc>
                <w:tcPr>
                  <w:tcW w:w="431" w:type="pct"/>
                  <w:vMerge w:val="continue"/>
                  <w:tcBorders>
                    <w:tl2br w:val="nil"/>
                    <w:tr2bl w:val="nil"/>
                  </w:tcBorders>
                  <w:vAlign w:val="center"/>
                </w:tcPr>
                <w:p w14:paraId="5BEF5CC3">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668" w:type="pct"/>
                  <w:tcBorders>
                    <w:tl2br w:val="nil"/>
                    <w:tr2bl w:val="nil"/>
                  </w:tcBorders>
                  <w:vAlign w:val="center"/>
                </w:tcPr>
                <w:p w14:paraId="08C68979">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土壤及地下水污染防治措施</w:t>
                  </w:r>
                </w:p>
              </w:tc>
              <w:tc>
                <w:tcPr>
                  <w:tcW w:w="2820" w:type="pct"/>
                  <w:tcBorders>
                    <w:tl2br w:val="nil"/>
                    <w:tr2bl w:val="nil"/>
                  </w:tcBorders>
                  <w:vAlign w:val="center"/>
                </w:tcPr>
                <w:p w14:paraId="43949843">
                  <w:pPr>
                    <w:keepNext w:val="0"/>
                    <w:keepLines w:val="0"/>
                    <w:pageBreakBefore w:val="0"/>
                    <w:kinsoku/>
                    <w:wordWrap/>
                    <w:overflowPunct/>
                    <w:topLinePunct w:val="0"/>
                    <w:bidi w:val="0"/>
                    <w:adjustRightInd w:val="0"/>
                    <w:spacing w:line="240" w:lineRule="auto"/>
                    <w:ind w:firstLine="0" w:firstLineChars="0"/>
                    <w:jc w:val="both"/>
                    <w:textAlignment w:val="auto"/>
                    <w:rPr>
                      <w:rFonts w:hint="default" w:ascii="Times New Roman" w:hAnsi="Times New Roman" w:cs="Times New Roman"/>
                      <w:snapToGrid w:val="0"/>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按照“源头控制、分区防治、污染监控、应急响应”原则做好地下水污染防治，进行地面硬化，做好分区防渗措施；同时加强日常环境管理，确保防护及防渗设施完好。</w:t>
                  </w:r>
                </w:p>
              </w:tc>
              <w:tc>
                <w:tcPr>
                  <w:tcW w:w="1080" w:type="pct"/>
                  <w:tcBorders>
                    <w:tl2br w:val="nil"/>
                    <w:tr2bl w:val="nil"/>
                  </w:tcBorders>
                  <w:vAlign w:val="center"/>
                </w:tcPr>
                <w:p w14:paraId="36A209BF">
                  <w:pPr>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新建</w:t>
                  </w:r>
                </w:p>
              </w:tc>
            </w:tr>
          </w:tbl>
          <w:p w14:paraId="5E92E1E3">
            <w:pPr>
              <w:spacing w:before="120" w:beforeLines="50"/>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3、项目产品方案</w:t>
            </w:r>
          </w:p>
          <w:p w14:paraId="3C0F77EB">
            <w:pPr>
              <w:pStyle w:val="57"/>
              <w:numPr>
                <w:ilvl w:val="3"/>
                <w:numId w:val="19"/>
              </w:numPr>
              <w:rPr>
                <w:bCs/>
                <w:color w:val="000000" w:themeColor="text1"/>
                <w:szCs w:val="18"/>
                <w:lang w:eastAsia="zh-CN"/>
                <w14:textFill>
                  <w14:solidFill>
                    <w14:schemeClr w14:val="tx1"/>
                  </w14:solidFill>
                </w14:textFill>
              </w:rPr>
            </w:pPr>
            <w:r>
              <w:rPr>
                <w:rFonts w:hint="eastAsia"/>
                <w:bCs/>
                <w:color w:val="000000" w:themeColor="text1"/>
                <w:szCs w:val="18"/>
                <w:lang w:eastAsia="zh-CN"/>
                <w14:textFill>
                  <w14:solidFill>
                    <w14:schemeClr w14:val="tx1"/>
                  </w14:solidFill>
                </w14:textFill>
              </w:rPr>
              <w:t>项目产品方案一览表</w:t>
            </w:r>
          </w:p>
          <w:tbl>
            <w:tblPr>
              <w:tblStyle w:val="36"/>
              <w:tblW w:w="0" w:type="auto"/>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564"/>
              <w:gridCol w:w="2156"/>
              <w:gridCol w:w="1575"/>
              <w:gridCol w:w="1904"/>
              <w:gridCol w:w="1534"/>
              <w:gridCol w:w="839"/>
            </w:tblGrid>
            <w:tr w14:paraId="253D6A70">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47" w:hRule="atLeast"/>
                <w:jc w:val="center"/>
              </w:trPr>
              <w:tc>
                <w:tcPr>
                  <w:tcW w:w="0" w:type="auto"/>
                  <w:tcBorders>
                    <w:top w:val="single" w:color="auto" w:sz="2" w:space="0"/>
                    <w:left w:val="nil"/>
                    <w:bottom w:val="single" w:color="auto" w:sz="2" w:space="0"/>
                    <w:right w:val="single" w:color="auto" w:sz="2" w:space="0"/>
                  </w:tcBorders>
                  <w:vAlign w:val="center"/>
                </w:tcPr>
                <w:p w14:paraId="387858CD">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b/>
                      <w:bCs/>
                      <w:color w:val="000000" w:themeColor="text1"/>
                      <w:sz w:val="21"/>
                      <w:szCs w:val="21"/>
                      <w14:textFill>
                        <w14:solidFill>
                          <w14:schemeClr w14:val="tx1"/>
                        </w14:solidFill>
                      </w14:textFill>
                    </w:rPr>
                  </w:pPr>
                  <w:r>
                    <w:rPr>
                      <w:rFonts w:ascii="宋体" w:hAnsi="宋体"/>
                      <w:b/>
                      <w:bCs/>
                      <w:color w:val="000000" w:themeColor="text1"/>
                      <w:sz w:val="21"/>
                      <w:szCs w:val="21"/>
                      <w14:textFill>
                        <w14:solidFill>
                          <w14:schemeClr w14:val="tx1"/>
                        </w14:solidFill>
                      </w14:textFill>
                    </w:rPr>
                    <w:t>序号</w:t>
                  </w:r>
                </w:p>
              </w:tc>
              <w:tc>
                <w:tcPr>
                  <w:tcW w:w="2156" w:type="dxa"/>
                  <w:tcBorders>
                    <w:top w:val="single" w:color="auto" w:sz="2" w:space="0"/>
                    <w:left w:val="single" w:color="auto" w:sz="2" w:space="0"/>
                    <w:bottom w:val="single" w:color="auto" w:sz="2" w:space="0"/>
                    <w:right w:val="single" w:color="auto" w:sz="2" w:space="0"/>
                  </w:tcBorders>
                  <w:vAlign w:val="center"/>
                </w:tcPr>
                <w:p w14:paraId="7BF36F8F">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b/>
                      <w:bCs/>
                      <w:color w:val="000000" w:themeColor="text1"/>
                      <w:sz w:val="21"/>
                      <w:szCs w:val="21"/>
                      <w14:textFill>
                        <w14:solidFill>
                          <w14:schemeClr w14:val="tx1"/>
                        </w14:solidFill>
                      </w14:textFill>
                    </w:rPr>
                  </w:pPr>
                  <w:r>
                    <w:rPr>
                      <w:rFonts w:ascii="宋体" w:hAnsi="宋体"/>
                      <w:b/>
                      <w:bCs/>
                      <w:color w:val="000000" w:themeColor="text1"/>
                      <w:sz w:val="21"/>
                      <w:szCs w:val="21"/>
                      <w14:textFill>
                        <w14:solidFill>
                          <w14:schemeClr w14:val="tx1"/>
                        </w14:solidFill>
                      </w14:textFill>
                    </w:rPr>
                    <w:t>产品名称</w:t>
                  </w:r>
                </w:p>
              </w:tc>
              <w:tc>
                <w:tcPr>
                  <w:tcW w:w="1575" w:type="dxa"/>
                  <w:tcBorders>
                    <w:top w:val="single" w:color="auto" w:sz="2" w:space="0"/>
                    <w:left w:val="single" w:color="auto" w:sz="2" w:space="0"/>
                    <w:bottom w:val="single" w:color="auto" w:sz="2" w:space="0"/>
                    <w:right w:val="single" w:color="auto" w:sz="2" w:space="0"/>
                  </w:tcBorders>
                  <w:vAlign w:val="center"/>
                </w:tcPr>
                <w:p w14:paraId="450BBEE7">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年</w:t>
                  </w:r>
                  <w:r>
                    <w:rPr>
                      <w:rFonts w:ascii="宋体" w:hAnsi="宋体"/>
                      <w:b/>
                      <w:bCs/>
                      <w:color w:val="000000" w:themeColor="text1"/>
                      <w:sz w:val="21"/>
                      <w:szCs w:val="21"/>
                      <w14:textFill>
                        <w14:solidFill>
                          <w14:schemeClr w14:val="tx1"/>
                        </w14:solidFill>
                      </w14:textFill>
                    </w:rPr>
                    <w:t>产量（</w:t>
                  </w:r>
                  <w:r>
                    <w:rPr>
                      <w:rFonts w:hint="eastAsia" w:ascii="宋体" w:hAnsi="宋体"/>
                      <w:b/>
                      <w:bCs/>
                      <w:color w:val="000000" w:themeColor="text1"/>
                      <w:sz w:val="21"/>
                      <w:szCs w:val="21"/>
                      <w14:textFill>
                        <w14:solidFill>
                          <w14:schemeClr w14:val="tx1"/>
                        </w14:solidFill>
                      </w14:textFill>
                    </w:rPr>
                    <w:t>万</w:t>
                  </w:r>
                  <w:r>
                    <w:rPr>
                      <w:rFonts w:hint="eastAsia" w:ascii="宋体" w:hAnsi="宋体"/>
                      <w:b/>
                      <w:bCs/>
                      <w:color w:val="000000" w:themeColor="text1"/>
                      <w:sz w:val="21"/>
                      <w:szCs w:val="21"/>
                      <w:lang w:val="en-US" w:eastAsia="zh-CN"/>
                      <w14:textFill>
                        <w14:solidFill>
                          <w14:schemeClr w14:val="tx1"/>
                        </w14:solidFill>
                      </w14:textFill>
                    </w:rPr>
                    <w:t>件</w:t>
                  </w:r>
                  <w:r>
                    <w:rPr>
                      <w:b/>
                      <w:bCs/>
                      <w:color w:val="000000" w:themeColor="text1"/>
                      <w:sz w:val="21"/>
                      <w:szCs w:val="21"/>
                      <w14:textFill>
                        <w14:solidFill>
                          <w14:schemeClr w14:val="tx1"/>
                        </w14:solidFill>
                      </w14:textFill>
                    </w:rPr>
                    <w:t>/a</w:t>
                  </w:r>
                  <w:r>
                    <w:rPr>
                      <w:rFonts w:ascii="宋体" w:hAnsi="宋体"/>
                      <w:b/>
                      <w:bCs/>
                      <w:color w:val="000000" w:themeColor="text1"/>
                      <w:sz w:val="21"/>
                      <w:szCs w:val="21"/>
                      <w14:textFill>
                        <w14:solidFill>
                          <w14:schemeClr w14:val="tx1"/>
                        </w14:solidFill>
                      </w14:textFill>
                    </w:rPr>
                    <w:t>）</w:t>
                  </w:r>
                </w:p>
              </w:tc>
              <w:tc>
                <w:tcPr>
                  <w:tcW w:w="1904" w:type="dxa"/>
                  <w:tcBorders>
                    <w:top w:val="single" w:color="auto" w:sz="2" w:space="0"/>
                    <w:left w:val="single" w:color="auto" w:sz="2" w:space="0"/>
                    <w:bottom w:val="single" w:color="auto" w:sz="2" w:space="0"/>
                    <w:right w:val="single" w:color="auto" w:sz="2" w:space="0"/>
                  </w:tcBorders>
                  <w:vAlign w:val="center"/>
                </w:tcPr>
                <w:p w14:paraId="6EA78ACB">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rFonts w:hint="eastAsia" w:ascii="宋体" w:hAnsi="宋体" w:eastAsia="宋体"/>
                      <w:b/>
                      <w:bCs/>
                      <w:color w:val="000000" w:themeColor="text1"/>
                      <w:sz w:val="21"/>
                      <w:szCs w:val="21"/>
                      <w:lang w:val="en-US" w:eastAsia="zh-CN"/>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产品</w:t>
                  </w:r>
                  <w:r>
                    <w:rPr>
                      <w:rFonts w:hint="eastAsia" w:ascii="宋体" w:hAnsi="宋体"/>
                      <w:b/>
                      <w:bCs/>
                      <w:color w:val="000000" w:themeColor="text1"/>
                      <w:sz w:val="21"/>
                      <w:szCs w:val="21"/>
                      <w:lang w:val="en-US" w:eastAsia="zh-CN"/>
                      <w14:textFill>
                        <w14:solidFill>
                          <w14:schemeClr w14:val="tx1"/>
                        </w14:solidFill>
                      </w14:textFill>
                    </w:rPr>
                    <w:t>规格</w:t>
                  </w:r>
                </w:p>
              </w:tc>
              <w:tc>
                <w:tcPr>
                  <w:tcW w:w="1534" w:type="dxa"/>
                  <w:tcBorders>
                    <w:top w:val="single" w:color="auto" w:sz="2" w:space="0"/>
                    <w:left w:val="single" w:color="auto" w:sz="2" w:space="0"/>
                    <w:bottom w:val="single" w:color="auto" w:sz="2" w:space="0"/>
                    <w:right w:val="single" w:color="auto" w:sz="2" w:space="0"/>
                  </w:tcBorders>
                  <w:vAlign w:val="center"/>
                </w:tcPr>
                <w:p w14:paraId="70C87D2B">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b/>
                      <w:bCs/>
                      <w:color w:val="000000" w:themeColor="text1"/>
                      <w:sz w:val="21"/>
                      <w:szCs w:val="21"/>
                      <w14:textFill>
                        <w14:solidFill>
                          <w14:schemeClr w14:val="tx1"/>
                        </w14:solidFill>
                      </w14:textFill>
                    </w:rPr>
                  </w:pPr>
                  <w:r>
                    <w:rPr>
                      <w:rFonts w:ascii="宋体" w:hAnsi="宋体"/>
                      <w:b/>
                      <w:bCs/>
                      <w:color w:val="000000" w:themeColor="text1"/>
                      <w:sz w:val="21"/>
                      <w:szCs w:val="21"/>
                      <w14:textFill>
                        <w14:solidFill>
                          <w14:schemeClr w14:val="tx1"/>
                        </w14:solidFill>
                      </w14:textFill>
                    </w:rPr>
                    <w:t>产品质量标准</w:t>
                  </w:r>
                </w:p>
              </w:tc>
              <w:tc>
                <w:tcPr>
                  <w:tcW w:w="0" w:type="auto"/>
                  <w:tcBorders>
                    <w:top w:val="single" w:color="auto" w:sz="2" w:space="0"/>
                    <w:left w:val="single" w:color="auto" w:sz="2" w:space="0"/>
                    <w:bottom w:val="single" w:color="auto" w:sz="2" w:space="0"/>
                    <w:right w:val="nil"/>
                  </w:tcBorders>
                  <w:vAlign w:val="center"/>
                </w:tcPr>
                <w:p w14:paraId="5676C3AB">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rFonts w:hint="eastAsia" w:ascii="宋体" w:hAnsi="宋体"/>
                      <w:b/>
                      <w:bCs/>
                      <w:color w:val="000000" w:themeColor="text1"/>
                      <w:sz w:val="21"/>
                      <w:szCs w:val="21"/>
                      <w14:textFill>
                        <w14:solidFill>
                          <w14:schemeClr w14:val="tx1"/>
                        </w14:solidFill>
                      </w14:textFill>
                    </w:rPr>
                  </w:pPr>
                  <w:r>
                    <w:rPr>
                      <w:rFonts w:hint="eastAsia" w:ascii="宋体" w:hAnsi="宋体"/>
                      <w:b/>
                      <w:bCs/>
                      <w:color w:val="000000" w:themeColor="text1"/>
                      <w:sz w:val="21"/>
                      <w:szCs w:val="21"/>
                      <w14:textFill>
                        <w14:solidFill>
                          <w14:schemeClr w14:val="tx1"/>
                        </w14:solidFill>
                      </w14:textFill>
                    </w:rPr>
                    <w:t>包装方式</w:t>
                  </w:r>
                </w:p>
              </w:tc>
            </w:tr>
            <w:tr w14:paraId="5555A0A5">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94" w:hRule="atLeast"/>
                <w:jc w:val="center"/>
              </w:trPr>
              <w:tc>
                <w:tcPr>
                  <w:tcW w:w="0" w:type="auto"/>
                  <w:tcBorders>
                    <w:top w:val="single" w:color="auto" w:sz="2" w:space="0"/>
                    <w:left w:val="nil"/>
                    <w:bottom w:val="single" w:color="auto" w:sz="2" w:space="0"/>
                    <w:right w:val="single" w:color="auto" w:sz="2" w:space="0"/>
                  </w:tcBorders>
                  <w:vAlign w:val="center"/>
                </w:tcPr>
                <w:p w14:paraId="40291312">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2156" w:type="dxa"/>
                  <w:tcBorders>
                    <w:top w:val="single" w:color="auto" w:sz="2" w:space="0"/>
                    <w:left w:val="single" w:color="auto" w:sz="2" w:space="0"/>
                    <w:bottom w:val="single" w:color="auto" w:sz="2" w:space="0"/>
                    <w:right w:val="single" w:color="auto" w:sz="2" w:space="0"/>
                  </w:tcBorders>
                  <w:vAlign w:val="center"/>
                </w:tcPr>
                <w:p w14:paraId="02CD5EDA">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文化工艺品（圣诞房子、圣诞老人、圣诞树等）</w:t>
                  </w:r>
                </w:p>
              </w:tc>
              <w:tc>
                <w:tcPr>
                  <w:tcW w:w="1575" w:type="dxa"/>
                  <w:tcBorders>
                    <w:top w:val="single" w:color="auto" w:sz="2" w:space="0"/>
                    <w:left w:val="single" w:color="auto" w:sz="2" w:space="0"/>
                    <w:bottom w:val="single" w:color="auto" w:sz="2" w:space="0"/>
                    <w:right w:val="single" w:color="auto" w:sz="2" w:space="0"/>
                  </w:tcBorders>
                  <w:vAlign w:val="center"/>
                </w:tcPr>
                <w:p w14:paraId="1BBC8559">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300</w:t>
                  </w:r>
                </w:p>
              </w:tc>
              <w:tc>
                <w:tcPr>
                  <w:tcW w:w="1904" w:type="dxa"/>
                  <w:tcBorders>
                    <w:top w:val="single" w:color="auto" w:sz="2" w:space="0"/>
                    <w:left w:val="single" w:color="auto" w:sz="2" w:space="0"/>
                    <w:bottom w:val="single" w:color="auto" w:sz="2" w:space="0"/>
                    <w:right w:val="single" w:color="auto" w:sz="2" w:space="0"/>
                  </w:tcBorders>
                  <w:vAlign w:val="center"/>
                </w:tcPr>
                <w:p w14:paraId="2A546AFF">
                  <w:pPr>
                    <w:keepNext w:val="0"/>
                    <w:keepLines w:val="0"/>
                    <w:pageBreakBefore w:val="0"/>
                    <w:widowControl w:val="0"/>
                    <w:kinsoku/>
                    <w:wordWrap/>
                    <w:overflowPunct/>
                    <w:topLinePunct w:val="0"/>
                    <w:autoSpaceDE w:val="0"/>
                    <w:autoSpaceDN/>
                    <w:bidi w:val="0"/>
                    <w:adjustRightInd w:val="0"/>
                    <w:snapToGrid w:val="0"/>
                    <w:spacing w:line="240" w:lineRule="auto"/>
                    <w:ind w:left="0" w:leftChars="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长：3~95cm；</w:t>
                  </w:r>
                </w:p>
                <w:p w14:paraId="4837C256">
                  <w:pPr>
                    <w:pStyle w:val="35"/>
                    <w:keepNext w:val="0"/>
                    <w:keepLines w:val="0"/>
                    <w:pageBreakBefore w:val="0"/>
                    <w:kinsoku/>
                    <w:wordWrap/>
                    <w:overflowPunct/>
                    <w:topLinePunct w:val="0"/>
                    <w:autoSpaceDN/>
                    <w:bidi w:val="0"/>
                    <w:snapToGrid w:val="0"/>
                    <w:spacing w:after="0" w:line="240" w:lineRule="auto"/>
                    <w:ind w:left="0" w:leftChars="0" w:right="0"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宽：2~70cm；</w:t>
                  </w:r>
                </w:p>
                <w:p w14:paraId="20E3AD32">
                  <w:pPr>
                    <w:pStyle w:val="34"/>
                    <w:keepNext w:val="0"/>
                    <w:keepLines w:val="0"/>
                    <w:pageBreakBefore w:val="0"/>
                    <w:kinsoku/>
                    <w:wordWrap/>
                    <w:overflowPunct/>
                    <w:topLinePunct w:val="0"/>
                    <w:autoSpaceDN/>
                    <w:bidi w:val="0"/>
                    <w:snapToGrid w:val="0"/>
                    <w:spacing w:before="0" w:after="0" w:line="240" w:lineRule="auto"/>
                    <w:ind w:left="0" w:leftChars="0" w:right="0" w:firstLine="0" w:firstLineChars="0"/>
                    <w:jc w:val="center"/>
                    <w:textAlignment w:val="auto"/>
                    <w:rPr>
                      <w:rFonts w:hint="default"/>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高：10~200cm；</w:t>
                  </w:r>
                </w:p>
              </w:tc>
              <w:tc>
                <w:tcPr>
                  <w:tcW w:w="1534" w:type="dxa"/>
                  <w:tcBorders>
                    <w:top w:val="single" w:color="auto" w:sz="2" w:space="0"/>
                    <w:left w:val="single" w:color="auto" w:sz="2" w:space="0"/>
                    <w:bottom w:val="single" w:color="auto" w:sz="2" w:space="0"/>
                    <w:right w:val="single" w:color="auto" w:sz="2" w:space="0"/>
                  </w:tcBorders>
                  <w:vAlign w:val="center"/>
                </w:tcPr>
                <w:p w14:paraId="33677D15">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无缺料、无变形、无磨损</w:t>
                  </w:r>
                  <w:r>
                    <w:rPr>
                      <w:rFonts w:hint="eastAsia" w:ascii="宋体" w:hAnsi="宋体"/>
                      <w:color w:val="000000" w:themeColor="text1"/>
                      <w:sz w:val="21"/>
                      <w:szCs w:val="21"/>
                      <w:lang w:eastAsia="zh-CN"/>
                      <w14:textFill>
                        <w14:solidFill>
                          <w14:schemeClr w14:val="tx1"/>
                        </w14:solidFill>
                      </w14:textFill>
                    </w:rPr>
                    <w:t>（</w:t>
                  </w:r>
                  <w:r>
                    <w:rPr>
                      <w:rFonts w:hint="eastAsia" w:ascii="宋体" w:hAnsi="宋体"/>
                      <w:color w:val="000000" w:themeColor="text1"/>
                      <w:sz w:val="21"/>
                      <w:szCs w:val="21"/>
                      <w:lang w:val="en-US" w:eastAsia="zh-CN"/>
                      <w14:textFill>
                        <w14:solidFill>
                          <w14:schemeClr w14:val="tx1"/>
                        </w14:solidFill>
                      </w14:textFill>
                    </w:rPr>
                    <w:t>企业标准</w:t>
                  </w:r>
                  <w:r>
                    <w:rPr>
                      <w:rFonts w:hint="eastAsia" w:ascii="宋体" w:hAnsi="宋体"/>
                      <w:color w:val="000000" w:themeColor="text1"/>
                      <w:sz w:val="21"/>
                      <w:szCs w:val="21"/>
                      <w:lang w:eastAsia="zh-CN"/>
                      <w14:textFill>
                        <w14:solidFill>
                          <w14:schemeClr w14:val="tx1"/>
                        </w14:solidFill>
                      </w14:textFill>
                    </w:rPr>
                    <w:t>）</w:t>
                  </w:r>
                </w:p>
              </w:tc>
              <w:tc>
                <w:tcPr>
                  <w:tcW w:w="0" w:type="auto"/>
                  <w:tcBorders>
                    <w:top w:val="single" w:color="auto" w:sz="2" w:space="0"/>
                    <w:left w:val="single" w:color="auto" w:sz="2" w:space="0"/>
                    <w:bottom w:val="single" w:color="auto" w:sz="2" w:space="0"/>
                    <w:right w:val="nil"/>
                  </w:tcBorders>
                  <w:vAlign w:val="center"/>
                </w:tcPr>
                <w:p w14:paraId="2AC5BB09">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rFonts w:hint="eastAsia"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用纸箱</w:t>
                  </w:r>
                </w:p>
                <w:p w14:paraId="243661E0">
                  <w:pPr>
                    <w:keepNext w:val="0"/>
                    <w:keepLines w:val="0"/>
                    <w:pageBreakBefore w:val="0"/>
                    <w:widowControl w:val="0"/>
                    <w:kinsoku/>
                    <w:wordWrap/>
                    <w:overflowPunct/>
                    <w:topLinePunct w:val="0"/>
                    <w:autoSpaceDE w:val="0"/>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密封</w:t>
                  </w:r>
                </w:p>
              </w:tc>
            </w:tr>
          </w:tbl>
          <w:p w14:paraId="0234E8F3">
            <w:pPr>
              <w:pStyle w:val="57"/>
              <w:numPr>
                <w:ilvl w:val="0"/>
                <w:numId w:val="0"/>
              </w:numPr>
              <w:jc w:val="both"/>
              <w:rPr>
                <w:bCs/>
                <w:color w:val="000000" w:themeColor="text1"/>
                <w:szCs w:val="18"/>
                <w:lang w:eastAsia="zh-CN"/>
                <w14:textFill>
                  <w14:solidFill>
                    <w14:schemeClr w14:val="tx1"/>
                  </w14:solidFill>
                </w14:textFill>
              </w:rPr>
            </w:pPr>
          </w:p>
          <w:p w14:paraId="63BF9C1E">
            <w:pPr>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4、项目主要设备及布置情况</w:t>
            </w:r>
          </w:p>
          <w:p w14:paraId="48D5178B">
            <w:pPr>
              <w:pStyle w:val="57"/>
              <w:numPr>
                <w:ilvl w:val="3"/>
                <w:numId w:val="19"/>
              </w:numPr>
              <w:rPr>
                <w:bCs/>
                <w:color w:val="000000" w:themeColor="text1"/>
                <w:kern w:val="0"/>
                <w:sz w:val="22"/>
                <w:szCs w:val="22"/>
                <w:lang w:eastAsia="zh-CN" w:bidi="en-US"/>
                <w14:textFill>
                  <w14:solidFill>
                    <w14:schemeClr w14:val="tx1"/>
                  </w14:solidFill>
                </w14:textFill>
              </w:rPr>
            </w:pPr>
            <w:r>
              <w:rPr>
                <w:color w:val="000000" w:themeColor="text1"/>
                <w14:textFill>
                  <w14:solidFill>
                    <w14:schemeClr w14:val="tx1"/>
                  </w14:solidFill>
                </w14:textFill>
              </w:rPr>
              <w:t>项目主要设备表</w:t>
            </w:r>
          </w:p>
          <w:tbl>
            <w:tblPr>
              <w:tblStyle w:val="37"/>
              <w:tblW w:w="497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3"/>
              <w:gridCol w:w="1533"/>
              <w:gridCol w:w="1277"/>
              <w:gridCol w:w="2321"/>
              <w:gridCol w:w="2467"/>
            </w:tblGrid>
            <w:tr w14:paraId="2C0734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535E705C">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序号</w:t>
                  </w:r>
                </w:p>
              </w:tc>
              <w:tc>
                <w:tcPr>
                  <w:tcW w:w="899" w:type="pct"/>
                  <w:vAlign w:val="center"/>
                </w:tcPr>
                <w:p w14:paraId="69094CAA">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设备名称</w:t>
                  </w:r>
                </w:p>
              </w:tc>
              <w:tc>
                <w:tcPr>
                  <w:tcW w:w="749" w:type="pct"/>
                  <w:vAlign w:val="center"/>
                </w:tcPr>
                <w:p w14:paraId="5C630C14">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规模型号</w:t>
                  </w:r>
                </w:p>
              </w:tc>
              <w:tc>
                <w:tcPr>
                  <w:tcW w:w="1361" w:type="pct"/>
                  <w:vAlign w:val="center"/>
                </w:tcPr>
                <w:p w14:paraId="24CF0E65">
                  <w:pPr>
                    <w:widowControl/>
                    <w:adjustRightInd/>
                    <w:snapToGrid/>
                    <w:spacing w:line="240" w:lineRule="auto"/>
                    <w:ind w:firstLine="0" w:firstLineChars="0"/>
                    <w:jc w:val="center"/>
                    <w:rPr>
                      <w:rFonts w:hint="eastAsia" w:eastAsia="宋体"/>
                      <w:b/>
                      <w:bCs/>
                      <w:color w:val="000000" w:themeColor="text1"/>
                      <w:kern w:val="0"/>
                      <w:sz w:val="21"/>
                      <w:szCs w:val="21"/>
                      <w:lang w:eastAsia="zh-CN"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设备数量</w:t>
                  </w:r>
                  <w:r>
                    <w:rPr>
                      <w:rFonts w:hint="eastAsia"/>
                      <w:b/>
                      <w:bCs/>
                      <w:color w:val="000000" w:themeColor="text1"/>
                      <w:kern w:val="0"/>
                      <w:sz w:val="21"/>
                      <w:szCs w:val="21"/>
                      <w:lang w:eastAsia="zh-CN" w:bidi="en-US"/>
                      <w14:textFill>
                        <w14:solidFill>
                          <w14:schemeClr w14:val="tx1"/>
                        </w14:solidFill>
                      </w14:textFill>
                    </w:rPr>
                    <w:t>（</w:t>
                  </w:r>
                  <w:r>
                    <w:rPr>
                      <w:rFonts w:hint="eastAsia"/>
                      <w:b/>
                      <w:bCs/>
                      <w:color w:val="000000" w:themeColor="text1"/>
                      <w:kern w:val="0"/>
                      <w:sz w:val="21"/>
                      <w:szCs w:val="21"/>
                      <w:lang w:val="en-US" w:eastAsia="zh-CN" w:bidi="en-US"/>
                      <w14:textFill>
                        <w14:solidFill>
                          <w14:schemeClr w14:val="tx1"/>
                        </w14:solidFill>
                      </w14:textFill>
                    </w:rPr>
                    <w:t>台/套</w:t>
                  </w:r>
                  <w:r>
                    <w:rPr>
                      <w:rFonts w:hint="eastAsia"/>
                      <w:b/>
                      <w:bCs/>
                      <w:color w:val="000000" w:themeColor="text1"/>
                      <w:kern w:val="0"/>
                      <w:sz w:val="21"/>
                      <w:szCs w:val="21"/>
                      <w:lang w:eastAsia="zh-CN" w:bidi="en-US"/>
                      <w14:textFill>
                        <w14:solidFill>
                          <w14:schemeClr w14:val="tx1"/>
                        </w14:solidFill>
                      </w14:textFill>
                    </w:rPr>
                    <w:t>）</w:t>
                  </w:r>
                </w:p>
              </w:tc>
              <w:tc>
                <w:tcPr>
                  <w:tcW w:w="1447" w:type="pct"/>
                  <w:vAlign w:val="center"/>
                </w:tcPr>
                <w:p w14:paraId="4E65A211">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位置</w:t>
                  </w:r>
                </w:p>
              </w:tc>
            </w:tr>
            <w:tr w14:paraId="26A071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2B863E44">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1</w:t>
                  </w:r>
                </w:p>
              </w:tc>
              <w:tc>
                <w:tcPr>
                  <w:tcW w:w="899" w:type="pct"/>
                  <w:vAlign w:val="center"/>
                </w:tcPr>
                <w:p w14:paraId="580F8C3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搅浆机</w:t>
                  </w:r>
                </w:p>
              </w:tc>
              <w:tc>
                <w:tcPr>
                  <w:tcW w:w="749" w:type="pct"/>
                  <w:vAlign w:val="center"/>
                </w:tcPr>
                <w:p w14:paraId="6BAE302E">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JZM100</w:t>
                  </w:r>
                </w:p>
              </w:tc>
              <w:tc>
                <w:tcPr>
                  <w:tcW w:w="1361" w:type="pct"/>
                  <w:vAlign w:val="center"/>
                </w:tcPr>
                <w:p w14:paraId="67823DAB">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2</w:t>
                  </w:r>
                </w:p>
              </w:tc>
              <w:tc>
                <w:tcPr>
                  <w:tcW w:w="1447" w:type="pct"/>
                  <w:vAlign w:val="center"/>
                </w:tcPr>
                <w:p w14:paraId="1EAE7A8F">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成型坯体车间</w:t>
                  </w:r>
                </w:p>
              </w:tc>
            </w:tr>
            <w:tr w14:paraId="126BAA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7439B11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2</w:t>
                  </w:r>
                </w:p>
              </w:tc>
              <w:tc>
                <w:tcPr>
                  <w:tcW w:w="899" w:type="pct"/>
                  <w:vAlign w:val="center"/>
                </w:tcPr>
                <w:p w14:paraId="644C8CDC">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空压机</w:t>
                  </w:r>
                </w:p>
              </w:tc>
              <w:tc>
                <w:tcPr>
                  <w:tcW w:w="749" w:type="pct"/>
                  <w:vAlign w:val="center"/>
                </w:tcPr>
                <w:p w14:paraId="57C385CB">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LS37L</w:t>
                  </w:r>
                </w:p>
              </w:tc>
              <w:tc>
                <w:tcPr>
                  <w:tcW w:w="1361" w:type="pct"/>
                  <w:vAlign w:val="center"/>
                </w:tcPr>
                <w:p w14:paraId="67C4C05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2</w:t>
                  </w:r>
                </w:p>
              </w:tc>
              <w:tc>
                <w:tcPr>
                  <w:tcW w:w="1447" w:type="pct"/>
                  <w:vAlign w:val="center"/>
                </w:tcPr>
                <w:p w14:paraId="4B3D86D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组装车间</w:t>
                  </w:r>
                </w:p>
              </w:tc>
            </w:tr>
            <w:tr w14:paraId="648447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47805A6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3</w:t>
                  </w:r>
                </w:p>
              </w:tc>
              <w:tc>
                <w:tcPr>
                  <w:tcW w:w="899" w:type="pct"/>
                  <w:vAlign w:val="center"/>
                </w:tcPr>
                <w:p w14:paraId="22194FA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真空泵</w:t>
                  </w:r>
                </w:p>
              </w:tc>
              <w:tc>
                <w:tcPr>
                  <w:tcW w:w="749" w:type="pct"/>
                  <w:vAlign w:val="center"/>
                </w:tcPr>
                <w:p w14:paraId="6285ED65">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PM900</w:t>
                  </w:r>
                </w:p>
              </w:tc>
              <w:tc>
                <w:tcPr>
                  <w:tcW w:w="1361" w:type="pct"/>
                  <w:vAlign w:val="center"/>
                </w:tcPr>
                <w:p w14:paraId="4010930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4</w:t>
                  </w:r>
                </w:p>
              </w:tc>
              <w:tc>
                <w:tcPr>
                  <w:tcW w:w="1447" w:type="pct"/>
                  <w:vAlign w:val="center"/>
                </w:tcPr>
                <w:p w14:paraId="36047835">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成型坯体车间</w:t>
                  </w:r>
                </w:p>
              </w:tc>
            </w:tr>
            <w:tr w14:paraId="586B7B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41A751C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4</w:t>
                  </w:r>
                </w:p>
              </w:tc>
              <w:tc>
                <w:tcPr>
                  <w:tcW w:w="899" w:type="pct"/>
                  <w:vAlign w:val="center"/>
                </w:tcPr>
                <w:p w14:paraId="4AF85F9C">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自动流水线</w:t>
                  </w:r>
                </w:p>
              </w:tc>
              <w:tc>
                <w:tcPr>
                  <w:tcW w:w="749" w:type="pct"/>
                  <w:vAlign w:val="center"/>
                </w:tcPr>
                <w:p w14:paraId="2DB39E7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3578BF3C">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11</w:t>
                  </w:r>
                </w:p>
              </w:tc>
              <w:tc>
                <w:tcPr>
                  <w:tcW w:w="1447" w:type="pct"/>
                  <w:vAlign w:val="center"/>
                </w:tcPr>
                <w:p w14:paraId="519B933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组装车间</w:t>
                  </w:r>
                </w:p>
              </w:tc>
            </w:tr>
            <w:tr w14:paraId="253904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2E7A152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5</w:t>
                  </w:r>
                </w:p>
              </w:tc>
              <w:tc>
                <w:tcPr>
                  <w:tcW w:w="899" w:type="pct"/>
                  <w:vAlign w:val="center"/>
                </w:tcPr>
                <w:p w14:paraId="1C899E2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手拿焊锡枪</w:t>
                  </w:r>
                </w:p>
              </w:tc>
              <w:tc>
                <w:tcPr>
                  <w:tcW w:w="749" w:type="pct"/>
                  <w:vAlign w:val="center"/>
                </w:tcPr>
                <w:p w14:paraId="6115F9A5">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66843D9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100</w:t>
                  </w:r>
                </w:p>
              </w:tc>
              <w:tc>
                <w:tcPr>
                  <w:tcW w:w="1447" w:type="pct"/>
                  <w:vAlign w:val="center"/>
                </w:tcPr>
                <w:p w14:paraId="5EC4212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组装车间</w:t>
                  </w:r>
                </w:p>
              </w:tc>
            </w:tr>
            <w:tr w14:paraId="036454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4C9C98DF">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6</w:t>
                  </w:r>
                </w:p>
              </w:tc>
              <w:tc>
                <w:tcPr>
                  <w:tcW w:w="899" w:type="pct"/>
                  <w:vAlign w:val="center"/>
                </w:tcPr>
                <w:p w14:paraId="2EA1852B">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手拿胶枪</w:t>
                  </w:r>
                </w:p>
              </w:tc>
              <w:tc>
                <w:tcPr>
                  <w:tcW w:w="749" w:type="pct"/>
                  <w:vAlign w:val="center"/>
                </w:tcPr>
                <w:p w14:paraId="457F34EA">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057E9A84">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100</w:t>
                  </w:r>
                </w:p>
              </w:tc>
              <w:tc>
                <w:tcPr>
                  <w:tcW w:w="1447" w:type="pct"/>
                  <w:vAlign w:val="center"/>
                </w:tcPr>
                <w:p w14:paraId="76A3C25D">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组装车间</w:t>
                  </w:r>
                </w:p>
              </w:tc>
            </w:tr>
            <w:tr w14:paraId="2336B8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15C0A73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7</w:t>
                  </w:r>
                </w:p>
              </w:tc>
              <w:tc>
                <w:tcPr>
                  <w:tcW w:w="899" w:type="pct"/>
                  <w:vAlign w:val="center"/>
                </w:tcPr>
                <w:p w14:paraId="1ADB015B">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打磨机</w:t>
                  </w:r>
                </w:p>
              </w:tc>
              <w:tc>
                <w:tcPr>
                  <w:tcW w:w="749" w:type="pct"/>
                  <w:vAlign w:val="center"/>
                </w:tcPr>
                <w:p w14:paraId="5ECFD1E1">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GW700</w:t>
                  </w:r>
                </w:p>
              </w:tc>
              <w:tc>
                <w:tcPr>
                  <w:tcW w:w="1361" w:type="pct"/>
                  <w:vAlign w:val="center"/>
                </w:tcPr>
                <w:p w14:paraId="65B38C10">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p>
              </w:tc>
              <w:tc>
                <w:tcPr>
                  <w:tcW w:w="1447" w:type="pct"/>
                  <w:vAlign w:val="center"/>
                </w:tcPr>
                <w:p w14:paraId="1224A766">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成型坯体车间</w:t>
                  </w:r>
                </w:p>
              </w:tc>
            </w:tr>
            <w:tr w14:paraId="084682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7FEC17F0">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8</w:t>
                  </w:r>
                </w:p>
              </w:tc>
              <w:tc>
                <w:tcPr>
                  <w:tcW w:w="899" w:type="pct"/>
                  <w:vAlign w:val="center"/>
                </w:tcPr>
                <w:p w14:paraId="1F5F5C8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修边刀</w:t>
                  </w:r>
                </w:p>
              </w:tc>
              <w:tc>
                <w:tcPr>
                  <w:tcW w:w="749" w:type="pct"/>
                  <w:vAlign w:val="center"/>
                </w:tcPr>
                <w:p w14:paraId="286CA6B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6B43A85E">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6</w:t>
                  </w:r>
                </w:p>
              </w:tc>
              <w:tc>
                <w:tcPr>
                  <w:tcW w:w="1447" w:type="pct"/>
                  <w:vAlign w:val="center"/>
                </w:tcPr>
                <w:p w14:paraId="7B3701A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成型坯体车间</w:t>
                  </w:r>
                </w:p>
              </w:tc>
            </w:tr>
            <w:tr w14:paraId="08FD03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140B989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9</w:t>
                  </w:r>
                </w:p>
              </w:tc>
              <w:tc>
                <w:tcPr>
                  <w:tcW w:w="899" w:type="pct"/>
                  <w:vAlign w:val="center"/>
                </w:tcPr>
                <w:p w14:paraId="1BE8CCBE">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真空机</w:t>
                  </w:r>
                </w:p>
              </w:tc>
              <w:tc>
                <w:tcPr>
                  <w:tcW w:w="749" w:type="pct"/>
                  <w:vAlign w:val="center"/>
                </w:tcPr>
                <w:p w14:paraId="4D03553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13E9D23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p>
              </w:tc>
              <w:tc>
                <w:tcPr>
                  <w:tcW w:w="1447" w:type="pct"/>
                  <w:vAlign w:val="center"/>
                </w:tcPr>
                <w:p w14:paraId="5A0EE89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成型坯体车间</w:t>
                  </w:r>
                </w:p>
              </w:tc>
            </w:tr>
            <w:tr w14:paraId="459125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6D8C819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10</w:t>
                  </w:r>
                </w:p>
              </w:tc>
              <w:tc>
                <w:tcPr>
                  <w:tcW w:w="899" w:type="pct"/>
                  <w:vAlign w:val="center"/>
                </w:tcPr>
                <w:p w14:paraId="4254B70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喷漆枪</w:t>
                  </w:r>
                </w:p>
              </w:tc>
              <w:tc>
                <w:tcPr>
                  <w:tcW w:w="749" w:type="pct"/>
                  <w:vAlign w:val="center"/>
                </w:tcPr>
                <w:p w14:paraId="46FD74E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047AD66E">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3</w:t>
                  </w:r>
                </w:p>
              </w:tc>
              <w:tc>
                <w:tcPr>
                  <w:tcW w:w="1447" w:type="pct"/>
                  <w:vAlign w:val="center"/>
                </w:tcPr>
                <w:p w14:paraId="2832F296">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喷漆车间</w:t>
                  </w:r>
                </w:p>
              </w:tc>
            </w:tr>
            <w:tr w14:paraId="7D6503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2AA46696">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11</w:t>
                  </w:r>
                </w:p>
              </w:tc>
              <w:tc>
                <w:tcPr>
                  <w:tcW w:w="899" w:type="pct"/>
                  <w:vAlign w:val="center"/>
                </w:tcPr>
                <w:p w14:paraId="000056B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手动叉车</w:t>
                  </w:r>
                </w:p>
              </w:tc>
              <w:tc>
                <w:tcPr>
                  <w:tcW w:w="749" w:type="pct"/>
                  <w:vAlign w:val="center"/>
                </w:tcPr>
                <w:p w14:paraId="280B9C9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6083658F">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2</w:t>
                  </w:r>
                </w:p>
              </w:tc>
              <w:tc>
                <w:tcPr>
                  <w:tcW w:w="1447" w:type="pct"/>
                  <w:vAlign w:val="center"/>
                </w:tcPr>
                <w:p w14:paraId="34034B1A">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r>
            <w:tr w14:paraId="1898FC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4CE03BB4">
                  <w:pPr>
                    <w:widowControl/>
                    <w:adjustRightInd/>
                    <w:snapToGrid/>
                    <w:spacing w:line="240" w:lineRule="auto"/>
                    <w:ind w:firstLine="0" w:firstLineChars="0"/>
                    <w:jc w:val="center"/>
                    <w:rPr>
                      <w:rFonts w:hint="eastAsia" w:eastAsia="宋体"/>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r>
                    <w:rPr>
                      <w:rFonts w:hint="eastAsia"/>
                      <w:color w:val="000000" w:themeColor="text1"/>
                      <w:kern w:val="0"/>
                      <w:sz w:val="21"/>
                      <w:szCs w:val="21"/>
                      <w:lang w:val="en-US" w:eastAsia="zh-CN" w:bidi="en-US"/>
                      <w14:textFill>
                        <w14:solidFill>
                          <w14:schemeClr w14:val="tx1"/>
                        </w14:solidFill>
                      </w14:textFill>
                    </w:rPr>
                    <w:t>2</w:t>
                  </w:r>
                </w:p>
              </w:tc>
              <w:tc>
                <w:tcPr>
                  <w:tcW w:w="899" w:type="pct"/>
                  <w:vAlign w:val="center"/>
                </w:tcPr>
                <w:p w14:paraId="515F4EAB">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风机</w:t>
                  </w:r>
                </w:p>
              </w:tc>
              <w:tc>
                <w:tcPr>
                  <w:tcW w:w="749" w:type="pct"/>
                  <w:vAlign w:val="center"/>
                </w:tcPr>
                <w:p w14:paraId="5059CDA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2032C60D">
                  <w:pPr>
                    <w:widowControl/>
                    <w:adjustRightInd/>
                    <w:snapToGrid/>
                    <w:spacing w:line="240" w:lineRule="auto"/>
                    <w:ind w:firstLine="0" w:firstLineChars="0"/>
                    <w:jc w:val="center"/>
                    <w:rPr>
                      <w:rFonts w:hint="eastAsia" w:eastAsia="宋体"/>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4</w:t>
                  </w:r>
                </w:p>
              </w:tc>
              <w:tc>
                <w:tcPr>
                  <w:tcW w:w="1447" w:type="pct"/>
                  <w:vAlign w:val="center"/>
                </w:tcPr>
                <w:p w14:paraId="1BEAC51F">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车间外</w:t>
                  </w:r>
                </w:p>
              </w:tc>
            </w:tr>
            <w:tr w14:paraId="0EA929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4ED1F378">
                  <w:pPr>
                    <w:widowControl/>
                    <w:adjustRightInd/>
                    <w:snapToGrid/>
                    <w:spacing w:line="240" w:lineRule="auto"/>
                    <w:ind w:firstLine="0" w:firstLineChars="0"/>
                    <w:jc w:val="center"/>
                    <w:rPr>
                      <w:rFonts w:hint="eastAsia" w:eastAsia="宋体"/>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r>
                    <w:rPr>
                      <w:rFonts w:hint="eastAsia"/>
                      <w:color w:val="000000" w:themeColor="text1"/>
                      <w:kern w:val="0"/>
                      <w:sz w:val="21"/>
                      <w:szCs w:val="21"/>
                      <w:lang w:val="en-US" w:eastAsia="zh-CN" w:bidi="en-US"/>
                      <w14:textFill>
                        <w14:solidFill>
                          <w14:schemeClr w14:val="tx1"/>
                        </w14:solidFill>
                      </w14:textFill>
                    </w:rPr>
                    <w:t>3</w:t>
                  </w:r>
                </w:p>
              </w:tc>
              <w:tc>
                <w:tcPr>
                  <w:tcW w:w="899" w:type="pct"/>
                  <w:vAlign w:val="center"/>
                </w:tcPr>
                <w:p w14:paraId="6776183C">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彩绘桌</w:t>
                  </w:r>
                </w:p>
              </w:tc>
              <w:tc>
                <w:tcPr>
                  <w:tcW w:w="749" w:type="pct"/>
                  <w:vAlign w:val="center"/>
                </w:tcPr>
                <w:p w14:paraId="388CA73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06F8A927">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40</w:t>
                  </w:r>
                </w:p>
              </w:tc>
              <w:tc>
                <w:tcPr>
                  <w:tcW w:w="1447" w:type="pct"/>
                  <w:vAlign w:val="center"/>
                </w:tcPr>
                <w:p w14:paraId="576311A7">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彩绘车间</w:t>
                  </w:r>
                </w:p>
              </w:tc>
            </w:tr>
            <w:tr w14:paraId="67724D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41" w:type="pct"/>
                  <w:vAlign w:val="center"/>
                </w:tcPr>
                <w:p w14:paraId="0A96F670">
                  <w:pPr>
                    <w:widowControl/>
                    <w:adjustRightInd/>
                    <w:snapToGrid/>
                    <w:spacing w:line="240" w:lineRule="auto"/>
                    <w:ind w:firstLine="0" w:firstLineChars="0"/>
                    <w:jc w:val="center"/>
                    <w:rPr>
                      <w:rFonts w:hint="eastAsia" w:eastAsia="宋体"/>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r>
                    <w:rPr>
                      <w:rFonts w:hint="eastAsia"/>
                      <w:color w:val="000000" w:themeColor="text1"/>
                      <w:kern w:val="0"/>
                      <w:sz w:val="21"/>
                      <w:szCs w:val="21"/>
                      <w:lang w:val="en-US" w:eastAsia="zh-CN" w:bidi="en-US"/>
                      <w14:textFill>
                        <w14:solidFill>
                          <w14:schemeClr w14:val="tx1"/>
                        </w14:solidFill>
                      </w14:textFill>
                    </w:rPr>
                    <w:t>4</w:t>
                  </w:r>
                </w:p>
              </w:tc>
              <w:tc>
                <w:tcPr>
                  <w:tcW w:w="899" w:type="pct"/>
                  <w:vAlign w:val="center"/>
                </w:tcPr>
                <w:p w14:paraId="5C78EFD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磨底机</w:t>
                  </w:r>
                </w:p>
              </w:tc>
              <w:tc>
                <w:tcPr>
                  <w:tcW w:w="749" w:type="pct"/>
                  <w:vAlign w:val="center"/>
                </w:tcPr>
                <w:p w14:paraId="2695098E">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1361" w:type="pct"/>
                  <w:vAlign w:val="center"/>
                </w:tcPr>
                <w:p w14:paraId="3E9C644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p>
              </w:tc>
              <w:tc>
                <w:tcPr>
                  <w:tcW w:w="1447" w:type="pct"/>
                  <w:vAlign w:val="center"/>
                </w:tcPr>
                <w:p w14:paraId="049872A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成型坯体车间</w:t>
                  </w:r>
                </w:p>
              </w:tc>
            </w:tr>
          </w:tbl>
          <w:p w14:paraId="30EF8A09">
            <w:pPr>
              <w:pStyle w:val="94"/>
              <w:keepNext w:val="0"/>
              <w:keepLines w:val="0"/>
              <w:pageBreakBefore w:val="0"/>
              <w:widowControl w:val="0"/>
              <w:numPr>
                <w:ilvl w:val="0"/>
                <w:numId w:val="0"/>
              </w:numPr>
              <w:kinsoku/>
              <w:wordWrap/>
              <w:overflowPunct/>
              <w:topLinePunct w:val="0"/>
              <w:autoSpaceDE/>
              <w:autoSpaceDN/>
              <w:bidi w:val="0"/>
              <w:adjustRightInd w:val="0"/>
              <w:snapToGrid w:val="0"/>
              <w:spacing w:beforeAutospacing="0"/>
              <w:textAlignment w:val="auto"/>
              <w:rPr>
                <w:rFonts w:hint="eastAsia"/>
                <w:b/>
                <w:bCs/>
                <w:color w:val="000000" w:themeColor="text1"/>
                <w:u w:val="single"/>
                <w:lang w:val="en-US" w:eastAsia="zh-CN"/>
                <w14:textFill>
                  <w14:solidFill>
                    <w14:schemeClr w14:val="tx1"/>
                  </w14:solidFill>
                </w14:textFill>
              </w:rPr>
            </w:pPr>
            <w:r>
              <w:rPr>
                <w:rFonts w:hint="eastAsia"/>
                <w:b/>
                <w:bCs/>
                <w:color w:val="000000" w:themeColor="text1"/>
                <w:u w:val="single"/>
                <w:lang w:val="en-US" w:eastAsia="zh-CN"/>
                <w14:textFill>
                  <w14:solidFill>
                    <w14:schemeClr w14:val="tx1"/>
                  </w14:solidFill>
                </w14:textFill>
              </w:rPr>
              <w:t>设备产能匹配性分析：</w:t>
            </w:r>
          </w:p>
          <w:p w14:paraId="6E6C6E68">
            <w:pPr>
              <w:pStyle w:val="57"/>
              <w:numPr>
                <w:ilvl w:val="3"/>
                <w:numId w:val="19"/>
              </w:numP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关键设备产能匹配性分析</w:t>
            </w:r>
          </w:p>
          <w:tbl>
            <w:tblPr>
              <w:tblStyle w:val="37"/>
              <w:tblW w:w="8478"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800"/>
              <w:gridCol w:w="994"/>
              <w:gridCol w:w="800"/>
              <w:gridCol w:w="982"/>
              <w:gridCol w:w="953"/>
              <w:gridCol w:w="2106"/>
              <w:gridCol w:w="935"/>
              <w:gridCol w:w="908"/>
            </w:tblGrid>
            <w:tr w14:paraId="7BAD2B9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059" w:type="dxa"/>
                  <w:tcBorders>
                    <w:tl2br w:val="nil"/>
                    <w:tr2bl w:val="nil"/>
                  </w:tcBorders>
                  <w:noWrap w:val="0"/>
                  <w:vAlign w:val="center"/>
                </w:tcPr>
                <w:p w14:paraId="4AA3EDF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设备</w:t>
                  </w:r>
                </w:p>
                <w:p w14:paraId="55DAFCD6">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名称</w:t>
                  </w:r>
                </w:p>
              </w:tc>
              <w:tc>
                <w:tcPr>
                  <w:tcW w:w="1059" w:type="dxa"/>
                  <w:tcBorders>
                    <w:tl2br w:val="nil"/>
                    <w:tr2bl w:val="nil"/>
                  </w:tcBorders>
                  <w:noWrap w:val="0"/>
                  <w:vAlign w:val="center"/>
                </w:tcPr>
                <w:p w14:paraId="1995F40A">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规格/</w:t>
                  </w:r>
                </w:p>
                <w:p w14:paraId="17D49BC6">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型号</w:t>
                  </w:r>
                </w:p>
              </w:tc>
              <w:tc>
                <w:tcPr>
                  <w:tcW w:w="1059" w:type="dxa"/>
                  <w:tcBorders>
                    <w:tl2br w:val="nil"/>
                    <w:tr2bl w:val="nil"/>
                  </w:tcBorders>
                  <w:noWrap w:val="0"/>
                  <w:vAlign w:val="center"/>
                </w:tcPr>
                <w:p w14:paraId="31C7B99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设备</w:t>
                  </w:r>
                </w:p>
                <w:p w14:paraId="0B8B915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数量</w:t>
                  </w:r>
                </w:p>
              </w:tc>
              <w:tc>
                <w:tcPr>
                  <w:tcW w:w="1059" w:type="dxa"/>
                  <w:tcBorders>
                    <w:tl2br w:val="nil"/>
                    <w:tr2bl w:val="nil"/>
                  </w:tcBorders>
                  <w:noWrap w:val="0"/>
                  <w:vAlign w:val="center"/>
                </w:tcPr>
                <w:p w14:paraId="7F7996BC">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单台最大</w:t>
                  </w:r>
                </w:p>
                <w:p w14:paraId="51856EB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产能</w:t>
                  </w:r>
                </w:p>
              </w:tc>
              <w:tc>
                <w:tcPr>
                  <w:tcW w:w="1059" w:type="dxa"/>
                  <w:tcBorders>
                    <w:tl2br w:val="nil"/>
                    <w:tr2bl w:val="nil"/>
                  </w:tcBorders>
                  <w:noWrap w:val="0"/>
                  <w:vAlign w:val="center"/>
                </w:tcPr>
                <w:p w14:paraId="07BCE85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年工作</w:t>
                  </w:r>
                </w:p>
                <w:p w14:paraId="159979F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时间</w:t>
                  </w:r>
                </w:p>
              </w:tc>
              <w:tc>
                <w:tcPr>
                  <w:tcW w:w="1179" w:type="dxa"/>
                  <w:tcBorders>
                    <w:tl2br w:val="nil"/>
                    <w:tr2bl w:val="nil"/>
                  </w:tcBorders>
                  <w:noWrap w:val="0"/>
                  <w:vAlign w:val="center"/>
                </w:tcPr>
                <w:p w14:paraId="74876B0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理论最大</w:t>
                  </w:r>
                </w:p>
                <w:p w14:paraId="5C0B160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产能</w:t>
                  </w:r>
                </w:p>
              </w:tc>
              <w:tc>
                <w:tcPr>
                  <w:tcW w:w="1095" w:type="dxa"/>
                  <w:tcBorders>
                    <w:tl2br w:val="nil"/>
                    <w:tr2bl w:val="nil"/>
                  </w:tcBorders>
                  <w:noWrap w:val="0"/>
                  <w:vAlign w:val="center"/>
                </w:tcPr>
                <w:p w14:paraId="6D574A1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项目设计</w:t>
                  </w:r>
                </w:p>
                <w:p w14:paraId="2E0142F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产能</w:t>
                  </w:r>
                </w:p>
              </w:tc>
              <w:tc>
                <w:tcPr>
                  <w:tcW w:w="909" w:type="dxa"/>
                  <w:tcBorders>
                    <w:tl2br w:val="nil"/>
                    <w:tr2bl w:val="nil"/>
                  </w:tcBorders>
                  <w:noWrap w:val="0"/>
                  <w:vAlign w:val="center"/>
                </w:tcPr>
                <w:p w14:paraId="3C3C1B7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生产</w:t>
                  </w:r>
                </w:p>
                <w:p w14:paraId="65252CC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b/>
                      <w:bCs/>
                      <w:color w:val="000000" w:themeColor="text1"/>
                      <w:sz w:val="18"/>
                      <w:szCs w:val="18"/>
                      <w:vertAlign w:val="baseline"/>
                      <w:lang w:val="en-US" w:eastAsia="zh-CN"/>
                      <w14:textFill>
                        <w14:solidFill>
                          <w14:schemeClr w14:val="tx1"/>
                        </w14:solidFill>
                      </w14:textFill>
                    </w:rPr>
                  </w:pPr>
                  <w:r>
                    <w:rPr>
                      <w:rFonts w:hint="eastAsia"/>
                      <w:b/>
                      <w:bCs/>
                      <w:color w:val="000000" w:themeColor="text1"/>
                      <w:sz w:val="18"/>
                      <w:szCs w:val="18"/>
                      <w:vertAlign w:val="baseline"/>
                      <w:lang w:val="en-US" w:eastAsia="zh-CN"/>
                      <w14:textFill>
                        <w14:solidFill>
                          <w14:schemeClr w14:val="tx1"/>
                        </w14:solidFill>
                      </w14:textFill>
                    </w:rPr>
                    <w:t>负荷</w:t>
                  </w:r>
                </w:p>
              </w:tc>
            </w:tr>
            <w:tr w14:paraId="5BE2C89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059" w:type="dxa"/>
                  <w:tcBorders>
                    <w:tl2br w:val="nil"/>
                    <w:tr2bl w:val="nil"/>
                  </w:tcBorders>
                  <w:noWrap w:val="0"/>
                  <w:vAlign w:val="center"/>
                </w:tcPr>
                <w:p w14:paraId="585A151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color w:val="000000" w:themeColor="text1"/>
                      <w:sz w:val="18"/>
                      <w:szCs w:val="18"/>
                      <w:vertAlign w:val="baseline"/>
                      <w:lang w:val="en-US" w:eastAsia="zh-CN"/>
                      <w14:textFill>
                        <w14:solidFill>
                          <w14:schemeClr w14:val="tx1"/>
                        </w14:solidFill>
                      </w14:textFill>
                    </w:rPr>
                    <w:t>搅浆机</w:t>
                  </w:r>
                </w:p>
              </w:tc>
              <w:tc>
                <w:tcPr>
                  <w:tcW w:w="1059" w:type="dxa"/>
                  <w:tcBorders>
                    <w:tl2br w:val="nil"/>
                    <w:tr2bl w:val="nil"/>
                  </w:tcBorders>
                  <w:noWrap w:val="0"/>
                  <w:vAlign w:val="center"/>
                </w:tcPr>
                <w:p w14:paraId="64710CA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color w:val="000000" w:themeColor="text1"/>
                      <w:kern w:val="0"/>
                      <w:sz w:val="18"/>
                      <w:szCs w:val="18"/>
                      <w:lang w:val="en-US" w:eastAsia="zh-CN" w:bidi="en-US"/>
                      <w14:textFill>
                        <w14:solidFill>
                          <w14:schemeClr w14:val="tx1"/>
                        </w14:solidFill>
                      </w14:textFill>
                    </w:rPr>
                    <w:t>JZM100</w:t>
                  </w:r>
                </w:p>
              </w:tc>
              <w:tc>
                <w:tcPr>
                  <w:tcW w:w="1059" w:type="dxa"/>
                  <w:tcBorders>
                    <w:tl2br w:val="nil"/>
                    <w:tr2bl w:val="nil"/>
                  </w:tcBorders>
                  <w:noWrap w:val="0"/>
                  <w:vAlign w:val="center"/>
                </w:tcPr>
                <w:p w14:paraId="76B372F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eastAsia="宋体"/>
                      <w:color w:val="000000" w:themeColor="text1"/>
                      <w:sz w:val="18"/>
                      <w:szCs w:val="18"/>
                      <w:vertAlign w:val="baseline"/>
                      <w:lang w:val="en-US" w:eastAsia="zh-CN"/>
                      <w14:textFill>
                        <w14:solidFill>
                          <w14:schemeClr w14:val="tx1"/>
                        </w14:solidFill>
                      </w14:textFill>
                    </w:rPr>
                    <w:t>2</w:t>
                  </w:r>
                </w:p>
              </w:tc>
              <w:tc>
                <w:tcPr>
                  <w:tcW w:w="1059" w:type="dxa"/>
                  <w:tcBorders>
                    <w:tl2br w:val="nil"/>
                    <w:tr2bl w:val="nil"/>
                  </w:tcBorders>
                  <w:noWrap w:val="0"/>
                  <w:vAlign w:val="center"/>
                </w:tcPr>
                <w:p w14:paraId="0DBFE84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eastAsia="宋体"/>
                      <w:color w:val="000000" w:themeColor="text1"/>
                      <w:sz w:val="18"/>
                      <w:szCs w:val="18"/>
                      <w:vertAlign w:val="baseline"/>
                      <w:lang w:val="en-US" w:eastAsia="zh-CN"/>
                      <w14:textFill>
                        <w14:solidFill>
                          <w14:schemeClr w14:val="tx1"/>
                        </w14:solidFill>
                      </w14:textFill>
                    </w:rPr>
                    <w:t>0.05t/h</w:t>
                  </w:r>
                </w:p>
              </w:tc>
              <w:tc>
                <w:tcPr>
                  <w:tcW w:w="1059" w:type="dxa"/>
                  <w:tcBorders>
                    <w:tl2br w:val="nil"/>
                    <w:tr2bl w:val="nil"/>
                  </w:tcBorders>
                  <w:noWrap w:val="0"/>
                  <w:vAlign w:val="center"/>
                </w:tcPr>
                <w:p w14:paraId="32F71D2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eastAsia="宋体"/>
                      <w:color w:val="000000" w:themeColor="text1"/>
                      <w:sz w:val="18"/>
                      <w:szCs w:val="18"/>
                      <w:vertAlign w:val="baseline"/>
                      <w:lang w:val="en-US" w:eastAsia="zh-CN"/>
                      <w14:textFill>
                        <w14:solidFill>
                          <w14:schemeClr w14:val="tx1"/>
                        </w14:solidFill>
                      </w14:textFill>
                    </w:rPr>
                    <w:t>1200h</w:t>
                  </w:r>
                </w:p>
              </w:tc>
              <w:tc>
                <w:tcPr>
                  <w:tcW w:w="1179" w:type="dxa"/>
                  <w:tcBorders>
                    <w:tl2br w:val="nil"/>
                    <w:tr2bl w:val="nil"/>
                  </w:tcBorders>
                  <w:noWrap w:val="0"/>
                  <w:vAlign w:val="center"/>
                </w:tcPr>
                <w:p w14:paraId="2667900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eastAsia="宋体"/>
                      <w:color w:val="000000" w:themeColor="text1"/>
                      <w:sz w:val="18"/>
                      <w:szCs w:val="18"/>
                      <w:vertAlign w:val="baseline"/>
                      <w:lang w:val="en-US" w:eastAsia="zh-CN"/>
                      <w14:textFill>
                        <w14:solidFill>
                          <w14:schemeClr w14:val="tx1"/>
                        </w14:solidFill>
                      </w14:textFill>
                    </w:rPr>
                    <w:t>2*0.05*1200=120t/a</w:t>
                  </w:r>
                </w:p>
              </w:tc>
              <w:tc>
                <w:tcPr>
                  <w:tcW w:w="1095" w:type="dxa"/>
                  <w:tcBorders>
                    <w:tl2br w:val="nil"/>
                    <w:tr2bl w:val="nil"/>
                  </w:tcBorders>
                  <w:noWrap w:val="0"/>
                  <w:vAlign w:val="center"/>
                </w:tcPr>
                <w:p w14:paraId="0EC2BF00">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eastAsia="宋体"/>
                      <w:color w:val="000000" w:themeColor="text1"/>
                      <w:sz w:val="18"/>
                      <w:szCs w:val="18"/>
                      <w:vertAlign w:val="baseline"/>
                      <w:lang w:val="en-US" w:eastAsia="zh-CN"/>
                      <w14:textFill>
                        <w14:solidFill>
                          <w14:schemeClr w14:val="tx1"/>
                        </w14:solidFill>
                      </w14:textFill>
                    </w:rPr>
                    <w:t>约94t/a</w:t>
                  </w:r>
                </w:p>
              </w:tc>
              <w:tc>
                <w:tcPr>
                  <w:tcW w:w="909" w:type="dxa"/>
                  <w:tcBorders>
                    <w:tl2br w:val="nil"/>
                    <w:tr2bl w:val="nil"/>
                  </w:tcBorders>
                  <w:noWrap w:val="0"/>
                  <w:vAlign w:val="center"/>
                </w:tcPr>
                <w:p w14:paraId="63657DD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18"/>
                      <w:szCs w:val="18"/>
                      <w:vertAlign w:val="baseline"/>
                      <w:lang w:val="en-US" w:eastAsia="zh-CN"/>
                      <w14:textFill>
                        <w14:solidFill>
                          <w14:schemeClr w14:val="tx1"/>
                        </w14:solidFill>
                      </w14:textFill>
                    </w:rPr>
                  </w:pPr>
                  <w:r>
                    <w:rPr>
                      <w:rFonts w:hint="eastAsia" w:eastAsia="宋体"/>
                      <w:color w:val="000000" w:themeColor="text1"/>
                      <w:sz w:val="18"/>
                      <w:szCs w:val="18"/>
                      <w:vertAlign w:val="baseline"/>
                      <w:lang w:val="en-US" w:eastAsia="zh-CN"/>
                      <w14:textFill>
                        <w14:solidFill>
                          <w14:schemeClr w14:val="tx1"/>
                        </w14:solidFill>
                      </w14:textFill>
                    </w:rPr>
                    <w:t>78.33%</w:t>
                  </w:r>
                </w:p>
              </w:tc>
            </w:tr>
          </w:tbl>
          <w:p w14:paraId="3862FD1F">
            <w:pPr>
              <w:pStyle w:val="94"/>
              <w:numPr>
                <w:ilvl w:val="0"/>
                <w:numId w:val="0"/>
              </w:numPr>
              <w:spacing w:before="100" w:beforeAutospacing="1"/>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5、</w:t>
            </w:r>
            <w:r>
              <w:rPr>
                <w:rFonts w:hint="eastAsia"/>
                <w:b/>
                <w:bCs/>
                <w:color w:val="000000" w:themeColor="text1"/>
                <w14:textFill>
                  <w14:solidFill>
                    <w14:schemeClr w14:val="tx1"/>
                  </w14:solidFill>
                </w14:textFill>
              </w:rPr>
              <w:t>项目主要原辅材料</w:t>
            </w:r>
          </w:p>
          <w:p w14:paraId="62545B4B">
            <w:pPr>
              <w:pStyle w:val="57"/>
              <w:numPr>
                <w:ilvl w:val="3"/>
                <w:numId w:val="19"/>
              </w:numPr>
              <w:rPr>
                <w:color w:val="000000" w:themeColor="text1"/>
                <w:kern w:val="0"/>
                <w:sz w:val="21"/>
                <w:szCs w:val="21"/>
                <w:lang w:eastAsia="zh-CN" w:bidi="en-US"/>
                <w14:textFill>
                  <w14:solidFill>
                    <w14:schemeClr w14:val="tx1"/>
                  </w14:solidFill>
                </w14:textFill>
              </w:rPr>
            </w:pPr>
            <w:r>
              <w:rPr>
                <w:color w:val="000000" w:themeColor="text1"/>
                <w:kern w:val="0"/>
                <w:sz w:val="21"/>
                <w:szCs w:val="21"/>
                <w:lang w:eastAsia="zh-CN" w:bidi="en-US"/>
                <w14:textFill>
                  <w14:solidFill>
                    <w14:schemeClr w14:val="tx1"/>
                  </w14:solidFill>
                </w14:textFill>
              </w:rPr>
              <w:t>项目主要原辅材料</w:t>
            </w:r>
            <w:r>
              <w:rPr>
                <w:rFonts w:hint="eastAsia"/>
                <w:color w:val="000000" w:themeColor="text1"/>
                <w:sz w:val="21"/>
                <w:szCs w:val="21"/>
                <w:lang w:val="en-US" w:eastAsia="zh-CN"/>
                <w14:textFill>
                  <w14:solidFill>
                    <w14:schemeClr w14:val="tx1"/>
                  </w14:solidFill>
                </w14:textFill>
              </w:rPr>
              <w:t>消化</w:t>
            </w:r>
          </w:p>
          <w:tbl>
            <w:tblPr>
              <w:tblStyle w:val="37"/>
              <w:tblW w:w="8556"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1716"/>
              <w:gridCol w:w="1002"/>
              <w:gridCol w:w="915"/>
              <w:gridCol w:w="1209"/>
              <w:gridCol w:w="1284"/>
              <w:gridCol w:w="923"/>
              <w:gridCol w:w="884"/>
            </w:tblGrid>
            <w:tr w14:paraId="4967BC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25" w:type="dxa"/>
                  <w:vAlign w:val="center"/>
                </w:tcPr>
                <w:p w14:paraId="202EE162">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序号</w:t>
                  </w:r>
                </w:p>
              </w:tc>
              <w:tc>
                <w:tcPr>
                  <w:tcW w:w="1738" w:type="dxa"/>
                  <w:vAlign w:val="center"/>
                </w:tcPr>
                <w:p w14:paraId="41894325">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名称</w:t>
                  </w:r>
                </w:p>
              </w:tc>
              <w:tc>
                <w:tcPr>
                  <w:tcW w:w="940" w:type="dxa"/>
                  <w:vAlign w:val="center"/>
                </w:tcPr>
                <w:p w14:paraId="26E91AE3">
                  <w:pPr>
                    <w:widowControl/>
                    <w:adjustRightInd/>
                    <w:snapToGrid/>
                    <w:spacing w:line="240" w:lineRule="auto"/>
                    <w:ind w:firstLine="0" w:firstLineChars="0"/>
                    <w:jc w:val="center"/>
                    <w:rPr>
                      <w:rFonts w:hint="eastAsia" w:eastAsia="宋体"/>
                      <w:b/>
                      <w:bCs/>
                      <w:color w:val="000000" w:themeColor="text1"/>
                      <w:kern w:val="0"/>
                      <w:sz w:val="21"/>
                      <w:szCs w:val="21"/>
                      <w:lang w:val="en-US" w:eastAsia="zh-CN" w:bidi="en-US"/>
                      <w14:textFill>
                        <w14:solidFill>
                          <w14:schemeClr w14:val="tx1"/>
                        </w14:solidFill>
                      </w14:textFill>
                    </w:rPr>
                  </w:pPr>
                  <w:r>
                    <w:rPr>
                      <w:rFonts w:hint="eastAsia"/>
                      <w:b/>
                      <w:bCs/>
                      <w:color w:val="000000" w:themeColor="text1"/>
                      <w:kern w:val="0"/>
                      <w:sz w:val="21"/>
                      <w:szCs w:val="21"/>
                      <w:lang w:val="en-US" w:eastAsia="zh-CN" w:bidi="en-US"/>
                      <w14:textFill>
                        <w14:solidFill>
                          <w14:schemeClr w14:val="tx1"/>
                        </w14:solidFill>
                      </w14:textFill>
                    </w:rPr>
                    <w:t>单位</w:t>
                  </w:r>
                </w:p>
              </w:tc>
              <w:tc>
                <w:tcPr>
                  <w:tcW w:w="918" w:type="dxa"/>
                  <w:vAlign w:val="center"/>
                </w:tcPr>
                <w:p w14:paraId="208B7786">
                  <w:pPr>
                    <w:widowControl/>
                    <w:adjustRightInd/>
                    <w:snapToGrid/>
                    <w:spacing w:line="240" w:lineRule="auto"/>
                    <w:ind w:firstLine="0" w:firstLineChars="0"/>
                    <w:jc w:val="center"/>
                    <w:rPr>
                      <w:rFonts w:hint="eastAsia"/>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年耗量</w:t>
                  </w:r>
                </w:p>
              </w:tc>
              <w:tc>
                <w:tcPr>
                  <w:tcW w:w="1218" w:type="dxa"/>
                  <w:vAlign w:val="center"/>
                </w:tcPr>
                <w:p w14:paraId="49A81F0F">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b/>
                      <w:bCs/>
                      <w:color w:val="000000" w:themeColor="text1"/>
                      <w:kern w:val="0"/>
                      <w:sz w:val="21"/>
                      <w:szCs w:val="21"/>
                      <w:lang w:bidi="en-US"/>
                      <w14:textFill>
                        <w14:solidFill>
                          <w14:schemeClr w14:val="tx1"/>
                        </w14:solidFill>
                      </w14:textFill>
                    </w:rPr>
                    <w:t>最大贮</w:t>
                  </w:r>
                </w:p>
                <w:p w14:paraId="552CDBB2">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b/>
                      <w:bCs/>
                      <w:color w:val="000000" w:themeColor="text1"/>
                      <w:kern w:val="0"/>
                      <w:sz w:val="21"/>
                      <w:szCs w:val="21"/>
                      <w:lang w:bidi="en-US"/>
                      <w14:textFill>
                        <w14:solidFill>
                          <w14:schemeClr w14:val="tx1"/>
                        </w14:solidFill>
                      </w14:textFill>
                    </w:rPr>
                    <w:t>存量</w:t>
                  </w:r>
                </w:p>
              </w:tc>
              <w:tc>
                <w:tcPr>
                  <w:tcW w:w="1298" w:type="dxa"/>
                  <w:vAlign w:val="center"/>
                </w:tcPr>
                <w:p w14:paraId="0DE967C9">
                  <w:pPr>
                    <w:widowControl/>
                    <w:adjustRightInd/>
                    <w:snapToGrid/>
                    <w:spacing w:line="240" w:lineRule="auto"/>
                    <w:ind w:firstLine="0" w:firstLineChars="0"/>
                    <w:jc w:val="center"/>
                    <w:rPr>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储存位置</w:t>
                  </w:r>
                </w:p>
              </w:tc>
              <w:tc>
                <w:tcPr>
                  <w:tcW w:w="931" w:type="dxa"/>
                  <w:vAlign w:val="center"/>
                </w:tcPr>
                <w:p w14:paraId="674273F5">
                  <w:pPr>
                    <w:widowControl/>
                    <w:adjustRightInd/>
                    <w:snapToGrid/>
                    <w:spacing w:line="240" w:lineRule="auto"/>
                    <w:ind w:firstLine="0" w:firstLineChars="0"/>
                    <w:jc w:val="center"/>
                    <w:rPr>
                      <w:rFonts w:hint="eastAsia"/>
                      <w:b/>
                      <w:bCs/>
                      <w:color w:val="000000" w:themeColor="text1"/>
                      <w:kern w:val="0"/>
                      <w:sz w:val="21"/>
                      <w:szCs w:val="21"/>
                      <w:lang w:bidi="en-US"/>
                      <w14:textFill>
                        <w14:solidFill>
                          <w14:schemeClr w14:val="tx1"/>
                        </w14:solidFill>
                      </w14:textFill>
                    </w:rPr>
                  </w:pPr>
                  <w:r>
                    <w:rPr>
                      <w:rFonts w:hint="eastAsia"/>
                      <w:b/>
                      <w:bCs/>
                      <w:color w:val="000000" w:themeColor="text1"/>
                      <w:kern w:val="0"/>
                      <w:sz w:val="21"/>
                      <w:szCs w:val="21"/>
                      <w:lang w:bidi="en-US"/>
                      <w14:textFill>
                        <w14:solidFill>
                          <w14:schemeClr w14:val="tx1"/>
                        </w14:solidFill>
                      </w14:textFill>
                    </w:rPr>
                    <w:t>包装</w:t>
                  </w:r>
                </w:p>
                <w:p w14:paraId="57B943B7">
                  <w:pPr>
                    <w:widowControl/>
                    <w:adjustRightInd/>
                    <w:snapToGrid/>
                    <w:spacing w:line="240" w:lineRule="auto"/>
                    <w:ind w:firstLine="0" w:firstLineChars="0"/>
                    <w:jc w:val="center"/>
                    <w:rPr>
                      <w:rFonts w:hint="eastAsia" w:eastAsia="宋体"/>
                      <w:b/>
                      <w:bCs/>
                      <w:color w:val="000000" w:themeColor="text1"/>
                      <w:kern w:val="0"/>
                      <w:sz w:val="21"/>
                      <w:szCs w:val="21"/>
                      <w:lang w:val="en-US" w:eastAsia="zh-CN" w:bidi="en-US"/>
                      <w14:textFill>
                        <w14:solidFill>
                          <w14:schemeClr w14:val="tx1"/>
                        </w14:solidFill>
                      </w14:textFill>
                    </w:rPr>
                  </w:pPr>
                  <w:r>
                    <w:rPr>
                      <w:rFonts w:hint="eastAsia"/>
                      <w:b/>
                      <w:bCs/>
                      <w:color w:val="000000" w:themeColor="text1"/>
                      <w:kern w:val="0"/>
                      <w:sz w:val="21"/>
                      <w:szCs w:val="21"/>
                      <w:lang w:val="en-US" w:eastAsia="zh-CN" w:bidi="en-US"/>
                      <w14:textFill>
                        <w14:solidFill>
                          <w14:schemeClr w14:val="tx1"/>
                        </w14:solidFill>
                      </w14:textFill>
                    </w:rPr>
                    <w:t>方式</w:t>
                  </w:r>
                </w:p>
              </w:tc>
              <w:tc>
                <w:tcPr>
                  <w:tcW w:w="888" w:type="dxa"/>
                  <w:vAlign w:val="center"/>
                </w:tcPr>
                <w:p w14:paraId="464B978D">
                  <w:pPr>
                    <w:widowControl/>
                    <w:adjustRightInd/>
                    <w:snapToGrid/>
                    <w:spacing w:line="240" w:lineRule="auto"/>
                    <w:ind w:firstLine="0" w:firstLineChars="0"/>
                    <w:jc w:val="center"/>
                    <w:rPr>
                      <w:rFonts w:hint="eastAsia" w:eastAsia="宋体"/>
                      <w:b/>
                      <w:bCs/>
                      <w:color w:val="000000" w:themeColor="text1"/>
                      <w:kern w:val="0"/>
                      <w:sz w:val="21"/>
                      <w:szCs w:val="21"/>
                      <w:lang w:val="en-US" w:eastAsia="zh-CN" w:bidi="en-US"/>
                      <w14:textFill>
                        <w14:solidFill>
                          <w14:schemeClr w14:val="tx1"/>
                        </w14:solidFill>
                      </w14:textFill>
                    </w:rPr>
                  </w:pPr>
                  <w:r>
                    <w:rPr>
                      <w:rFonts w:hint="eastAsia"/>
                      <w:b/>
                      <w:bCs/>
                      <w:color w:val="000000" w:themeColor="text1"/>
                      <w:kern w:val="0"/>
                      <w:sz w:val="21"/>
                      <w:szCs w:val="21"/>
                      <w:lang w:val="en-US" w:eastAsia="zh-CN" w:bidi="en-US"/>
                      <w14:textFill>
                        <w14:solidFill>
                          <w14:schemeClr w14:val="tx1"/>
                        </w14:solidFill>
                      </w14:textFill>
                    </w:rPr>
                    <w:t>备注</w:t>
                  </w:r>
                </w:p>
              </w:tc>
            </w:tr>
            <w:tr w14:paraId="415D67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vAlign w:val="center"/>
                </w:tcPr>
                <w:p w14:paraId="189AB27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1</w:t>
                  </w:r>
                </w:p>
              </w:tc>
              <w:tc>
                <w:tcPr>
                  <w:tcW w:w="1738" w:type="dxa"/>
                  <w:vAlign w:val="center"/>
                </w:tcPr>
                <w:p w14:paraId="01BE1B2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不饱和</w:t>
                  </w:r>
                  <w:r>
                    <w:rPr>
                      <w:rFonts w:hint="eastAsia"/>
                      <w:color w:val="000000" w:themeColor="text1"/>
                      <w:kern w:val="0"/>
                      <w:sz w:val="21"/>
                      <w:szCs w:val="21"/>
                      <w:lang w:bidi="en-US"/>
                      <w14:textFill>
                        <w14:solidFill>
                          <w14:schemeClr w14:val="tx1"/>
                        </w14:solidFill>
                      </w14:textFill>
                    </w:rPr>
                    <w:t>聚酯树脂</w:t>
                  </w:r>
                </w:p>
              </w:tc>
              <w:tc>
                <w:tcPr>
                  <w:tcW w:w="940" w:type="dxa"/>
                  <w:vAlign w:val="center"/>
                </w:tcPr>
                <w:p w14:paraId="6C5F8D1E">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3EAF3078">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50</w:t>
                  </w:r>
                </w:p>
              </w:tc>
              <w:tc>
                <w:tcPr>
                  <w:tcW w:w="1218" w:type="dxa"/>
                  <w:vAlign w:val="center"/>
                </w:tcPr>
                <w:p w14:paraId="3869717E">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8</w:t>
                  </w:r>
                </w:p>
              </w:tc>
              <w:tc>
                <w:tcPr>
                  <w:tcW w:w="1298" w:type="dxa"/>
                  <w:vAlign w:val="center"/>
                </w:tcPr>
                <w:p w14:paraId="6BEA7A0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28B5AA7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桶装</w:t>
                  </w:r>
                </w:p>
              </w:tc>
              <w:tc>
                <w:tcPr>
                  <w:tcW w:w="888" w:type="dxa"/>
                  <w:vAlign w:val="center"/>
                </w:tcPr>
                <w:p w14:paraId="429BF7FD">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5F5B02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vAlign w:val="center"/>
                </w:tcPr>
                <w:p w14:paraId="6CC6E30E">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2</w:t>
                  </w:r>
                </w:p>
              </w:tc>
              <w:tc>
                <w:tcPr>
                  <w:tcW w:w="1738" w:type="dxa"/>
                  <w:vAlign w:val="center"/>
                </w:tcPr>
                <w:p w14:paraId="2501891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硅胶</w:t>
                  </w:r>
                </w:p>
              </w:tc>
              <w:tc>
                <w:tcPr>
                  <w:tcW w:w="940" w:type="dxa"/>
                  <w:vAlign w:val="center"/>
                </w:tcPr>
                <w:p w14:paraId="5E953378">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5E929A04">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p>
              </w:tc>
              <w:tc>
                <w:tcPr>
                  <w:tcW w:w="1218" w:type="dxa"/>
                  <w:vAlign w:val="center"/>
                </w:tcPr>
                <w:p w14:paraId="1F224F82">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0.2</w:t>
                  </w:r>
                </w:p>
              </w:tc>
              <w:tc>
                <w:tcPr>
                  <w:tcW w:w="1298" w:type="dxa"/>
                </w:tcPr>
                <w:p w14:paraId="4966F4F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1CE46DE5">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桶装</w:t>
                  </w:r>
                </w:p>
              </w:tc>
              <w:tc>
                <w:tcPr>
                  <w:tcW w:w="888" w:type="dxa"/>
                  <w:vAlign w:val="center"/>
                </w:tcPr>
                <w:p w14:paraId="0D5302A3">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33821F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vAlign w:val="center"/>
                </w:tcPr>
                <w:p w14:paraId="0D42B9E1">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color w:val="000000" w:themeColor="text1"/>
                      <w:kern w:val="0"/>
                      <w:sz w:val="21"/>
                      <w:szCs w:val="21"/>
                      <w:lang w:bidi="en-US"/>
                      <w14:textFill>
                        <w14:solidFill>
                          <w14:schemeClr w14:val="tx1"/>
                        </w14:solidFill>
                      </w14:textFill>
                    </w:rPr>
                    <w:t>3</w:t>
                  </w:r>
                </w:p>
              </w:tc>
              <w:tc>
                <w:tcPr>
                  <w:tcW w:w="1738" w:type="dxa"/>
                  <w:vAlign w:val="center"/>
                </w:tcPr>
                <w:p w14:paraId="53E19CC4">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石粉</w:t>
                  </w:r>
                </w:p>
              </w:tc>
              <w:tc>
                <w:tcPr>
                  <w:tcW w:w="940" w:type="dxa"/>
                  <w:vAlign w:val="center"/>
                </w:tcPr>
                <w:p w14:paraId="485EEB59">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41F26FBF">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40</w:t>
                  </w:r>
                </w:p>
              </w:tc>
              <w:tc>
                <w:tcPr>
                  <w:tcW w:w="1218" w:type="dxa"/>
                  <w:vAlign w:val="center"/>
                </w:tcPr>
                <w:p w14:paraId="77F779A2">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7</w:t>
                  </w:r>
                </w:p>
              </w:tc>
              <w:tc>
                <w:tcPr>
                  <w:tcW w:w="1298" w:type="dxa"/>
                </w:tcPr>
                <w:p w14:paraId="73D3571B">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7C77899F">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袋装</w:t>
                  </w:r>
                </w:p>
              </w:tc>
              <w:tc>
                <w:tcPr>
                  <w:tcW w:w="888" w:type="dxa"/>
                  <w:vAlign w:val="center"/>
                </w:tcPr>
                <w:p w14:paraId="582366A9">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4BC91B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7F25F410">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4</w:t>
                  </w:r>
                </w:p>
              </w:tc>
              <w:tc>
                <w:tcPr>
                  <w:tcW w:w="1738" w:type="dxa"/>
                  <w:vAlign w:val="center"/>
                </w:tcPr>
                <w:p w14:paraId="66781C8C">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石膏</w:t>
                  </w:r>
                </w:p>
              </w:tc>
              <w:tc>
                <w:tcPr>
                  <w:tcW w:w="940" w:type="dxa"/>
                  <w:vAlign w:val="center"/>
                </w:tcPr>
                <w:p w14:paraId="053308F0">
                  <w:pPr>
                    <w:widowControl/>
                    <w:adjustRightInd/>
                    <w:snapToGrid/>
                    <w:spacing w:line="240" w:lineRule="auto"/>
                    <w:ind w:firstLine="0" w:firstLineChars="0"/>
                    <w:jc w:val="center"/>
                    <w:rPr>
                      <w:rFonts w:hint="eastAsia"/>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6D8652FF">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1.5</w:t>
                  </w:r>
                </w:p>
              </w:tc>
              <w:tc>
                <w:tcPr>
                  <w:tcW w:w="1218" w:type="dxa"/>
                  <w:vAlign w:val="center"/>
                </w:tcPr>
                <w:p w14:paraId="15C6ED06">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0.25</w:t>
                  </w:r>
                </w:p>
              </w:tc>
              <w:tc>
                <w:tcPr>
                  <w:tcW w:w="1298" w:type="dxa"/>
                </w:tcPr>
                <w:p w14:paraId="64DA4EA0">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1582D6F8">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袋装</w:t>
                  </w:r>
                </w:p>
              </w:tc>
              <w:tc>
                <w:tcPr>
                  <w:tcW w:w="888" w:type="dxa"/>
                  <w:vAlign w:val="center"/>
                </w:tcPr>
                <w:p w14:paraId="4916FFF6">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296A39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21E0D684">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5</w:t>
                  </w:r>
                </w:p>
              </w:tc>
              <w:tc>
                <w:tcPr>
                  <w:tcW w:w="1738" w:type="dxa"/>
                  <w:vAlign w:val="center"/>
                </w:tcPr>
                <w:p w14:paraId="49923874">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水性漆</w:t>
                  </w:r>
                </w:p>
              </w:tc>
              <w:tc>
                <w:tcPr>
                  <w:tcW w:w="940" w:type="dxa"/>
                  <w:vAlign w:val="center"/>
                </w:tcPr>
                <w:p w14:paraId="55B0381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38C8F1BD">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5</w:t>
                  </w:r>
                </w:p>
              </w:tc>
              <w:tc>
                <w:tcPr>
                  <w:tcW w:w="1218" w:type="dxa"/>
                  <w:vAlign w:val="center"/>
                </w:tcPr>
                <w:p w14:paraId="2976D3FD">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1.0</w:t>
                  </w:r>
                </w:p>
              </w:tc>
              <w:tc>
                <w:tcPr>
                  <w:tcW w:w="1298" w:type="dxa"/>
                </w:tcPr>
                <w:p w14:paraId="5665301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646583C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桶装</w:t>
                  </w:r>
                </w:p>
              </w:tc>
              <w:tc>
                <w:tcPr>
                  <w:tcW w:w="888" w:type="dxa"/>
                  <w:vAlign w:val="center"/>
                </w:tcPr>
                <w:p w14:paraId="27B28376">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49C738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5622ABDF">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6</w:t>
                  </w:r>
                </w:p>
              </w:tc>
              <w:tc>
                <w:tcPr>
                  <w:tcW w:w="1738" w:type="dxa"/>
                  <w:vAlign w:val="center"/>
                </w:tcPr>
                <w:p w14:paraId="0B285DA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稀释剂</w:t>
                  </w:r>
                </w:p>
              </w:tc>
              <w:tc>
                <w:tcPr>
                  <w:tcW w:w="940" w:type="dxa"/>
                  <w:vAlign w:val="center"/>
                </w:tcPr>
                <w:p w14:paraId="0EE97E08">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41121DC1">
                  <w:pPr>
                    <w:widowControl/>
                    <w:adjustRightInd/>
                    <w:snapToGrid/>
                    <w:spacing w:line="240" w:lineRule="auto"/>
                    <w:ind w:firstLine="0" w:firstLineChars="0"/>
                    <w:jc w:val="center"/>
                    <w:rPr>
                      <w:rFonts w:hint="eastAsia" w:eastAsia="宋体"/>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0.7</w:t>
                  </w:r>
                  <w:r>
                    <w:rPr>
                      <w:rFonts w:hint="eastAsia"/>
                      <w:color w:val="000000" w:themeColor="text1"/>
                      <w:kern w:val="0"/>
                      <w:sz w:val="21"/>
                      <w:szCs w:val="21"/>
                      <w:lang w:val="en-US" w:eastAsia="zh-CN" w:bidi="en-US"/>
                      <w14:textFill>
                        <w14:solidFill>
                          <w14:schemeClr w14:val="tx1"/>
                        </w14:solidFill>
                      </w14:textFill>
                    </w:rPr>
                    <w:t>8</w:t>
                  </w:r>
                </w:p>
              </w:tc>
              <w:tc>
                <w:tcPr>
                  <w:tcW w:w="1218" w:type="dxa"/>
                  <w:vAlign w:val="center"/>
                </w:tcPr>
                <w:p w14:paraId="38773241">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0.15</w:t>
                  </w:r>
                </w:p>
              </w:tc>
              <w:tc>
                <w:tcPr>
                  <w:tcW w:w="1298" w:type="dxa"/>
                </w:tcPr>
                <w:p w14:paraId="583BA7F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2E94B620">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桶装</w:t>
                  </w:r>
                </w:p>
              </w:tc>
              <w:tc>
                <w:tcPr>
                  <w:tcW w:w="888" w:type="dxa"/>
                  <w:vAlign w:val="center"/>
                </w:tcPr>
                <w:p w14:paraId="39289D9C">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6715E7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1D46738E">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7</w:t>
                  </w:r>
                </w:p>
              </w:tc>
              <w:tc>
                <w:tcPr>
                  <w:tcW w:w="1738" w:type="dxa"/>
                  <w:vAlign w:val="center"/>
                </w:tcPr>
                <w:p w14:paraId="32CBC104">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油漆</w:t>
                  </w:r>
                </w:p>
              </w:tc>
              <w:tc>
                <w:tcPr>
                  <w:tcW w:w="940" w:type="dxa"/>
                  <w:vAlign w:val="center"/>
                </w:tcPr>
                <w:p w14:paraId="47391F8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504F61D7">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1.5</w:t>
                  </w:r>
                </w:p>
              </w:tc>
              <w:tc>
                <w:tcPr>
                  <w:tcW w:w="1218" w:type="dxa"/>
                  <w:vAlign w:val="center"/>
                </w:tcPr>
                <w:p w14:paraId="6E042A6B">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0.25</w:t>
                  </w:r>
                </w:p>
              </w:tc>
              <w:tc>
                <w:tcPr>
                  <w:tcW w:w="1298" w:type="dxa"/>
                </w:tcPr>
                <w:p w14:paraId="391E78D2">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757A94D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桶装</w:t>
                  </w:r>
                </w:p>
              </w:tc>
              <w:tc>
                <w:tcPr>
                  <w:tcW w:w="888" w:type="dxa"/>
                  <w:vAlign w:val="center"/>
                </w:tcPr>
                <w:p w14:paraId="71360E41">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55C7C6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45F98161">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8</w:t>
                  </w:r>
                </w:p>
              </w:tc>
              <w:tc>
                <w:tcPr>
                  <w:tcW w:w="1738" w:type="dxa"/>
                  <w:vAlign w:val="center"/>
                </w:tcPr>
                <w:p w14:paraId="0FE5301F">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固化剂</w:t>
                  </w:r>
                </w:p>
              </w:tc>
              <w:tc>
                <w:tcPr>
                  <w:tcW w:w="940" w:type="dxa"/>
                  <w:vAlign w:val="center"/>
                </w:tcPr>
                <w:p w14:paraId="41B460C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5A7BAA4A">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0.5</w:t>
                  </w:r>
                </w:p>
              </w:tc>
              <w:tc>
                <w:tcPr>
                  <w:tcW w:w="1218" w:type="dxa"/>
                  <w:vAlign w:val="center"/>
                </w:tcPr>
                <w:p w14:paraId="09F49ACC">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0.10</w:t>
                  </w:r>
                </w:p>
              </w:tc>
              <w:tc>
                <w:tcPr>
                  <w:tcW w:w="1298" w:type="dxa"/>
                </w:tcPr>
                <w:p w14:paraId="6C38188A">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3FF2796E">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桶装</w:t>
                  </w:r>
                </w:p>
              </w:tc>
              <w:tc>
                <w:tcPr>
                  <w:tcW w:w="888" w:type="dxa"/>
                  <w:vAlign w:val="center"/>
                </w:tcPr>
                <w:p w14:paraId="4386F605">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515F80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4F66A94C">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9</w:t>
                  </w:r>
                </w:p>
              </w:tc>
              <w:tc>
                <w:tcPr>
                  <w:tcW w:w="1738" w:type="dxa"/>
                  <w:vAlign w:val="center"/>
                </w:tcPr>
                <w:p w14:paraId="3079BA6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促进剂</w:t>
                  </w:r>
                </w:p>
              </w:tc>
              <w:tc>
                <w:tcPr>
                  <w:tcW w:w="940" w:type="dxa"/>
                  <w:vAlign w:val="center"/>
                </w:tcPr>
                <w:p w14:paraId="37A480BB">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239FF929">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0.1</w:t>
                  </w:r>
                </w:p>
              </w:tc>
              <w:tc>
                <w:tcPr>
                  <w:tcW w:w="1218" w:type="dxa"/>
                  <w:vAlign w:val="center"/>
                </w:tcPr>
                <w:p w14:paraId="32C9E7D0">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0.02</w:t>
                  </w:r>
                </w:p>
              </w:tc>
              <w:tc>
                <w:tcPr>
                  <w:tcW w:w="1298" w:type="dxa"/>
                </w:tcPr>
                <w:p w14:paraId="3E09D8B7">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3CEB69AA">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桶装</w:t>
                  </w:r>
                </w:p>
              </w:tc>
              <w:tc>
                <w:tcPr>
                  <w:tcW w:w="888" w:type="dxa"/>
                  <w:vAlign w:val="center"/>
                </w:tcPr>
                <w:p w14:paraId="63BAAA38">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659BB2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5935B5FF">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r>
                    <w:rPr>
                      <w:rFonts w:hint="eastAsia"/>
                      <w:color w:val="000000" w:themeColor="text1"/>
                      <w:kern w:val="0"/>
                      <w:sz w:val="21"/>
                      <w:szCs w:val="21"/>
                      <w:lang w:val="en-US" w:eastAsia="zh-CN" w:bidi="en-US"/>
                      <w14:textFill>
                        <w14:solidFill>
                          <w14:schemeClr w14:val="tx1"/>
                        </w14:solidFill>
                      </w14:textFill>
                    </w:rPr>
                    <w:t>0</w:t>
                  </w:r>
                </w:p>
              </w:tc>
              <w:tc>
                <w:tcPr>
                  <w:tcW w:w="1738" w:type="dxa"/>
                  <w:vAlign w:val="center"/>
                </w:tcPr>
                <w:p w14:paraId="7C93E328">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焊锡丝</w:t>
                  </w:r>
                </w:p>
              </w:tc>
              <w:tc>
                <w:tcPr>
                  <w:tcW w:w="940" w:type="dxa"/>
                  <w:vAlign w:val="center"/>
                </w:tcPr>
                <w:p w14:paraId="2AA55294">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09D61A9A">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0.1</w:t>
                  </w:r>
                </w:p>
              </w:tc>
              <w:tc>
                <w:tcPr>
                  <w:tcW w:w="1218" w:type="dxa"/>
                  <w:vAlign w:val="center"/>
                </w:tcPr>
                <w:p w14:paraId="492EF084">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0.02</w:t>
                  </w:r>
                </w:p>
              </w:tc>
              <w:tc>
                <w:tcPr>
                  <w:tcW w:w="1298" w:type="dxa"/>
                </w:tcPr>
                <w:p w14:paraId="1690331C">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235DC82A">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箱装</w:t>
                  </w:r>
                </w:p>
              </w:tc>
              <w:tc>
                <w:tcPr>
                  <w:tcW w:w="888" w:type="dxa"/>
                  <w:vAlign w:val="center"/>
                </w:tcPr>
                <w:p w14:paraId="686A2081">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50E929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013A705B">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r>
                    <w:rPr>
                      <w:rFonts w:hint="eastAsia"/>
                      <w:color w:val="000000" w:themeColor="text1"/>
                      <w:kern w:val="0"/>
                      <w:sz w:val="21"/>
                      <w:szCs w:val="21"/>
                      <w:lang w:val="en-US" w:eastAsia="zh-CN" w:bidi="en-US"/>
                      <w14:textFill>
                        <w14:solidFill>
                          <w14:schemeClr w14:val="tx1"/>
                        </w14:solidFill>
                      </w14:textFill>
                    </w:rPr>
                    <w:t>1</w:t>
                  </w:r>
                </w:p>
              </w:tc>
              <w:tc>
                <w:tcPr>
                  <w:tcW w:w="1738" w:type="dxa"/>
                  <w:vAlign w:val="center"/>
                </w:tcPr>
                <w:p w14:paraId="39F4F214">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胶棒</w:t>
                  </w:r>
                </w:p>
              </w:tc>
              <w:tc>
                <w:tcPr>
                  <w:tcW w:w="940" w:type="dxa"/>
                  <w:vAlign w:val="center"/>
                </w:tcPr>
                <w:p w14:paraId="3152A923">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吨/年</w:t>
                  </w:r>
                </w:p>
              </w:tc>
              <w:tc>
                <w:tcPr>
                  <w:tcW w:w="918" w:type="dxa"/>
                  <w:vAlign w:val="center"/>
                </w:tcPr>
                <w:p w14:paraId="3B7830CF">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2</w:t>
                  </w:r>
                </w:p>
              </w:tc>
              <w:tc>
                <w:tcPr>
                  <w:tcW w:w="1218" w:type="dxa"/>
                  <w:vAlign w:val="center"/>
                </w:tcPr>
                <w:p w14:paraId="7B7D4456">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0.4</w:t>
                  </w:r>
                </w:p>
              </w:tc>
              <w:tc>
                <w:tcPr>
                  <w:tcW w:w="1298" w:type="dxa"/>
                  <w:vAlign w:val="center"/>
                </w:tcPr>
                <w:p w14:paraId="2C84C9B6">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4B2F6115">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箱装</w:t>
                  </w:r>
                </w:p>
              </w:tc>
              <w:tc>
                <w:tcPr>
                  <w:tcW w:w="888" w:type="dxa"/>
                  <w:vAlign w:val="center"/>
                </w:tcPr>
                <w:p w14:paraId="7591B9C5">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EVA热熔胶</w:t>
                  </w:r>
                </w:p>
              </w:tc>
            </w:tr>
            <w:tr w14:paraId="5F7E84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51302E57">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r>
                    <w:rPr>
                      <w:rFonts w:hint="eastAsia"/>
                      <w:color w:val="000000" w:themeColor="text1"/>
                      <w:kern w:val="0"/>
                      <w:sz w:val="21"/>
                      <w:szCs w:val="21"/>
                      <w:lang w:val="en-US" w:eastAsia="zh-CN" w:bidi="en-US"/>
                      <w14:textFill>
                        <w14:solidFill>
                          <w14:schemeClr w14:val="tx1"/>
                        </w14:solidFill>
                      </w14:textFill>
                    </w:rPr>
                    <w:t>2</w:t>
                  </w:r>
                </w:p>
              </w:tc>
              <w:tc>
                <w:tcPr>
                  <w:tcW w:w="1738" w:type="dxa"/>
                  <w:vAlign w:val="center"/>
                </w:tcPr>
                <w:p w14:paraId="406EACE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彩绘</w:t>
                  </w:r>
                  <w:r>
                    <w:rPr>
                      <w:rFonts w:hint="eastAsia"/>
                      <w:color w:val="000000" w:themeColor="text1"/>
                      <w:kern w:val="0"/>
                      <w:sz w:val="21"/>
                      <w:szCs w:val="21"/>
                      <w:lang w:bidi="en-US"/>
                      <w14:textFill>
                        <w14:solidFill>
                          <w14:schemeClr w14:val="tx1"/>
                        </w14:solidFill>
                      </w14:textFill>
                    </w:rPr>
                    <w:t>笔</w:t>
                  </w:r>
                </w:p>
              </w:tc>
              <w:tc>
                <w:tcPr>
                  <w:tcW w:w="940" w:type="dxa"/>
                  <w:vAlign w:val="center"/>
                </w:tcPr>
                <w:p w14:paraId="2AAEBF9F">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支/年</w:t>
                  </w:r>
                </w:p>
              </w:tc>
              <w:tc>
                <w:tcPr>
                  <w:tcW w:w="918" w:type="dxa"/>
                  <w:vAlign w:val="center"/>
                </w:tcPr>
                <w:p w14:paraId="1BE711F6">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500</w:t>
                  </w:r>
                </w:p>
              </w:tc>
              <w:tc>
                <w:tcPr>
                  <w:tcW w:w="1218" w:type="dxa"/>
                  <w:vAlign w:val="center"/>
                </w:tcPr>
                <w:p w14:paraId="0CFA0E95">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100</w:t>
                  </w:r>
                </w:p>
              </w:tc>
              <w:tc>
                <w:tcPr>
                  <w:tcW w:w="1298" w:type="dxa"/>
                  <w:vAlign w:val="center"/>
                </w:tcPr>
                <w:p w14:paraId="700E191B">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67E61CBD">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箱装</w:t>
                  </w:r>
                </w:p>
              </w:tc>
              <w:tc>
                <w:tcPr>
                  <w:tcW w:w="888" w:type="dxa"/>
                  <w:vAlign w:val="center"/>
                </w:tcPr>
                <w:p w14:paraId="25878C98">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p>
              </w:tc>
            </w:tr>
            <w:tr w14:paraId="78F062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1FC8AC5A">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13</w:t>
                  </w:r>
                </w:p>
              </w:tc>
              <w:tc>
                <w:tcPr>
                  <w:tcW w:w="1738" w:type="dxa"/>
                  <w:vAlign w:val="center"/>
                </w:tcPr>
                <w:p w14:paraId="7088ABDE">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电子元件</w:t>
                  </w:r>
                </w:p>
              </w:tc>
              <w:tc>
                <w:tcPr>
                  <w:tcW w:w="940" w:type="dxa"/>
                  <w:vAlign w:val="center"/>
                </w:tcPr>
                <w:p w14:paraId="3A737764">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万件/年</w:t>
                  </w:r>
                </w:p>
              </w:tc>
              <w:tc>
                <w:tcPr>
                  <w:tcW w:w="918" w:type="dxa"/>
                  <w:vAlign w:val="center"/>
                </w:tcPr>
                <w:p w14:paraId="2D693441">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300</w:t>
                  </w:r>
                </w:p>
              </w:tc>
              <w:tc>
                <w:tcPr>
                  <w:tcW w:w="1218" w:type="dxa"/>
                  <w:vAlign w:val="center"/>
                </w:tcPr>
                <w:p w14:paraId="776CA618">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50</w:t>
                  </w:r>
                </w:p>
              </w:tc>
              <w:tc>
                <w:tcPr>
                  <w:tcW w:w="1298" w:type="dxa"/>
                  <w:vAlign w:val="center"/>
                </w:tcPr>
                <w:p w14:paraId="5DD26188">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原料仓库</w:t>
                  </w:r>
                </w:p>
              </w:tc>
              <w:tc>
                <w:tcPr>
                  <w:tcW w:w="931" w:type="dxa"/>
                  <w:vAlign w:val="center"/>
                </w:tcPr>
                <w:p w14:paraId="7AB808EC">
                  <w:pPr>
                    <w:widowControl/>
                    <w:adjustRightInd/>
                    <w:snapToGrid/>
                    <w:spacing w:line="240" w:lineRule="auto"/>
                    <w:ind w:firstLine="0" w:firstLineChars="0"/>
                    <w:jc w:val="center"/>
                    <w:rPr>
                      <w:color w:val="000000" w:themeColor="text1"/>
                      <w:kern w:val="0"/>
                      <w:sz w:val="21"/>
                      <w:szCs w:val="21"/>
                      <w:lang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箱装</w:t>
                  </w:r>
                </w:p>
              </w:tc>
              <w:tc>
                <w:tcPr>
                  <w:tcW w:w="888" w:type="dxa"/>
                  <w:vAlign w:val="center"/>
                </w:tcPr>
                <w:p w14:paraId="193450BF">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LED灯、电路板等</w:t>
                  </w:r>
                </w:p>
              </w:tc>
            </w:tr>
            <w:tr w14:paraId="6A9FD5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1870D14D">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14</w:t>
                  </w:r>
                </w:p>
              </w:tc>
              <w:tc>
                <w:tcPr>
                  <w:tcW w:w="1738" w:type="dxa"/>
                  <w:vAlign w:val="center"/>
                </w:tcPr>
                <w:p w14:paraId="74C7F94E">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水</w:t>
                  </w:r>
                </w:p>
              </w:tc>
              <w:tc>
                <w:tcPr>
                  <w:tcW w:w="940" w:type="dxa"/>
                  <w:vAlign w:val="center"/>
                </w:tcPr>
                <w:p w14:paraId="1D80F3FC">
                  <w:pPr>
                    <w:widowControl/>
                    <w:adjustRightInd/>
                    <w:snapToGrid/>
                    <w:spacing w:line="240" w:lineRule="auto"/>
                    <w:ind w:firstLine="0" w:firstLineChars="0"/>
                    <w:jc w:val="center"/>
                    <w:rPr>
                      <w:rFonts w:hint="default"/>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m</w:t>
                  </w:r>
                  <w:r>
                    <w:rPr>
                      <w:rFonts w:hint="eastAsia"/>
                      <w:color w:val="000000" w:themeColor="text1"/>
                      <w:kern w:val="0"/>
                      <w:sz w:val="21"/>
                      <w:szCs w:val="21"/>
                      <w:vertAlign w:val="superscript"/>
                      <w:lang w:val="en-US" w:eastAsia="zh-CN" w:bidi="en-US"/>
                      <w14:textFill>
                        <w14:solidFill>
                          <w14:schemeClr w14:val="tx1"/>
                        </w14:solidFill>
                      </w14:textFill>
                    </w:rPr>
                    <w:t>3</w:t>
                  </w:r>
                  <w:r>
                    <w:rPr>
                      <w:rFonts w:hint="eastAsia"/>
                      <w:color w:val="000000" w:themeColor="text1"/>
                      <w:kern w:val="0"/>
                      <w:sz w:val="21"/>
                      <w:szCs w:val="21"/>
                      <w:lang w:val="en-US" w:eastAsia="zh-CN" w:bidi="en-US"/>
                      <w14:textFill>
                        <w14:solidFill>
                          <w14:schemeClr w14:val="tx1"/>
                        </w14:solidFill>
                      </w14:textFill>
                    </w:rPr>
                    <w:t>/a</w:t>
                  </w:r>
                </w:p>
              </w:tc>
              <w:tc>
                <w:tcPr>
                  <w:tcW w:w="918" w:type="dxa"/>
                  <w:vAlign w:val="center"/>
                </w:tcPr>
                <w:p w14:paraId="5DBC4778">
                  <w:pPr>
                    <w:widowControl/>
                    <w:adjustRightInd/>
                    <w:snapToGrid/>
                    <w:spacing w:line="240" w:lineRule="auto"/>
                    <w:ind w:firstLine="0" w:firstLineChars="0"/>
                    <w:jc w:val="center"/>
                    <w:rPr>
                      <w:rFonts w:hint="default"/>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2734</w:t>
                  </w:r>
                </w:p>
              </w:tc>
              <w:tc>
                <w:tcPr>
                  <w:tcW w:w="1218" w:type="dxa"/>
                  <w:vAlign w:val="center"/>
                </w:tcPr>
                <w:p w14:paraId="63BCBCC6">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w:t>
                  </w:r>
                </w:p>
              </w:tc>
              <w:tc>
                <w:tcPr>
                  <w:tcW w:w="1298" w:type="dxa"/>
                  <w:vAlign w:val="center"/>
                </w:tcPr>
                <w:p w14:paraId="169BE153">
                  <w:pPr>
                    <w:widowControl/>
                    <w:adjustRightInd/>
                    <w:snapToGrid/>
                    <w:spacing w:line="240" w:lineRule="auto"/>
                    <w:ind w:firstLine="0" w:firstLineChars="0"/>
                    <w:jc w:val="center"/>
                    <w:rPr>
                      <w:rFonts w:hint="eastAsia"/>
                      <w:color w:val="000000" w:themeColor="text1"/>
                      <w:kern w:val="0"/>
                      <w:sz w:val="21"/>
                      <w:szCs w:val="21"/>
                      <w:lang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园区管网</w:t>
                  </w:r>
                </w:p>
              </w:tc>
              <w:tc>
                <w:tcPr>
                  <w:tcW w:w="931" w:type="dxa"/>
                  <w:vAlign w:val="center"/>
                </w:tcPr>
                <w:p w14:paraId="4F7FF0BF">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w:t>
                  </w:r>
                </w:p>
              </w:tc>
              <w:tc>
                <w:tcPr>
                  <w:tcW w:w="888" w:type="dxa"/>
                  <w:vAlign w:val="center"/>
                </w:tcPr>
                <w:p w14:paraId="1ED08115">
                  <w:pPr>
                    <w:widowControl/>
                    <w:adjustRightInd/>
                    <w:snapToGrid/>
                    <w:spacing w:line="240" w:lineRule="auto"/>
                    <w:ind w:firstLine="0" w:firstLineChars="0"/>
                    <w:jc w:val="center"/>
                    <w:rPr>
                      <w:rFonts w:hint="default"/>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w:t>
                  </w:r>
                </w:p>
              </w:tc>
            </w:tr>
            <w:tr w14:paraId="0FE1C3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shd w:val="clear" w:color="auto" w:fill="auto"/>
                  <w:vAlign w:val="center"/>
                </w:tcPr>
                <w:p w14:paraId="5A361816">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15</w:t>
                  </w:r>
                </w:p>
              </w:tc>
              <w:tc>
                <w:tcPr>
                  <w:tcW w:w="1738" w:type="dxa"/>
                  <w:vAlign w:val="center"/>
                </w:tcPr>
                <w:p w14:paraId="3CDE61F4">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电</w:t>
                  </w:r>
                </w:p>
              </w:tc>
              <w:tc>
                <w:tcPr>
                  <w:tcW w:w="940" w:type="dxa"/>
                  <w:vAlign w:val="center"/>
                </w:tcPr>
                <w:p w14:paraId="6FFE18C6">
                  <w:pPr>
                    <w:widowControl/>
                    <w:adjustRightInd/>
                    <w:snapToGrid/>
                    <w:spacing w:line="240" w:lineRule="auto"/>
                    <w:ind w:firstLine="0" w:firstLineChars="0"/>
                    <w:jc w:val="center"/>
                    <w:rPr>
                      <w:rFonts w:hint="eastAsia"/>
                      <w:color w:val="000000" w:themeColor="text1"/>
                      <w:kern w:val="0"/>
                      <w:sz w:val="21"/>
                      <w:szCs w:val="21"/>
                      <w:lang w:val="en-US" w:eastAsia="zh-CN" w:bidi="en-US"/>
                      <w14:textFill>
                        <w14:solidFill>
                          <w14:schemeClr w14:val="tx1"/>
                        </w14:solidFill>
                      </w14:textFill>
                    </w:rPr>
                  </w:pPr>
                  <w:r>
                    <w:rPr>
                      <w:color w:val="000000" w:themeColor="text1"/>
                      <w:kern w:val="0"/>
                      <w:sz w:val="21"/>
                      <w:szCs w:val="21"/>
                      <w:lang w:bidi="en-US"/>
                      <w14:textFill>
                        <w14:solidFill>
                          <w14:schemeClr w14:val="tx1"/>
                        </w14:solidFill>
                      </w14:textFill>
                    </w:rPr>
                    <w:t>万kW•h/a</w:t>
                  </w:r>
                </w:p>
              </w:tc>
              <w:tc>
                <w:tcPr>
                  <w:tcW w:w="918" w:type="dxa"/>
                  <w:vAlign w:val="center"/>
                </w:tcPr>
                <w:p w14:paraId="002773F0">
                  <w:pPr>
                    <w:widowControl/>
                    <w:adjustRightInd/>
                    <w:snapToGrid/>
                    <w:spacing w:line="240" w:lineRule="auto"/>
                    <w:ind w:firstLine="0" w:firstLineChars="0"/>
                    <w:jc w:val="center"/>
                    <w:rPr>
                      <w:rFonts w:hint="default"/>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15.8</w:t>
                  </w:r>
                </w:p>
              </w:tc>
              <w:tc>
                <w:tcPr>
                  <w:tcW w:w="1218" w:type="dxa"/>
                  <w:vAlign w:val="center"/>
                </w:tcPr>
                <w:p w14:paraId="602C6029">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w:t>
                  </w:r>
                </w:p>
              </w:tc>
              <w:tc>
                <w:tcPr>
                  <w:tcW w:w="1298" w:type="dxa"/>
                  <w:vAlign w:val="center"/>
                </w:tcPr>
                <w:p w14:paraId="63E7923E">
                  <w:pPr>
                    <w:widowControl/>
                    <w:adjustRightInd/>
                    <w:snapToGrid/>
                    <w:spacing w:line="240" w:lineRule="auto"/>
                    <w:ind w:firstLine="0" w:firstLineChars="0"/>
                    <w:jc w:val="center"/>
                    <w:rPr>
                      <w:rFonts w:hint="default"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园区管网</w:t>
                  </w:r>
                </w:p>
              </w:tc>
              <w:tc>
                <w:tcPr>
                  <w:tcW w:w="931" w:type="dxa"/>
                  <w:vAlign w:val="center"/>
                </w:tcPr>
                <w:p w14:paraId="385259C2">
                  <w:pPr>
                    <w:widowControl/>
                    <w:adjustRightInd/>
                    <w:snapToGrid/>
                    <w:spacing w:line="240" w:lineRule="auto"/>
                    <w:ind w:firstLine="0" w:firstLineChars="0"/>
                    <w:jc w:val="center"/>
                    <w:rPr>
                      <w:rFonts w:hint="eastAsia" w:eastAsia="宋体"/>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w:t>
                  </w:r>
                </w:p>
              </w:tc>
              <w:tc>
                <w:tcPr>
                  <w:tcW w:w="888" w:type="dxa"/>
                  <w:vAlign w:val="center"/>
                </w:tcPr>
                <w:p w14:paraId="19FA6D07">
                  <w:pPr>
                    <w:widowControl/>
                    <w:adjustRightInd/>
                    <w:snapToGrid/>
                    <w:spacing w:line="240" w:lineRule="auto"/>
                    <w:ind w:firstLine="0" w:firstLineChars="0"/>
                    <w:jc w:val="center"/>
                    <w:rPr>
                      <w:rFonts w:hint="default"/>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w:t>
                  </w:r>
                </w:p>
              </w:tc>
            </w:tr>
          </w:tbl>
          <w:p w14:paraId="79E26D00">
            <w:pPr>
              <w:pStyle w:val="57"/>
              <w:keepNext w:val="0"/>
              <w:keepLines w:val="0"/>
              <w:pageBreakBefore w:val="0"/>
              <w:widowControl w:val="0"/>
              <w:numPr>
                <w:ilvl w:val="3"/>
                <w:numId w:val="19"/>
              </w:numPr>
              <w:kinsoku/>
              <w:wordWrap/>
              <w:overflowPunct/>
              <w:topLinePunct w:val="0"/>
              <w:autoSpaceDE/>
              <w:autoSpaceDN/>
              <w:bidi w:val="0"/>
              <w:adjustRightInd w:val="0"/>
              <w:snapToGrid w:val="0"/>
              <w:spacing w:before="157" w:beforeLines="50"/>
              <w:textAlignment w:val="auto"/>
              <w:rPr>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项目水性漆、油漆、稀释剂、固化剂、促进剂等原料成分情况一览表</w:t>
            </w:r>
          </w:p>
          <w:tbl>
            <w:tblPr>
              <w:tblStyle w:val="37"/>
              <w:tblW w:w="4945"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268"/>
              <w:gridCol w:w="2712"/>
              <w:gridCol w:w="828"/>
              <w:gridCol w:w="1252"/>
              <w:gridCol w:w="1353"/>
              <w:gridCol w:w="1065"/>
            </w:tblGrid>
            <w:tr w14:paraId="34C9D05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tcBorders>
                    <w:tl2br w:val="nil"/>
                    <w:tr2bl w:val="nil"/>
                  </w:tcBorders>
                  <w:vAlign w:val="center"/>
                </w:tcPr>
                <w:p w14:paraId="13A59E8B">
                  <w:pPr>
                    <w:adjustRightInd/>
                    <w:snapToGrid/>
                    <w:spacing w:line="240" w:lineRule="auto"/>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原料</w:t>
                  </w:r>
                </w:p>
              </w:tc>
              <w:tc>
                <w:tcPr>
                  <w:tcW w:w="1599" w:type="pct"/>
                  <w:tcBorders>
                    <w:tl2br w:val="nil"/>
                    <w:tr2bl w:val="nil"/>
                  </w:tcBorders>
                  <w:vAlign w:val="center"/>
                </w:tcPr>
                <w:p w14:paraId="5072893F">
                  <w:pPr>
                    <w:adjustRightInd/>
                    <w:snapToGrid/>
                    <w:spacing w:line="240" w:lineRule="auto"/>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成分名称</w:t>
                  </w:r>
                </w:p>
              </w:tc>
              <w:tc>
                <w:tcPr>
                  <w:tcW w:w="488" w:type="pct"/>
                  <w:tcBorders>
                    <w:tl2br w:val="nil"/>
                    <w:tr2bl w:val="nil"/>
                  </w:tcBorders>
                  <w:vAlign w:val="center"/>
                </w:tcPr>
                <w:p w14:paraId="6518CBA3">
                  <w:pPr>
                    <w:adjustRightInd/>
                    <w:snapToGrid/>
                    <w:spacing w:line="240" w:lineRule="auto"/>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单位</w:t>
                  </w:r>
                </w:p>
              </w:tc>
              <w:tc>
                <w:tcPr>
                  <w:tcW w:w="738" w:type="pct"/>
                  <w:tcBorders>
                    <w:tl2br w:val="nil"/>
                    <w:tr2bl w:val="nil"/>
                  </w:tcBorders>
                  <w:vAlign w:val="center"/>
                </w:tcPr>
                <w:p w14:paraId="4D282C33">
                  <w:pPr>
                    <w:adjustRightInd/>
                    <w:snapToGrid/>
                    <w:spacing w:line="240" w:lineRule="auto"/>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MSDS数据</w:t>
                  </w:r>
                </w:p>
              </w:tc>
              <w:tc>
                <w:tcPr>
                  <w:tcW w:w="798" w:type="pct"/>
                  <w:tcBorders>
                    <w:right w:val="single" w:color="auto" w:sz="4" w:space="0"/>
                    <w:tl2br w:val="nil"/>
                    <w:tr2bl w:val="nil"/>
                  </w:tcBorders>
                  <w:vAlign w:val="center"/>
                </w:tcPr>
                <w:p w14:paraId="3BD915C5">
                  <w:pPr>
                    <w:adjustRightInd/>
                    <w:snapToGrid/>
                    <w:spacing w:line="240" w:lineRule="auto"/>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环评取值</w:t>
                  </w:r>
                </w:p>
              </w:tc>
              <w:tc>
                <w:tcPr>
                  <w:tcW w:w="628" w:type="pct"/>
                  <w:tcBorders>
                    <w:left w:val="single" w:color="auto" w:sz="4" w:space="0"/>
                    <w:tl2br w:val="nil"/>
                    <w:tr2bl w:val="nil"/>
                  </w:tcBorders>
                  <w:vAlign w:val="center"/>
                </w:tcPr>
                <w:p w14:paraId="10DBB428">
                  <w:pPr>
                    <w:adjustRightInd/>
                    <w:snapToGrid/>
                    <w:spacing w:line="240" w:lineRule="auto"/>
                    <w:ind w:firstLine="0" w:firstLineChars="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备注</w:t>
                  </w:r>
                </w:p>
              </w:tc>
            </w:tr>
            <w:tr w14:paraId="4EF63E2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restart"/>
                  <w:tcBorders>
                    <w:tl2br w:val="nil"/>
                    <w:tr2bl w:val="nil"/>
                  </w:tcBorders>
                  <w:vAlign w:val="center"/>
                </w:tcPr>
                <w:p w14:paraId="09A0ACEE">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油漆</w:t>
                  </w:r>
                </w:p>
              </w:tc>
              <w:tc>
                <w:tcPr>
                  <w:tcW w:w="1599" w:type="pct"/>
                  <w:tcBorders>
                    <w:tl2br w:val="nil"/>
                    <w:tr2bl w:val="nil"/>
                  </w:tcBorders>
                  <w:vAlign w:val="center"/>
                </w:tcPr>
                <w:p w14:paraId="3372DA67">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丙烯酸树脂</w:t>
                  </w:r>
                </w:p>
              </w:tc>
              <w:tc>
                <w:tcPr>
                  <w:tcW w:w="488" w:type="pct"/>
                  <w:tcBorders>
                    <w:tl2br w:val="nil"/>
                    <w:tr2bl w:val="nil"/>
                  </w:tcBorders>
                  <w:vAlign w:val="center"/>
                </w:tcPr>
                <w:p w14:paraId="5DAA9C5B">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40C9D906">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40~70</w:t>
                  </w:r>
                </w:p>
              </w:tc>
              <w:tc>
                <w:tcPr>
                  <w:tcW w:w="798" w:type="pct"/>
                  <w:tcBorders>
                    <w:right w:val="single" w:color="auto" w:sz="4" w:space="0"/>
                    <w:tl2br w:val="nil"/>
                    <w:tr2bl w:val="nil"/>
                  </w:tcBorders>
                  <w:vAlign w:val="center"/>
                </w:tcPr>
                <w:p w14:paraId="7E0DDD1D">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70</w:t>
                  </w:r>
                </w:p>
              </w:tc>
              <w:tc>
                <w:tcPr>
                  <w:tcW w:w="628" w:type="pct"/>
                  <w:tcBorders>
                    <w:left w:val="single" w:color="auto" w:sz="4" w:space="0"/>
                    <w:tl2br w:val="nil"/>
                    <w:tr2bl w:val="nil"/>
                  </w:tcBorders>
                  <w:vAlign w:val="center"/>
                </w:tcPr>
                <w:p w14:paraId="698EC9A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固份</w:t>
                  </w:r>
                </w:p>
              </w:tc>
            </w:tr>
            <w:tr w14:paraId="51BCD20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3C121873">
                  <w:pPr>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386FFC0C">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二氧化钛</w:t>
                  </w:r>
                </w:p>
              </w:tc>
              <w:tc>
                <w:tcPr>
                  <w:tcW w:w="488" w:type="pct"/>
                  <w:tcBorders>
                    <w:tl2br w:val="nil"/>
                    <w:tr2bl w:val="nil"/>
                  </w:tcBorders>
                  <w:vAlign w:val="center"/>
                </w:tcPr>
                <w:p w14:paraId="445653FC">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58FEBB32">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10~30</w:t>
                  </w:r>
                </w:p>
              </w:tc>
              <w:tc>
                <w:tcPr>
                  <w:tcW w:w="798" w:type="pct"/>
                  <w:tcBorders>
                    <w:right w:val="single" w:color="auto" w:sz="4" w:space="0"/>
                    <w:tl2br w:val="nil"/>
                    <w:tr2bl w:val="nil"/>
                  </w:tcBorders>
                  <w:vAlign w:val="center"/>
                </w:tcPr>
                <w:p w14:paraId="4ED9CBF1">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w:t>
                  </w:r>
                </w:p>
              </w:tc>
              <w:tc>
                <w:tcPr>
                  <w:tcW w:w="628" w:type="pct"/>
                  <w:tcBorders>
                    <w:left w:val="single" w:color="auto" w:sz="4" w:space="0"/>
                    <w:tl2br w:val="nil"/>
                    <w:tr2bl w:val="nil"/>
                  </w:tcBorders>
                  <w:vAlign w:val="center"/>
                </w:tcPr>
                <w:p w14:paraId="1DAC4CE4">
                  <w:pPr>
                    <w:widowControl/>
                    <w:adjustRightInd/>
                    <w:snapToGrid/>
                    <w:spacing w:line="240" w:lineRule="auto"/>
                    <w:ind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固份</w:t>
                  </w:r>
                </w:p>
              </w:tc>
            </w:tr>
            <w:tr w14:paraId="0128F40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6467F098">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115848D0">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二甲苯</w:t>
                  </w:r>
                </w:p>
              </w:tc>
              <w:tc>
                <w:tcPr>
                  <w:tcW w:w="488" w:type="pct"/>
                  <w:tcBorders>
                    <w:tl2br w:val="nil"/>
                    <w:tr2bl w:val="nil"/>
                  </w:tcBorders>
                  <w:vAlign w:val="center"/>
                </w:tcPr>
                <w:p w14:paraId="3E7C0E09">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36D36639">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3~8</w:t>
                  </w:r>
                </w:p>
              </w:tc>
              <w:tc>
                <w:tcPr>
                  <w:tcW w:w="798" w:type="pct"/>
                  <w:tcBorders>
                    <w:right w:val="single" w:color="auto" w:sz="4" w:space="0"/>
                    <w:tl2br w:val="nil"/>
                    <w:tr2bl w:val="nil"/>
                  </w:tcBorders>
                  <w:vAlign w:val="center"/>
                </w:tcPr>
                <w:p w14:paraId="3493EBE6">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p>
              </w:tc>
              <w:tc>
                <w:tcPr>
                  <w:tcW w:w="628" w:type="pct"/>
                  <w:tcBorders>
                    <w:left w:val="single" w:color="auto" w:sz="4" w:space="0"/>
                    <w:tl2br w:val="nil"/>
                    <w:tr2bl w:val="nil"/>
                  </w:tcBorders>
                  <w:vAlign w:val="center"/>
                </w:tcPr>
                <w:p w14:paraId="551B96CC">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挥发份</w:t>
                  </w:r>
                </w:p>
              </w:tc>
            </w:tr>
            <w:tr w14:paraId="5C7DEF1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70F1EAAA">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3A9F0897">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醋酸正丁酯</w:t>
                  </w:r>
                </w:p>
              </w:tc>
              <w:tc>
                <w:tcPr>
                  <w:tcW w:w="488" w:type="pct"/>
                  <w:tcBorders>
                    <w:tl2br w:val="nil"/>
                    <w:tr2bl w:val="nil"/>
                  </w:tcBorders>
                  <w:vAlign w:val="center"/>
                </w:tcPr>
                <w:p w14:paraId="65DAF5E2">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1C7670F7">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3~8</w:t>
                  </w:r>
                </w:p>
              </w:tc>
              <w:tc>
                <w:tcPr>
                  <w:tcW w:w="798" w:type="pct"/>
                  <w:tcBorders>
                    <w:right w:val="single" w:color="auto" w:sz="4" w:space="0"/>
                    <w:tl2br w:val="nil"/>
                    <w:tr2bl w:val="nil"/>
                  </w:tcBorders>
                  <w:vAlign w:val="center"/>
                </w:tcPr>
                <w:p w14:paraId="58FB1176">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p>
              </w:tc>
              <w:tc>
                <w:tcPr>
                  <w:tcW w:w="628" w:type="pct"/>
                  <w:tcBorders>
                    <w:left w:val="single" w:color="auto" w:sz="4" w:space="0"/>
                    <w:tl2br w:val="nil"/>
                    <w:tr2bl w:val="nil"/>
                  </w:tcBorders>
                  <w:vAlign w:val="center"/>
                </w:tcPr>
                <w:p w14:paraId="260A6B51">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挥发份</w:t>
                  </w:r>
                </w:p>
              </w:tc>
            </w:tr>
            <w:tr w14:paraId="6E81606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2CC05115">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18BC1046">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颜料粉</w:t>
                  </w:r>
                </w:p>
              </w:tc>
              <w:tc>
                <w:tcPr>
                  <w:tcW w:w="488" w:type="pct"/>
                  <w:tcBorders>
                    <w:tl2br w:val="nil"/>
                    <w:tr2bl w:val="nil"/>
                  </w:tcBorders>
                  <w:vAlign w:val="center"/>
                </w:tcPr>
                <w:p w14:paraId="4C8E2B1B">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0513EC19">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798" w:type="pct"/>
                  <w:tcBorders>
                    <w:right w:val="single" w:color="auto" w:sz="4" w:space="0"/>
                    <w:tl2br w:val="nil"/>
                    <w:tr2bl w:val="nil"/>
                  </w:tcBorders>
                  <w:vAlign w:val="center"/>
                </w:tcPr>
                <w:p w14:paraId="4B40E700">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628" w:type="pct"/>
                  <w:tcBorders>
                    <w:left w:val="single" w:color="auto" w:sz="4" w:space="0"/>
                    <w:tl2br w:val="nil"/>
                    <w:tr2bl w:val="nil"/>
                  </w:tcBorders>
                  <w:vAlign w:val="center"/>
                </w:tcPr>
                <w:p w14:paraId="214A136A">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固份</w:t>
                  </w:r>
                </w:p>
              </w:tc>
            </w:tr>
            <w:tr w14:paraId="0595F4B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restart"/>
                  <w:tcBorders>
                    <w:tl2br w:val="nil"/>
                    <w:tr2bl w:val="nil"/>
                  </w:tcBorders>
                  <w:vAlign w:val="center"/>
                </w:tcPr>
                <w:p w14:paraId="77191AA0">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水性漆</w:t>
                  </w:r>
                </w:p>
              </w:tc>
              <w:tc>
                <w:tcPr>
                  <w:tcW w:w="1599" w:type="pct"/>
                  <w:tcBorders>
                    <w:tl2br w:val="nil"/>
                    <w:tr2bl w:val="nil"/>
                  </w:tcBorders>
                  <w:vAlign w:val="center"/>
                </w:tcPr>
                <w:p w14:paraId="48D5B0BA">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水性丙烯酸乳液</w:t>
                  </w:r>
                </w:p>
              </w:tc>
              <w:tc>
                <w:tcPr>
                  <w:tcW w:w="488" w:type="pct"/>
                  <w:tcBorders>
                    <w:tl2br w:val="nil"/>
                    <w:tr2bl w:val="nil"/>
                  </w:tcBorders>
                  <w:shd w:val="clear" w:color="auto" w:fill="auto"/>
                  <w:vAlign w:val="center"/>
                </w:tcPr>
                <w:p w14:paraId="24EE2C58">
                  <w:pPr>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1720030B">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50~60</w:t>
                  </w:r>
                </w:p>
              </w:tc>
              <w:tc>
                <w:tcPr>
                  <w:tcW w:w="798" w:type="pct"/>
                  <w:tcBorders>
                    <w:right w:val="single" w:color="auto" w:sz="4" w:space="0"/>
                    <w:tl2br w:val="nil"/>
                    <w:tr2bl w:val="nil"/>
                  </w:tcBorders>
                  <w:vAlign w:val="center"/>
                </w:tcPr>
                <w:p w14:paraId="0A5AB1BB">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60</w:t>
                  </w:r>
                </w:p>
              </w:tc>
              <w:tc>
                <w:tcPr>
                  <w:tcW w:w="628" w:type="pct"/>
                  <w:tcBorders>
                    <w:left w:val="single" w:color="auto" w:sz="4" w:space="0"/>
                    <w:tl2br w:val="nil"/>
                    <w:tr2bl w:val="nil"/>
                  </w:tcBorders>
                  <w:vAlign w:val="center"/>
                </w:tcPr>
                <w:p w14:paraId="1493D247">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固份</w:t>
                  </w:r>
                </w:p>
              </w:tc>
            </w:tr>
            <w:tr w14:paraId="670DC60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10C27DF0">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42A8843B">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w:t>
                  </w:r>
                </w:p>
              </w:tc>
              <w:tc>
                <w:tcPr>
                  <w:tcW w:w="488" w:type="pct"/>
                  <w:tcBorders>
                    <w:tl2br w:val="nil"/>
                    <w:tr2bl w:val="nil"/>
                  </w:tcBorders>
                  <w:shd w:val="clear" w:color="auto" w:fill="auto"/>
                  <w:vAlign w:val="center"/>
                </w:tcPr>
                <w:p w14:paraId="38353217">
                  <w:pPr>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069B01A3">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10~15</w:t>
                  </w:r>
                </w:p>
              </w:tc>
              <w:tc>
                <w:tcPr>
                  <w:tcW w:w="798" w:type="pct"/>
                  <w:tcBorders>
                    <w:right w:val="single" w:color="auto" w:sz="4" w:space="0"/>
                    <w:tl2br w:val="nil"/>
                    <w:tr2bl w:val="nil"/>
                  </w:tcBorders>
                  <w:vAlign w:val="center"/>
                </w:tcPr>
                <w:p w14:paraId="3DF2602A">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12</w:t>
                  </w:r>
                </w:p>
              </w:tc>
              <w:tc>
                <w:tcPr>
                  <w:tcW w:w="628" w:type="pct"/>
                  <w:tcBorders>
                    <w:left w:val="single" w:color="auto" w:sz="4" w:space="0"/>
                    <w:tl2br w:val="nil"/>
                    <w:tr2bl w:val="nil"/>
                  </w:tcBorders>
                  <w:vAlign w:val="center"/>
                </w:tcPr>
                <w:p w14:paraId="76908651">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007F89C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4AA89079">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49F026A4">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钛白粉（二氧化钛）</w:t>
                  </w:r>
                </w:p>
              </w:tc>
              <w:tc>
                <w:tcPr>
                  <w:tcW w:w="488" w:type="pct"/>
                  <w:tcBorders>
                    <w:tl2br w:val="nil"/>
                    <w:tr2bl w:val="nil"/>
                  </w:tcBorders>
                  <w:shd w:val="clear" w:color="auto" w:fill="auto"/>
                  <w:vAlign w:val="center"/>
                </w:tcPr>
                <w:p w14:paraId="1C158F02">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7EC6FF24">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15~20</w:t>
                  </w:r>
                </w:p>
              </w:tc>
              <w:tc>
                <w:tcPr>
                  <w:tcW w:w="798" w:type="pct"/>
                  <w:tcBorders>
                    <w:right w:val="single" w:color="auto" w:sz="4" w:space="0"/>
                    <w:tl2br w:val="nil"/>
                    <w:tr2bl w:val="nil"/>
                  </w:tcBorders>
                  <w:vAlign w:val="center"/>
                </w:tcPr>
                <w:p w14:paraId="3440D7BB">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628" w:type="pct"/>
                  <w:tcBorders>
                    <w:left w:val="single" w:color="auto" w:sz="4" w:space="0"/>
                    <w:tl2br w:val="nil"/>
                    <w:tr2bl w:val="nil"/>
                  </w:tcBorders>
                  <w:vAlign w:val="center"/>
                </w:tcPr>
                <w:p w14:paraId="758E5C9F">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固份</w:t>
                  </w:r>
                </w:p>
              </w:tc>
            </w:tr>
            <w:tr w14:paraId="0007383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63A09B60">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769F0A63">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二丙二醇丁醚</w:t>
                  </w:r>
                </w:p>
              </w:tc>
              <w:tc>
                <w:tcPr>
                  <w:tcW w:w="488" w:type="pct"/>
                  <w:tcBorders>
                    <w:tl2br w:val="nil"/>
                    <w:tr2bl w:val="nil"/>
                  </w:tcBorders>
                  <w:shd w:val="clear" w:color="auto" w:fill="auto"/>
                  <w:vAlign w:val="center"/>
                </w:tcPr>
                <w:p w14:paraId="5705DA23">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1A45E9B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2~5</w:t>
                  </w:r>
                </w:p>
              </w:tc>
              <w:tc>
                <w:tcPr>
                  <w:tcW w:w="798" w:type="pct"/>
                  <w:tcBorders>
                    <w:right w:val="single" w:color="auto" w:sz="4" w:space="0"/>
                    <w:tl2br w:val="nil"/>
                    <w:tr2bl w:val="nil"/>
                  </w:tcBorders>
                  <w:vAlign w:val="center"/>
                </w:tcPr>
                <w:p w14:paraId="6CD16AFA">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628" w:type="pct"/>
                  <w:tcBorders>
                    <w:left w:val="single" w:color="auto" w:sz="4" w:space="0"/>
                    <w:tl2br w:val="nil"/>
                    <w:tr2bl w:val="nil"/>
                  </w:tcBorders>
                  <w:vAlign w:val="center"/>
                </w:tcPr>
                <w:p w14:paraId="776129B6">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挥发份</w:t>
                  </w:r>
                </w:p>
              </w:tc>
            </w:tr>
            <w:tr w14:paraId="3CC4789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105B7B1A">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285B4A45">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有机硅助剂</w:t>
                  </w:r>
                </w:p>
              </w:tc>
              <w:tc>
                <w:tcPr>
                  <w:tcW w:w="488" w:type="pct"/>
                  <w:tcBorders>
                    <w:tl2br w:val="nil"/>
                    <w:tr2bl w:val="nil"/>
                  </w:tcBorders>
                  <w:shd w:val="clear" w:color="auto" w:fill="auto"/>
                  <w:vAlign w:val="center"/>
                </w:tcPr>
                <w:p w14:paraId="25777119">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5CB35F5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1~3</w:t>
                  </w:r>
                </w:p>
              </w:tc>
              <w:tc>
                <w:tcPr>
                  <w:tcW w:w="798" w:type="pct"/>
                  <w:tcBorders>
                    <w:right w:val="single" w:color="auto" w:sz="4" w:space="0"/>
                    <w:tl2br w:val="nil"/>
                    <w:tr2bl w:val="nil"/>
                  </w:tcBorders>
                  <w:vAlign w:val="center"/>
                </w:tcPr>
                <w:p w14:paraId="03698F8E">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628" w:type="pct"/>
                  <w:tcBorders>
                    <w:left w:val="single" w:color="auto" w:sz="4" w:space="0"/>
                    <w:tl2br w:val="nil"/>
                    <w:tr2bl w:val="nil"/>
                  </w:tcBorders>
                  <w:vAlign w:val="center"/>
                </w:tcPr>
                <w:p w14:paraId="50ED5402">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挥发份</w:t>
                  </w:r>
                </w:p>
              </w:tc>
            </w:tr>
            <w:tr w14:paraId="4914852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restart"/>
                  <w:tcBorders>
                    <w:tl2br w:val="nil"/>
                    <w:tr2bl w:val="nil"/>
                  </w:tcBorders>
                  <w:vAlign w:val="center"/>
                </w:tcPr>
                <w:p w14:paraId="4851B79A">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稀释剂</w:t>
                  </w:r>
                </w:p>
              </w:tc>
              <w:tc>
                <w:tcPr>
                  <w:tcW w:w="1599" w:type="pct"/>
                  <w:tcBorders>
                    <w:tl2br w:val="nil"/>
                    <w:tr2bl w:val="nil"/>
                  </w:tcBorders>
                  <w:vAlign w:val="center"/>
                </w:tcPr>
                <w:p w14:paraId="64F4BC0C">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二甲苯</w:t>
                  </w:r>
                </w:p>
              </w:tc>
              <w:tc>
                <w:tcPr>
                  <w:tcW w:w="488" w:type="pct"/>
                  <w:tcBorders>
                    <w:tl2br w:val="nil"/>
                    <w:tr2bl w:val="nil"/>
                  </w:tcBorders>
                  <w:shd w:val="clear" w:color="auto" w:fill="auto"/>
                  <w:vAlign w:val="center"/>
                </w:tcPr>
                <w:p w14:paraId="44702376">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5C152558">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45</w:t>
                  </w:r>
                </w:p>
              </w:tc>
              <w:tc>
                <w:tcPr>
                  <w:tcW w:w="798" w:type="pct"/>
                  <w:tcBorders>
                    <w:right w:val="single" w:color="auto" w:sz="4" w:space="0"/>
                    <w:tl2br w:val="nil"/>
                    <w:tr2bl w:val="nil"/>
                  </w:tcBorders>
                  <w:shd w:val="clear" w:color="auto" w:fill="auto"/>
                  <w:vAlign w:val="center"/>
                </w:tcPr>
                <w:p w14:paraId="729D2ED7">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45</w:t>
                  </w:r>
                </w:p>
              </w:tc>
              <w:tc>
                <w:tcPr>
                  <w:tcW w:w="628" w:type="pct"/>
                  <w:tcBorders>
                    <w:left w:val="single" w:color="auto" w:sz="4" w:space="0"/>
                    <w:tl2br w:val="nil"/>
                    <w:tr2bl w:val="nil"/>
                  </w:tcBorders>
                  <w:shd w:val="clear" w:color="auto" w:fill="auto"/>
                  <w:vAlign w:val="center"/>
                </w:tcPr>
                <w:p w14:paraId="6EF0D7CA">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挥发份</w:t>
                  </w:r>
                </w:p>
              </w:tc>
            </w:tr>
            <w:tr w14:paraId="7245F8A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6CAB0391">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3F6469C3">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乙酸丁酯</w:t>
                  </w:r>
                </w:p>
              </w:tc>
              <w:tc>
                <w:tcPr>
                  <w:tcW w:w="488" w:type="pct"/>
                  <w:tcBorders>
                    <w:tl2br w:val="nil"/>
                    <w:tr2bl w:val="nil"/>
                  </w:tcBorders>
                  <w:shd w:val="clear" w:color="auto" w:fill="auto"/>
                  <w:vAlign w:val="center"/>
                </w:tcPr>
                <w:p w14:paraId="4E437561">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2B7D0E5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45</w:t>
                  </w:r>
                </w:p>
              </w:tc>
              <w:tc>
                <w:tcPr>
                  <w:tcW w:w="798" w:type="pct"/>
                  <w:tcBorders>
                    <w:right w:val="single" w:color="auto" w:sz="4" w:space="0"/>
                    <w:tl2br w:val="nil"/>
                    <w:tr2bl w:val="nil"/>
                  </w:tcBorders>
                  <w:shd w:val="clear" w:color="auto" w:fill="auto"/>
                  <w:vAlign w:val="center"/>
                </w:tcPr>
                <w:p w14:paraId="0E3FA888">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45</w:t>
                  </w:r>
                </w:p>
              </w:tc>
              <w:tc>
                <w:tcPr>
                  <w:tcW w:w="628" w:type="pct"/>
                  <w:tcBorders>
                    <w:left w:val="single" w:color="auto" w:sz="4" w:space="0"/>
                    <w:tl2br w:val="nil"/>
                    <w:tr2bl w:val="nil"/>
                  </w:tcBorders>
                  <w:shd w:val="clear" w:color="auto" w:fill="auto"/>
                  <w:vAlign w:val="center"/>
                </w:tcPr>
                <w:p w14:paraId="4856BC34">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挥发份</w:t>
                  </w:r>
                </w:p>
              </w:tc>
            </w:tr>
            <w:tr w14:paraId="79D5B40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76" w:hRule="atLeast"/>
                <w:jc w:val="center"/>
              </w:trPr>
              <w:tc>
                <w:tcPr>
                  <w:tcW w:w="748" w:type="pct"/>
                  <w:vMerge w:val="continue"/>
                  <w:tcBorders>
                    <w:tl2br w:val="nil"/>
                    <w:tr2bl w:val="nil"/>
                  </w:tcBorders>
                  <w:vAlign w:val="center"/>
                </w:tcPr>
                <w:p w14:paraId="0FCDE70C">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1FF5DA48">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环己酮</w:t>
                  </w:r>
                </w:p>
              </w:tc>
              <w:tc>
                <w:tcPr>
                  <w:tcW w:w="488" w:type="pct"/>
                  <w:tcBorders>
                    <w:tl2br w:val="nil"/>
                    <w:tr2bl w:val="nil"/>
                  </w:tcBorders>
                  <w:shd w:val="clear" w:color="auto" w:fill="auto"/>
                  <w:vAlign w:val="center"/>
                </w:tcPr>
                <w:p w14:paraId="07D368E9">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42C1B8AA">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798" w:type="pct"/>
                  <w:tcBorders>
                    <w:right w:val="single" w:color="auto" w:sz="4" w:space="0"/>
                    <w:tl2br w:val="nil"/>
                    <w:tr2bl w:val="nil"/>
                  </w:tcBorders>
                  <w:shd w:val="clear" w:color="auto" w:fill="auto"/>
                  <w:vAlign w:val="center"/>
                </w:tcPr>
                <w:p w14:paraId="062C4639">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628" w:type="pct"/>
                  <w:tcBorders>
                    <w:left w:val="single" w:color="auto" w:sz="4" w:space="0"/>
                    <w:tl2br w:val="nil"/>
                    <w:tr2bl w:val="nil"/>
                  </w:tcBorders>
                  <w:shd w:val="clear" w:color="auto" w:fill="auto"/>
                  <w:vAlign w:val="center"/>
                </w:tcPr>
                <w:p w14:paraId="5BBFDF17">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挥发份</w:t>
                  </w:r>
                </w:p>
              </w:tc>
            </w:tr>
            <w:tr w14:paraId="3489B7C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restart"/>
                  <w:tcBorders>
                    <w:tl2br w:val="nil"/>
                    <w:tr2bl w:val="nil"/>
                  </w:tcBorders>
                  <w:vAlign w:val="center"/>
                </w:tcPr>
                <w:p w14:paraId="432247C1">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过氧化甲</w:t>
                  </w:r>
                </w:p>
                <w:p w14:paraId="74F94E81">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乙酮（固化剂）</w:t>
                  </w:r>
                </w:p>
              </w:tc>
              <w:tc>
                <w:tcPr>
                  <w:tcW w:w="1599" w:type="pct"/>
                  <w:tcBorders>
                    <w:tl2br w:val="nil"/>
                    <w:tr2bl w:val="nil"/>
                  </w:tcBorders>
                  <w:vAlign w:val="center"/>
                </w:tcPr>
                <w:p w14:paraId="1CF124D0">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过氧化甲基乙基甲酮</w:t>
                  </w:r>
                </w:p>
              </w:tc>
              <w:tc>
                <w:tcPr>
                  <w:tcW w:w="488" w:type="pct"/>
                  <w:tcBorders>
                    <w:tl2br w:val="nil"/>
                    <w:tr2bl w:val="nil"/>
                  </w:tcBorders>
                  <w:shd w:val="clear" w:color="auto" w:fill="auto"/>
                  <w:vAlign w:val="center"/>
                </w:tcPr>
                <w:p w14:paraId="0EAA0D34">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7C907A0F">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35~45</w:t>
                  </w:r>
                </w:p>
              </w:tc>
              <w:tc>
                <w:tcPr>
                  <w:tcW w:w="798" w:type="pct"/>
                  <w:tcBorders>
                    <w:right w:val="single" w:color="auto" w:sz="4" w:space="0"/>
                    <w:tl2br w:val="nil"/>
                    <w:tr2bl w:val="nil"/>
                  </w:tcBorders>
                  <w:vAlign w:val="center"/>
                </w:tcPr>
                <w:p w14:paraId="7550CA65">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40</w:t>
                  </w:r>
                </w:p>
              </w:tc>
              <w:tc>
                <w:tcPr>
                  <w:tcW w:w="628" w:type="pct"/>
                  <w:tcBorders>
                    <w:left w:val="single" w:color="auto" w:sz="4" w:space="0"/>
                    <w:tl2br w:val="nil"/>
                    <w:tr2bl w:val="nil"/>
                  </w:tcBorders>
                  <w:vAlign w:val="center"/>
                </w:tcPr>
                <w:p w14:paraId="401C9EBA">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2C896D5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continue"/>
                  <w:tcBorders>
                    <w:tl2br w:val="nil"/>
                    <w:tr2bl w:val="nil"/>
                  </w:tcBorders>
                  <w:vAlign w:val="center"/>
                </w:tcPr>
                <w:p w14:paraId="64780CD7">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2BCEB02F">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邻苯二甲酸二甲酯</w:t>
                  </w:r>
                </w:p>
              </w:tc>
              <w:tc>
                <w:tcPr>
                  <w:tcW w:w="488" w:type="pct"/>
                  <w:tcBorders>
                    <w:tl2br w:val="nil"/>
                    <w:tr2bl w:val="nil"/>
                  </w:tcBorders>
                  <w:shd w:val="clear" w:color="auto" w:fill="auto"/>
                  <w:vAlign w:val="center"/>
                </w:tcPr>
                <w:p w14:paraId="6B4E571D">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7D70EDED">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35~45</w:t>
                  </w:r>
                </w:p>
              </w:tc>
              <w:tc>
                <w:tcPr>
                  <w:tcW w:w="798" w:type="pct"/>
                  <w:tcBorders>
                    <w:right w:val="single" w:color="auto" w:sz="4" w:space="0"/>
                    <w:tl2br w:val="nil"/>
                    <w:tr2bl w:val="nil"/>
                  </w:tcBorders>
                  <w:vAlign w:val="center"/>
                </w:tcPr>
                <w:p w14:paraId="49793F0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40</w:t>
                  </w:r>
                </w:p>
              </w:tc>
              <w:tc>
                <w:tcPr>
                  <w:tcW w:w="628" w:type="pct"/>
                  <w:tcBorders>
                    <w:left w:val="single" w:color="auto" w:sz="4" w:space="0"/>
                    <w:tl2br w:val="nil"/>
                    <w:tr2bl w:val="nil"/>
                  </w:tcBorders>
                  <w:vAlign w:val="center"/>
                </w:tcPr>
                <w:p w14:paraId="78139F49">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69AB1F0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continue"/>
                  <w:tcBorders>
                    <w:tl2br w:val="nil"/>
                    <w:tr2bl w:val="nil"/>
                  </w:tcBorders>
                  <w:vAlign w:val="center"/>
                </w:tcPr>
                <w:p w14:paraId="7BD5AA97">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7FD5F298">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二乙二醇</w:t>
                  </w:r>
                </w:p>
              </w:tc>
              <w:tc>
                <w:tcPr>
                  <w:tcW w:w="488" w:type="pct"/>
                  <w:tcBorders>
                    <w:tl2br w:val="nil"/>
                    <w:tr2bl w:val="nil"/>
                  </w:tcBorders>
                  <w:shd w:val="clear" w:color="auto" w:fill="auto"/>
                  <w:vAlign w:val="center"/>
                </w:tcPr>
                <w:p w14:paraId="0220E821">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4D658CFC">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10~20</w:t>
                  </w:r>
                </w:p>
              </w:tc>
              <w:tc>
                <w:tcPr>
                  <w:tcW w:w="798" w:type="pct"/>
                  <w:tcBorders>
                    <w:right w:val="single" w:color="auto" w:sz="4" w:space="0"/>
                    <w:tl2br w:val="nil"/>
                    <w:tr2bl w:val="nil"/>
                  </w:tcBorders>
                  <w:vAlign w:val="center"/>
                </w:tcPr>
                <w:p w14:paraId="1D831509">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628" w:type="pct"/>
                  <w:tcBorders>
                    <w:left w:val="single" w:color="auto" w:sz="4" w:space="0"/>
                    <w:tl2br w:val="nil"/>
                    <w:tr2bl w:val="nil"/>
                  </w:tcBorders>
                  <w:vAlign w:val="center"/>
                </w:tcPr>
                <w:p w14:paraId="125C46F4">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7E8B3C7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continue"/>
                  <w:tcBorders>
                    <w:tl2br w:val="nil"/>
                    <w:tr2bl w:val="nil"/>
                  </w:tcBorders>
                  <w:vAlign w:val="center"/>
                </w:tcPr>
                <w:p w14:paraId="0EDFC86A">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4C15CF67">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甲基乙基甲酮</w:t>
                  </w:r>
                </w:p>
              </w:tc>
              <w:tc>
                <w:tcPr>
                  <w:tcW w:w="488" w:type="pct"/>
                  <w:tcBorders>
                    <w:tl2br w:val="nil"/>
                    <w:tr2bl w:val="nil"/>
                  </w:tcBorders>
                  <w:shd w:val="clear" w:color="auto" w:fill="auto"/>
                  <w:vAlign w:val="center"/>
                </w:tcPr>
                <w:p w14:paraId="48CC0795">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2E7DC81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3~7</w:t>
                  </w:r>
                </w:p>
              </w:tc>
              <w:tc>
                <w:tcPr>
                  <w:tcW w:w="798" w:type="pct"/>
                  <w:tcBorders>
                    <w:right w:val="single" w:color="auto" w:sz="4" w:space="0"/>
                    <w:tl2br w:val="nil"/>
                    <w:tr2bl w:val="nil"/>
                  </w:tcBorders>
                  <w:vAlign w:val="center"/>
                </w:tcPr>
                <w:p w14:paraId="7523C460">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628" w:type="pct"/>
                  <w:tcBorders>
                    <w:left w:val="single" w:color="auto" w:sz="4" w:space="0"/>
                    <w:tl2br w:val="nil"/>
                    <w:tr2bl w:val="nil"/>
                  </w:tcBorders>
                  <w:vAlign w:val="center"/>
                </w:tcPr>
                <w:p w14:paraId="25433F8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17A2E73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continue"/>
                  <w:tcBorders>
                    <w:tl2br w:val="nil"/>
                    <w:tr2bl w:val="nil"/>
                  </w:tcBorders>
                  <w:vAlign w:val="center"/>
                </w:tcPr>
                <w:p w14:paraId="421DBEDD">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72FBE734">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过氧化氢</w:t>
                  </w:r>
                </w:p>
              </w:tc>
              <w:tc>
                <w:tcPr>
                  <w:tcW w:w="488" w:type="pct"/>
                  <w:tcBorders>
                    <w:tl2br w:val="nil"/>
                    <w:tr2bl w:val="nil"/>
                  </w:tcBorders>
                  <w:shd w:val="clear" w:color="auto" w:fill="auto"/>
                  <w:vAlign w:val="center"/>
                </w:tcPr>
                <w:p w14:paraId="6CC4A45C">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5CCDCC06">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798" w:type="pct"/>
                  <w:tcBorders>
                    <w:right w:val="single" w:color="auto" w:sz="4" w:space="0"/>
                    <w:tl2br w:val="nil"/>
                    <w:tr2bl w:val="nil"/>
                  </w:tcBorders>
                  <w:vAlign w:val="center"/>
                </w:tcPr>
                <w:p w14:paraId="29CC658E">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628" w:type="pct"/>
                  <w:tcBorders>
                    <w:left w:val="single" w:color="auto" w:sz="4" w:space="0"/>
                    <w:tl2br w:val="nil"/>
                    <w:tr2bl w:val="nil"/>
                  </w:tcBorders>
                  <w:vAlign w:val="center"/>
                </w:tcPr>
                <w:p w14:paraId="5D860911">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4BD9DFF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restart"/>
                  <w:tcBorders>
                    <w:tl2br w:val="nil"/>
                    <w:tr2bl w:val="nil"/>
                  </w:tcBorders>
                  <w:vAlign w:val="center"/>
                </w:tcPr>
                <w:p w14:paraId="13397DA0">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促进剂</w:t>
                  </w:r>
                </w:p>
              </w:tc>
              <w:tc>
                <w:tcPr>
                  <w:tcW w:w="1599" w:type="pct"/>
                  <w:tcBorders>
                    <w:tl2br w:val="nil"/>
                    <w:tr2bl w:val="nil"/>
                  </w:tcBorders>
                  <w:vAlign w:val="center"/>
                </w:tcPr>
                <w:p w14:paraId="09411D7F">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二甘醇</w:t>
                  </w:r>
                </w:p>
              </w:tc>
              <w:tc>
                <w:tcPr>
                  <w:tcW w:w="488" w:type="pct"/>
                  <w:tcBorders>
                    <w:tl2br w:val="nil"/>
                    <w:tr2bl w:val="nil"/>
                  </w:tcBorders>
                  <w:shd w:val="clear" w:color="auto" w:fill="auto"/>
                  <w:vAlign w:val="center"/>
                </w:tcPr>
                <w:p w14:paraId="66964E4D">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5DB3CF12">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56</w:t>
                  </w:r>
                </w:p>
              </w:tc>
              <w:tc>
                <w:tcPr>
                  <w:tcW w:w="1351" w:type="dxa"/>
                  <w:tcBorders>
                    <w:right w:val="single" w:color="auto" w:sz="4" w:space="0"/>
                    <w:tl2br w:val="nil"/>
                    <w:tr2bl w:val="nil"/>
                  </w:tcBorders>
                  <w:vAlign w:val="center"/>
                </w:tcPr>
                <w:p w14:paraId="731A214C">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56</w:t>
                  </w:r>
                </w:p>
              </w:tc>
              <w:tc>
                <w:tcPr>
                  <w:tcW w:w="628" w:type="pct"/>
                  <w:tcBorders>
                    <w:left w:val="single" w:color="auto" w:sz="4" w:space="0"/>
                    <w:tl2br w:val="nil"/>
                    <w:tr2bl w:val="nil"/>
                  </w:tcBorders>
                  <w:vAlign w:val="center"/>
                </w:tcPr>
                <w:p w14:paraId="61D2B2AD">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r>
            <w:tr w14:paraId="30E29D4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continue"/>
                  <w:tcBorders>
                    <w:tl2br w:val="nil"/>
                    <w:tr2bl w:val="nil"/>
                  </w:tcBorders>
                  <w:vAlign w:val="center"/>
                </w:tcPr>
                <w:p w14:paraId="5D82B6B6">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42C7A871">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醋酸钾</w:t>
                  </w:r>
                </w:p>
              </w:tc>
              <w:tc>
                <w:tcPr>
                  <w:tcW w:w="488" w:type="pct"/>
                  <w:tcBorders>
                    <w:tl2br w:val="nil"/>
                    <w:tr2bl w:val="nil"/>
                  </w:tcBorders>
                  <w:shd w:val="clear" w:color="auto" w:fill="auto"/>
                  <w:vAlign w:val="center"/>
                </w:tcPr>
                <w:p w14:paraId="1B46E256">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4E69D3EC">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36</w:t>
                  </w:r>
                </w:p>
              </w:tc>
              <w:tc>
                <w:tcPr>
                  <w:tcW w:w="1351" w:type="dxa"/>
                  <w:tcBorders>
                    <w:right w:val="single" w:color="auto" w:sz="4" w:space="0"/>
                    <w:tl2br w:val="nil"/>
                    <w:tr2bl w:val="nil"/>
                  </w:tcBorders>
                  <w:vAlign w:val="center"/>
                </w:tcPr>
                <w:p w14:paraId="6A6CD173">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36</w:t>
                  </w:r>
                </w:p>
              </w:tc>
              <w:tc>
                <w:tcPr>
                  <w:tcW w:w="628" w:type="pct"/>
                  <w:tcBorders>
                    <w:left w:val="single" w:color="auto" w:sz="4" w:space="0"/>
                    <w:tl2br w:val="nil"/>
                    <w:tr2bl w:val="nil"/>
                  </w:tcBorders>
                  <w:vAlign w:val="center"/>
                </w:tcPr>
                <w:p w14:paraId="4D0A1059">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r>
            <w:tr w14:paraId="632399C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continue"/>
                  <w:tcBorders>
                    <w:tl2br w:val="nil"/>
                    <w:tr2bl w:val="nil"/>
                  </w:tcBorders>
                  <w:vAlign w:val="center"/>
                </w:tcPr>
                <w:p w14:paraId="7892E26F">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6CE599DC">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异辛酸铜</w:t>
                  </w:r>
                </w:p>
              </w:tc>
              <w:tc>
                <w:tcPr>
                  <w:tcW w:w="488" w:type="pct"/>
                  <w:tcBorders>
                    <w:tl2br w:val="nil"/>
                    <w:tr2bl w:val="nil"/>
                  </w:tcBorders>
                  <w:shd w:val="clear" w:color="auto" w:fill="auto"/>
                  <w:vAlign w:val="center"/>
                </w:tcPr>
                <w:p w14:paraId="7274440D">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16186F06">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351" w:type="dxa"/>
                  <w:tcBorders>
                    <w:right w:val="single" w:color="auto" w:sz="4" w:space="0"/>
                    <w:tl2br w:val="nil"/>
                    <w:tr2bl w:val="nil"/>
                  </w:tcBorders>
                  <w:vAlign w:val="center"/>
                </w:tcPr>
                <w:p w14:paraId="779DEA64">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628" w:type="pct"/>
                  <w:tcBorders>
                    <w:left w:val="single" w:color="auto" w:sz="4" w:space="0"/>
                    <w:tl2br w:val="nil"/>
                    <w:tr2bl w:val="nil"/>
                  </w:tcBorders>
                  <w:vAlign w:val="center"/>
                </w:tcPr>
                <w:p w14:paraId="239EB4C6">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r>
            <w:tr w14:paraId="0E12F08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5" w:hRule="atLeast"/>
                <w:jc w:val="center"/>
              </w:trPr>
              <w:tc>
                <w:tcPr>
                  <w:tcW w:w="748" w:type="pct"/>
                  <w:vMerge w:val="continue"/>
                  <w:tcBorders>
                    <w:tl2br w:val="nil"/>
                    <w:tr2bl w:val="nil"/>
                  </w:tcBorders>
                  <w:vAlign w:val="center"/>
                </w:tcPr>
                <w:p w14:paraId="55500050">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p>
              </w:tc>
              <w:tc>
                <w:tcPr>
                  <w:tcW w:w="1599" w:type="pct"/>
                  <w:tcBorders>
                    <w:tl2br w:val="nil"/>
                    <w:tr2bl w:val="nil"/>
                  </w:tcBorders>
                  <w:vAlign w:val="center"/>
                </w:tcPr>
                <w:p w14:paraId="2D03CF1E">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异辛酸钴</w:t>
                  </w:r>
                </w:p>
              </w:tc>
              <w:tc>
                <w:tcPr>
                  <w:tcW w:w="488" w:type="pct"/>
                  <w:tcBorders>
                    <w:tl2br w:val="nil"/>
                    <w:tr2bl w:val="nil"/>
                  </w:tcBorders>
                  <w:shd w:val="clear" w:color="auto" w:fill="auto"/>
                  <w:vAlign w:val="center"/>
                </w:tcPr>
                <w:p w14:paraId="094AD028">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738" w:type="pct"/>
                  <w:tcBorders>
                    <w:tl2br w:val="nil"/>
                    <w:tr2bl w:val="nil"/>
                  </w:tcBorders>
                  <w:vAlign w:val="center"/>
                </w:tcPr>
                <w:p w14:paraId="2903DA04">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c>
                <w:tcPr>
                  <w:tcW w:w="1351" w:type="dxa"/>
                  <w:tcBorders>
                    <w:right w:val="single" w:color="auto" w:sz="4" w:space="0"/>
                    <w:tl2br w:val="nil"/>
                    <w:tr2bl w:val="nil"/>
                  </w:tcBorders>
                  <w:vAlign w:val="center"/>
                </w:tcPr>
                <w:p w14:paraId="67660EB8">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w:t>
                  </w:r>
                </w:p>
              </w:tc>
              <w:tc>
                <w:tcPr>
                  <w:tcW w:w="628" w:type="pct"/>
                  <w:tcBorders>
                    <w:left w:val="single" w:color="auto" w:sz="4" w:space="0"/>
                    <w:tl2br w:val="nil"/>
                    <w:tr2bl w:val="nil"/>
                  </w:tcBorders>
                  <w:vAlign w:val="center"/>
                </w:tcPr>
                <w:p w14:paraId="1BD19743">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r>
            <w:tr w14:paraId="7FD656A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48" w:type="pct"/>
                  <w:tcBorders>
                    <w:tl2br w:val="nil"/>
                    <w:tr2bl w:val="nil"/>
                  </w:tcBorders>
                  <w:vAlign w:val="center"/>
                </w:tcPr>
                <w:p w14:paraId="4E24D88F">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胶棒</w:t>
                  </w:r>
                </w:p>
              </w:tc>
              <w:tc>
                <w:tcPr>
                  <w:tcW w:w="4251" w:type="pct"/>
                  <w:gridSpan w:val="5"/>
                  <w:tcBorders>
                    <w:tl2br w:val="nil"/>
                    <w:tr2bl w:val="nil"/>
                  </w:tcBorders>
                  <w:vAlign w:val="center"/>
                </w:tcPr>
                <w:p w14:paraId="1FD0E9C6">
                  <w:pPr>
                    <w:widowControl/>
                    <w:adjustRightInd/>
                    <w:snapToGrid/>
                    <w:spacing w:line="240" w:lineRule="auto"/>
                    <w:ind w:firstLine="0" w:firstLineChars="0"/>
                    <w:jc w:val="both"/>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项目胶棒为EVA热熔胶棒，根据《EVA热熔胶的主要成分及其对性能的影响》（朱万章，《粘接》1999年1期），EVA热熔胶</w:t>
                  </w:r>
                  <w:r>
                    <w:rPr>
                      <w:rFonts w:hint="eastAsia" w:cs="Times New Roman"/>
                      <w:color w:val="000000" w:themeColor="text1"/>
                      <w:sz w:val="21"/>
                      <w:szCs w:val="21"/>
                      <w:lang w:val="en-US" w:eastAsia="zh-CN"/>
                      <w14:textFill>
                        <w14:solidFill>
                          <w14:schemeClr w14:val="tx1"/>
                        </w14:solidFill>
                      </w14:textFill>
                    </w:rPr>
                    <w:t>主要成分包括：EVA树脂（乙烯和醋酸乙烯的共聚物）、蜡类、抗氧化剂、填料（碳酸钙、滑石粉等）。本项目采用的EVA热熔胶棒属于低VOCs含量胶粘剂。</w:t>
                  </w:r>
                </w:p>
              </w:tc>
            </w:tr>
          </w:tbl>
          <w:p w14:paraId="518B40BF">
            <w:pPr>
              <w:pStyle w:val="48"/>
              <w:keepNext w:val="0"/>
              <w:keepLines w:val="0"/>
              <w:pageBreakBefore w:val="0"/>
              <w:widowControl w:val="0"/>
              <w:kinsoku/>
              <w:wordWrap/>
              <w:overflowPunct/>
              <w:topLinePunct w:val="0"/>
              <w:autoSpaceDE/>
              <w:autoSpaceDN/>
              <w:bidi w:val="0"/>
              <w:adjustRightInd w:val="0"/>
              <w:snapToGrid w:val="0"/>
              <w:spacing w:before="157" w:beforeLines="50"/>
              <w:ind w:left="0" w:leftChars="0" w:firstLine="0" w:firstLineChars="0"/>
              <w:textAlignment w:val="auto"/>
              <w:rPr>
                <w:rFonts w:hint="eastAsia"/>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6、</w:t>
            </w:r>
            <w:r>
              <w:rPr>
                <w:rFonts w:hint="eastAsia"/>
                <w:b/>
                <w:bCs/>
                <w:color w:val="000000" w:themeColor="text1"/>
                <w14:textFill>
                  <w14:solidFill>
                    <w14:schemeClr w14:val="tx1"/>
                  </w14:solidFill>
                </w14:textFill>
              </w:rPr>
              <w:t>主要原辅材料主要理化性质</w:t>
            </w:r>
          </w:p>
          <w:p w14:paraId="75F3DC02">
            <w:pPr>
              <w:pStyle w:val="57"/>
              <w:numPr>
                <w:ilvl w:val="3"/>
                <w:numId w:val="19"/>
              </w:numPr>
              <w:rPr>
                <w:bCs/>
                <w:color w:val="000000" w:themeColor="text1"/>
                <w:lang w:eastAsia="zh-CN"/>
                <w14:textFill>
                  <w14:solidFill>
                    <w14:schemeClr w14:val="tx1"/>
                  </w14:solidFill>
                </w14:textFill>
              </w:rPr>
            </w:pPr>
            <w:r>
              <w:rPr>
                <w:color w:val="000000" w:themeColor="text1"/>
                <w:kern w:val="0"/>
                <w:sz w:val="21"/>
                <w:szCs w:val="21"/>
                <w:lang w:eastAsia="zh-CN" w:bidi="en-US"/>
                <w14:textFill>
                  <w14:solidFill>
                    <w14:schemeClr w14:val="tx1"/>
                  </w14:solidFill>
                </w14:textFill>
              </w:rPr>
              <w:t>项目原辅材料理化性质一览表</w:t>
            </w:r>
          </w:p>
          <w:tbl>
            <w:tblPr>
              <w:tblStyle w:val="36"/>
              <w:tblW w:w="4914"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5694"/>
              <w:gridCol w:w="1758"/>
            </w:tblGrid>
            <w:tr w14:paraId="567617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2202D85E">
                  <w:pPr>
                    <w:keepNext w:val="0"/>
                    <w:keepLines w:val="0"/>
                    <w:pageBreakBefore w:val="0"/>
                    <w:kinsoku/>
                    <w:wordWrap/>
                    <w:overflowPunct/>
                    <w:topLinePunct w:val="0"/>
                    <w:bidi w:val="0"/>
                    <w:spacing w:beforeAutospacing="0" w:afterAutospacing="0" w:line="240" w:lineRule="auto"/>
                    <w:ind w:left="0" w:leftChars="0" w:right="0" w:rightChars="0" w:firstLine="0" w:firstLineChars="0"/>
                    <w:jc w:val="center"/>
                    <w:rPr>
                      <w:rFonts w:eastAsia="黑体"/>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名称</w:t>
                  </w:r>
                </w:p>
              </w:tc>
              <w:tc>
                <w:tcPr>
                  <w:tcW w:w="3415" w:type="pct"/>
                  <w:tcBorders>
                    <w:top w:val="single" w:color="auto" w:sz="4" w:space="0"/>
                    <w:left w:val="single" w:color="auto" w:sz="4" w:space="0"/>
                    <w:bottom w:val="single" w:color="auto" w:sz="4" w:space="0"/>
                    <w:right w:val="single" w:color="auto" w:sz="4" w:space="0"/>
                  </w:tcBorders>
                  <w:vAlign w:val="center"/>
                </w:tcPr>
                <w:p w14:paraId="62334B5D">
                  <w:pPr>
                    <w:keepNext w:val="0"/>
                    <w:keepLines w:val="0"/>
                    <w:pageBreakBefore w:val="0"/>
                    <w:kinsoku/>
                    <w:wordWrap/>
                    <w:overflowPunct/>
                    <w:topLinePunct w:val="0"/>
                    <w:bidi w:val="0"/>
                    <w:spacing w:beforeAutospacing="0" w:afterAutospacing="0" w:line="240" w:lineRule="auto"/>
                    <w:ind w:left="0" w:leftChars="0" w:right="0" w:rightChars="0" w:firstLine="0" w:firstLineChars="0"/>
                    <w:jc w:val="center"/>
                    <w:rPr>
                      <w:rFonts w:eastAsia="黑体"/>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理化特性</w:t>
                  </w:r>
                </w:p>
              </w:tc>
              <w:tc>
                <w:tcPr>
                  <w:tcW w:w="970" w:type="pct"/>
                  <w:tcBorders>
                    <w:top w:val="single" w:color="auto" w:sz="4" w:space="0"/>
                    <w:left w:val="single" w:color="auto" w:sz="4" w:space="0"/>
                    <w:bottom w:val="single" w:color="auto" w:sz="4" w:space="0"/>
                    <w:right w:val="nil"/>
                  </w:tcBorders>
                  <w:vAlign w:val="center"/>
                </w:tcPr>
                <w:p w14:paraId="169F8A71">
                  <w:pPr>
                    <w:keepNext w:val="0"/>
                    <w:keepLines w:val="0"/>
                    <w:pageBreakBefore w:val="0"/>
                    <w:kinsoku/>
                    <w:wordWrap/>
                    <w:overflowPunct/>
                    <w:topLinePunct w:val="0"/>
                    <w:bidi w:val="0"/>
                    <w:spacing w:beforeAutospacing="0" w:afterAutospacing="0" w:line="240" w:lineRule="auto"/>
                    <w:ind w:left="0" w:leftChars="0" w:right="0" w:rightChars="0"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毒理毒性</w:t>
                  </w:r>
                </w:p>
              </w:tc>
            </w:tr>
            <w:tr w14:paraId="1916AE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5FB321BF">
                  <w:pPr>
                    <w:keepNext w:val="0"/>
                    <w:keepLines w:val="0"/>
                    <w:pageBreakBefore w:val="0"/>
                    <w:kinsoku/>
                    <w:wordWrap/>
                    <w:overflowPunct/>
                    <w:topLinePunct w:val="0"/>
                    <w:bidi w:val="0"/>
                    <w:spacing w:beforeAutospacing="0" w:afterAutospacing="0" w:line="240" w:lineRule="auto"/>
                    <w:ind w:left="0" w:leftChars="0" w:right="0" w:rightChars="0" w:firstLine="0" w:firstLineChars="0"/>
                    <w:jc w:val="center"/>
                    <w:rPr>
                      <w:color w:val="000000" w:themeColor="text1"/>
                      <w:sz w:val="21"/>
                      <w:szCs w:val="21"/>
                      <w14:textFill>
                        <w14:solidFill>
                          <w14:schemeClr w14:val="tx1"/>
                        </w14:solidFill>
                      </w14:textFill>
                    </w:rPr>
                  </w:pPr>
                  <w:bookmarkStart w:id="22" w:name="OLE_LINK38"/>
                  <w:r>
                    <w:rPr>
                      <w:rFonts w:hint="eastAsia"/>
                      <w:color w:val="000000" w:themeColor="text1"/>
                      <w:sz w:val="21"/>
                      <w:szCs w:val="21"/>
                      <w:lang w:val="en-US" w:eastAsia="zh-CN"/>
                      <w14:textFill>
                        <w14:solidFill>
                          <w14:schemeClr w14:val="tx1"/>
                        </w14:solidFill>
                      </w14:textFill>
                    </w:rPr>
                    <w:t>不饱和聚酯</w:t>
                  </w:r>
                  <w:r>
                    <w:rPr>
                      <w:color w:val="000000" w:themeColor="text1"/>
                      <w:sz w:val="21"/>
                      <w:szCs w:val="21"/>
                      <w14:textFill>
                        <w14:solidFill>
                          <w14:schemeClr w14:val="tx1"/>
                        </w14:solidFill>
                      </w14:textFill>
                    </w:rPr>
                    <w:t>树脂</w:t>
                  </w:r>
                  <w:bookmarkEnd w:id="22"/>
                </w:p>
              </w:tc>
              <w:tc>
                <w:tcPr>
                  <w:tcW w:w="3415" w:type="pct"/>
                  <w:tcBorders>
                    <w:top w:val="single" w:color="auto" w:sz="4" w:space="0"/>
                    <w:left w:val="single" w:color="auto" w:sz="4" w:space="0"/>
                    <w:bottom w:val="single" w:color="auto" w:sz="4" w:space="0"/>
                    <w:right w:val="single" w:color="auto" w:sz="4" w:space="0"/>
                  </w:tcBorders>
                  <w:vAlign w:val="center"/>
                </w:tcPr>
                <w:p w14:paraId="4B385483">
                  <w:pPr>
                    <w:keepNext w:val="0"/>
                    <w:keepLines w:val="0"/>
                    <w:pageBreakBefore w:val="0"/>
                    <w:kinsoku/>
                    <w:wordWrap/>
                    <w:overflowPunct/>
                    <w:topLinePunct w:val="0"/>
                    <w:autoSpaceDE w:val="0"/>
                    <w:autoSpaceDN w:val="0"/>
                    <w:bidi w:val="0"/>
                    <w:snapToGrid/>
                    <w:spacing w:beforeAutospacing="0" w:afterAutospacing="0" w:line="240" w:lineRule="auto"/>
                    <w:ind w:left="0" w:leftChars="0" w:right="0" w:rightChars="0" w:firstLine="0" w:firstLineChars="0"/>
                    <w:jc w:val="both"/>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一般是由不饱和二元酸二元醇或者饱和二元酸不饱和二元醇缩聚而成的具有酯键和不饱和双键的线型高分子化合物，经过交联单体或活性溶剂稀释形成的具有一定黏度的树脂溶液。是不饱和聚酯溶于苯乙烯的混合物，不饱和聚酯树脂的相对密度在</w:t>
                  </w:r>
                  <w:r>
                    <w:rPr>
                      <w:rFonts w:eastAsia="TimesNewRomanPSMT"/>
                      <w:color w:val="000000" w:themeColor="text1"/>
                      <w:kern w:val="0"/>
                      <w:sz w:val="21"/>
                      <w:szCs w:val="21"/>
                      <w14:textFill>
                        <w14:solidFill>
                          <w14:schemeClr w14:val="tx1"/>
                        </w14:solidFill>
                      </w14:textFill>
                    </w:rPr>
                    <w:t>1.11</w:t>
                  </w:r>
                  <w:r>
                    <w:rPr>
                      <w:color w:val="000000" w:themeColor="text1"/>
                      <w:kern w:val="0"/>
                      <w:sz w:val="21"/>
                      <w:szCs w:val="21"/>
                      <w14:textFill>
                        <w14:solidFill>
                          <w14:schemeClr w14:val="tx1"/>
                        </w14:solidFill>
                      </w14:textFill>
                    </w:rPr>
                    <w:t>～</w:t>
                  </w:r>
                  <w:r>
                    <w:rPr>
                      <w:rFonts w:eastAsia="TimesNewRomanPSMT"/>
                      <w:color w:val="000000" w:themeColor="text1"/>
                      <w:kern w:val="0"/>
                      <w:sz w:val="21"/>
                      <w:szCs w:val="21"/>
                      <w14:textFill>
                        <w14:solidFill>
                          <w14:schemeClr w14:val="tx1"/>
                        </w14:solidFill>
                      </w14:textFill>
                    </w:rPr>
                    <w:t>1.20</w:t>
                  </w:r>
                  <w:r>
                    <w:rPr>
                      <w:color w:val="000000" w:themeColor="text1"/>
                      <w:kern w:val="0"/>
                      <w:sz w:val="21"/>
                      <w:szCs w:val="21"/>
                      <w14:textFill>
                        <w14:solidFill>
                          <w14:schemeClr w14:val="tx1"/>
                        </w14:solidFill>
                      </w14:textFill>
                    </w:rPr>
                    <w:t>左右，具有较高的拉伸、弯曲、压缩性能，较好的耐水、稀酸、稀碱性能。</w:t>
                  </w:r>
                </w:p>
              </w:tc>
              <w:tc>
                <w:tcPr>
                  <w:tcW w:w="970" w:type="pct"/>
                  <w:tcBorders>
                    <w:top w:val="single" w:color="auto" w:sz="4" w:space="0"/>
                    <w:left w:val="single" w:color="auto" w:sz="4" w:space="0"/>
                    <w:bottom w:val="single" w:color="auto" w:sz="4" w:space="0"/>
                    <w:right w:val="nil"/>
                  </w:tcBorders>
                  <w:vAlign w:val="center"/>
                </w:tcPr>
                <w:p w14:paraId="0B8E950C">
                  <w:pPr>
                    <w:keepNext w:val="0"/>
                    <w:keepLines w:val="0"/>
                    <w:pageBreakBefore w:val="0"/>
                    <w:kinsoku/>
                    <w:wordWrap/>
                    <w:overflowPunct/>
                    <w:topLinePunct w:val="0"/>
                    <w:autoSpaceDE w:val="0"/>
                    <w:autoSpaceDN w:val="0"/>
                    <w:bidi w:val="0"/>
                    <w:snapToGrid/>
                    <w:spacing w:beforeAutospacing="0" w:afterAutospacing="0" w:line="240" w:lineRule="auto"/>
                    <w:ind w:left="0" w:leftChars="0" w:right="0" w:rightChars="0" w:firstLine="0" w:firstLineChars="0"/>
                    <w:jc w:val="center"/>
                    <w:rPr>
                      <w:rFonts w:hint="eastAsia"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w:t>
                  </w:r>
                </w:p>
              </w:tc>
            </w:tr>
            <w:tr w14:paraId="761A3B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5E8C8EEE">
                  <w:pPr>
                    <w:keepNext w:val="0"/>
                    <w:keepLines w:val="0"/>
                    <w:pageBreakBefore w:val="0"/>
                    <w:kinsoku/>
                    <w:wordWrap/>
                    <w:overflowPunct/>
                    <w:topLinePunct w:val="0"/>
                    <w:bidi w:val="0"/>
                    <w:spacing w:beforeAutospacing="0" w:afterAutospacing="0" w:line="240" w:lineRule="auto"/>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硅胶</w:t>
                  </w:r>
                </w:p>
              </w:tc>
              <w:tc>
                <w:tcPr>
                  <w:tcW w:w="3415" w:type="pct"/>
                  <w:tcBorders>
                    <w:top w:val="single" w:color="auto" w:sz="4" w:space="0"/>
                    <w:left w:val="single" w:color="auto" w:sz="4" w:space="0"/>
                    <w:bottom w:val="single" w:color="auto" w:sz="4" w:space="0"/>
                    <w:right w:val="single" w:color="auto" w:sz="4" w:space="0"/>
                  </w:tcBorders>
                  <w:vAlign w:val="center"/>
                </w:tcPr>
                <w:p w14:paraId="51541EA5">
                  <w:pPr>
                    <w:keepNext w:val="0"/>
                    <w:keepLines w:val="0"/>
                    <w:pageBreakBefore w:val="0"/>
                    <w:tabs>
                      <w:tab w:val="left" w:pos="453"/>
                    </w:tabs>
                    <w:kinsoku/>
                    <w:wordWrap/>
                    <w:overflowPunct/>
                    <w:topLinePunct w:val="0"/>
                    <w:bidi w:val="0"/>
                    <w:adjustRightInd/>
                    <w:snapToGrid/>
                    <w:spacing w:beforeAutospacing="0" w:afterAutospacing="0" w:line="240" w:lineRule="auto"/>
                    <w:ind w:left="0" w:leftChars="0" w:right="0" w:rightChars="0" w:firstLine="0" w:firstLineChars="0"/>
                    <w:jc w:val="both"/>
                    <w:rPr>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模具液体硅胶，是有机硅室温双组份模具胶</w:t>
                  </w:r>
                  <w:r>
                    <w:rPr>
                      <w:rFonts w:hint="eastAsia" w:ascii="Times New Roman" w:hAnsi="Times New Roman" w:eastAsia="宋体" w:cs="Times New Roman"/>
                      <w:color w:val="000000" w:themeColor="text1"/>
                      <w:sz w:val="21"/>
                      <w:szCs w:val="21"/>
                      <w14:textFill>
                        <w14:solidFill>
                          <w14:schemeClr w14:val="tx1"/>
                        </w14:solidFill>
                      </w14:textFill>
                    </w:rPr>
                    <w:t>，</w:t>
                  </w:r>
                  <w:r>
                    <w:rPr>
                      <w:rFonts w:ascii="Times New Roman" w:hAnsi="Times New Roman" w:eastAsia="宋体" w:cs="Times New Roman"/>
                      <w:color w:val="000000" w:themeColor="text1"/>
                      <w:sz w:val="21"/>
                      <w:szCs w:val="21"/>
                      <w14:textFill>
                        <w14:solidFill>
                          <w14:schemeClr w14:val="tx1"/>
                        </w14:solidFill>
                      </w14:textFill>
                    </w:rPr>
                    <w:t>是一种高活性吸附材料，属非晶态物质，其化学分子式为mSiO</w:t>
                  </w:r>
                  <w:r>
                    <w:rPr>
                      <w:rFonts w:hint="eastAsia" w:ascii="Times New Roman" w:hAnsi="Times New Roman" w:eastAsia="宋体" w:cs="Times New Roman"/>
                      <w:color w:val="000000" w:themeColor="text1"/>
                      <w:sz w:val="21"/>
                      <w:szCs w:val="21"/>
                      <w14:textFill>
                        <w14:solidFill>
                          <w14:schemeClr w14:val="tx1"/>
                        </w14:solidFill>
                      </w14:textFill>
                    </w:rPr>
                    <w:t>•</w:t>
                  </w:r>
                  <w:r>
                    <w:rPr>
                      <w:rFonts w:ascii="Times New Roman" w:hAnsi="Times New Roman" w:eastAsia="宋体" w:cs="Times New Roman"/>
                      <w:color w:val="000000" w:themeColor="text1"/>
                      <w:sz w:val="21"/>
                      <w:szCs w:val="21"/>
                      <w14:textFill>
                        <w14:solidFill>
                          <w14:schemeClr w14:val="tx1"/>
                        </w14:solidFill>
                      </w14:textFill>
                    </w:rPr>
                    <w:t>nHO，不溶于水和任何溶剂，无毒无味，化学性质稳定，除强碱、氢氟酸外不与任何物质发生反应。模具硅胶主要用于玩具礼品行业、工艺礼品行业、家具装饰装潢行业、人物复制、建筑装饰装潢行业、树脂工艺品行业、不饱和树脂工艺品行业、蜡烛工艺、塑胶玩具行业、礼品文具行业、石膏工艺礼品行业、模具制造行业、波丽工业品</w:t>
                  </w:r>
                  <w:r>
                    <w:rPr>
                      <w:rFonts w:hint="eastAsia" w:ascii="Times New Roman" w:hAnsi="Times New Roman" w:eastAsia="宋体" w:cs="Times New Roman"/>
                      <w:color w:val="000000" w:themeColor="text1"/>
                      <w:sz w:val="21"/>
                      <w:szCs w:val="21"/>
                      <w14:textFill>
                        <w14:solidFill>
                          <w14:schemeClr w14:val="tx1"/>
                        </w14:solidFill>
                      </w14:textFill>
                    </w:rPr>
                    <w:t>、</w:t>
                  </w:r>
                  <w:r>
                    <w:rPr>
                      <w:rFonts w:ascii="Times New Roman" w:hAnsi="Times New Roman" w:eastAsia="宋体" w:cs="Times New Roman"/>
                      <w:color w:val="000000" w:themeColor="text1"/>
                      <w:sz w:val="21"/>
                      <w:szCs w:val="21"/>
                      <w14:textFill>
                        <w14:solidFill>
                          <w14:schemeClr w14:val="tx1"/>
                        </w14:solidFill>
                      </w14:textFill>
                    </w:rPr>
                    <w:t>仿真动植物雕塑、佛雕工艺品等多种行业的产品复制及模具制作</w:t>
                  </w:r>
                  <w:r>
                    <w:rPr>
                      <w:color w:val="000000" w:themeColor="text1"/>
                      <w:sz w:val="21"/>
                      <w:szCs w:val="21"/>
                      <w14:textFill>
                        <w14:solidFill>
                          <w14:schemeClr w14:val="tx1"/>
                        </w14:solidFill>
                      </w14:textFill>
                    </w:rPr>
                    <w:t>。</w:t>
                  </w:r>
                </w:p>
              </w:tc>
              <w:tc>
                <w:tcPr>
                  <w:tcW w:w="970" w:type="pct"/>
                  <w:tcBorders>
                    <w:top w:val="single" w:color="auto" w:sz="4" w:space="0"/>
                    <w:left w:val="single" w:color="auto" w:sz="4" w:space="0"/>
                    <w:bottom w:val="single" w:color="auto" w:sz="4" w:space="0"/>
                    <w:right w:val="nil"/>
                  </w:tcBorders>
                  <w:vAlign w:val="center"/>
                </w:tcPr>
                <w:p w14:paraId="4B61A31D">
                  <w:pPr>
                    <w:keepNext w:val="0"/>
                    <w:keepLines w:val="0"/>
                    <w:pageBreakBefore w:val="0"/>
                    <w:tabs>
                      <w:tab w:val="left" w:pos="453"/>
                    </w:tabs>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39803C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1C5B0EC0">
                  <w:pPr>
                    <w:keepNext w:val="0"/>
                    <w:keepLines w:val="0"/>
                    <w:pageBreakBefore w:val="0"/>
                    <w:kinsoku/>
                    <w:wordWrap/>
                    <w:overflowPunct/>
                    <w:topLinePunct w:val="0"/>
                    <w:bidi w:val="0"/>
                    <w:spacing w:beforeAutospacing="0" w:afterAutospacing="0" w:line="240" w:lineRule="auto"/>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石粉</w:t>
                  </w:r>
                </w:p>
              </w:tc>
              <w:tc>
                <w:tcPr>
                  <w:tcW w:w="3415" w:type="pct"/>
                  <w:tcBorders>
                    <w:top w:val="single" w:color="auto" w:sz="4" w:space="0"/>
                    <w:left w:val="single" w:color="auto" w:sz="4" w:space="0"/>
                    <w:bottom w:val="single" w:color="auto" w:sz="4" w:space="0"/>
                    <w:right w:val="single" w:color="auto" w:sz="4" w:space="0"/>
                  </w:tcBorders>
                  <w:vAlign w:val="center"/>
                </w:tcPr>
                <w:p w14:paraId="6C51AF98">
                  <w:pPr>
                    <w:keepNext w:val="0"/>
                    <w:keepLines w:val="0"/>
                    <w:pageBreakBefore w:val="0"/>
                    <w:tabs>
                      <w:tab w:val="left" w:pos="453"/>
                    </w:tabs>
                    <w:kinsoku/>
                    <w:wordWrap/>
                    <w:overflowPunct/>
                    <w:topLinePunct w:val="0"/>
                    <w:bidi w:val="0"/>
                    <w:adjustRightInd/>
                    <w:snapToGrid/>
                    <w:spacing w:beforeAutospacing="0" w:afterAutospacing="0" w:line="240" w:lineRule="auto"/>
                    <w:ind w:left="0" w:leftChars="0" w:right="0" w:rightChars="0" w:firstLine="0" w:firstLineChars="0"/>
                    <w:jc w:val="both"/>
                    <w:rPr>
                      <w:rFonts w:eastAsia="黑体"/>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石粉是石头的粉末的通称，用途广泛，种类繁多，项目所使用的石粉为超微细石粉，作为树脂工艺品的原辅材料，在水溶液中呈碱性，</w:t>
                  </w:r>
                  <w:r>
                    <w:rPr>
                      <w:rFonts w:eastAsia="黑体"/>
                      <w:color w:val="000000" w:themeColor="text1"/>
                      <w:sz w:val="21"/>
                      <w:szCs w:val="21"/>
                      <w14:textFill>
                        <w14:solidFill>
                          <w14:schemeClr w14:val="tx1"/>
                        </w14:solidFill>
                      </w14:textFill>
                    </w:rPr>
                    <w:t>pH</w:t>
                  </w:r>
                  <w:r>
                    <w:rPr>
                      <w:color w:val="000000" w:themeColor="text1"/>
                      <w:sz w:val="21"/>
                      <w:szCs w:val="21"/>
                      <w14:textFill>
                        <w14:solidFill>
                          <w14:schemeClr w14:val="tx1"/>
                        </w14:solidFill>
                      </w14:textFill>
                    </w:rPr>
                    <w:t>值为</w:t>
                  </w:r>
                  <w:r>
                    <w:rPr>
                      <w:rFonts w:eastAsia="黑体"/>
                      <w:color w:val="000000" w:themeColor="text1"/>
                      <w:sz w:val="21"/>
                      <w:szCs w:val="21"/>
                      <w14:textFill>
                        <w14:solidFill>
                          <w14:schemeClr w14:val="tx1"/>
                        </w14:solidFill>
                      </w14:textFill>
                    </w:rPr>
                    <w:t>8~9</w:t>
                  </w:r>
                  <w:r>
                    <w:rPr>
                      <w:color w:val="000000" w:themeColor="text1"/>
                      <w:sz w:val="21"/>
                      <w:szCs w:val="21"/>
                      <w14:textFill>
                        <w14:solidFill>
                          <w14:schemeClr w14:val="tx1"/>
                        </w14:solidFill>
                      </w14:textFill>
                    </w:rPr>
                    <w:t>，吸油性和遮盖力强，熔点高、比热大、导热率以及收缩率低。</w:t>
                  </w:r>
                  <w:r>
                    <w:rPr>
                      <w:rFonts w:eastAsia="黑体"/>
                      <w:color w:val="000000" w:themeColor="text1"/>
                      <w:sz w:val="21"/>
                      <w:szCs w:val="21"/>
                      <w14:textFill>
                        <w14:solidFill>
                          <w14:schemeClr w14:val="tx1"/>
                        </w14:solidFill>
                      </w14:textFill>
                    </w:rPr>
                    <w:t>‌</w:t>
                  </w:r>
                </w:p>
              </w:tc>
              <w:tc>
                <w:tcPr>
                  <w:tcW w:w="970" w:type="pct"/>
                  <w:tcBorders>
                    <w:top w:val="single" w:color="auto" w:sz="4" w:space="0"/>
                    <w:left w:val="single" w:color="auto" w:sz="4" w:space="0"/>
                    <w:bottom w:val="single" w:color="auto" w:sz="4" w:space="0"/>
                    <w:right w:val="nil"/>
                  </w:tcBorders>
                  <w:vAlign w:val="center"/>
                </w:tcPr>
                <w:p w14:paraId="2185D9E2">
                  <w:pPr>
                    <w:keepNext w:val="0"/>
                    <w:keepLines w:val="0"/>
                    <w:pageBreakBefore w:val="0"/>
                    <w:tabs>
                      <w:tab w:val="left" w:pos="453"/>
                    </w:tabs>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10A820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2282CD4D">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油漆</w:t>
                  </w:r>
                </w:p>
              </w:tc>
              <w:tc>
                <w:tcPr>
                  <w:tcW w:w="3415" w:type="pct"/>
                  <w:tcBorders>
                    <w:top w:val="single" w:color="auto" w:sz="4" w:space="0"/>
                    <w:left w:val="single" w:color="auto" w:sz="4" w:space="0"/>
                    <w:bottom w:val="single" w:color="auto" w:sz="4" w:space="0"/>
                    <w:right w:val="single" w:color="auto" w:sz="4" w:space="0"/>
                  </w:tcBorders>
                  <w:vAlign w:val="center"/>
                </w:tcPr>
                <w:p w14:paraId="5A4D2B8F">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主要组成为丙烯酸树脂、</w:t>
                  </w:r>
                  <w:r>
                    <w:rPr>
                      <w:rFonts w:hint="eastAsia"/>
                      <w:color w:val="000000" w:themeColor="text1"/>
                      <w:sz w:val="21"/>
                      <w:szCs w:val="21"/>
                      <w:lang w:val="en-US" w:eastAsia="zh-CN"/>
                      <w14:textFill>
                        <w14:solidFill>
                          <w14:schemeClr w14:val="tx1"/>
                        </w14:solidFill>
                      </w14:textFill>
                    </w:rPr>
                    <w:t>二甲苯</w:t>
                  </w:r>
                  <w:r>
                    <w:rPr>
                      <w:color w:val="000000" w:themeColor="text1"/>
                      <w:sz w:val="21"/>
                      <w:szCs w:val="21"/>
                      <w14:textFill>
                        <w14:solidFill>
                          <w14:schemeClr w14:val="tx1"/>
                        </w14:solidFill>
                      </w14:textFill>
                    </w:rPr>
                    <w:t>颜料、</w:t>
                  </w:r>
                  <w:r>
                    <w:rPr>
                      <w:rFonts w:hint="eastAsia"/>
                      <w:color w:val="000000" w:themeColor="text1"/>
                      <w:sz w:val="21"/>
                      <w:szCs w:val="21"/>
                      <w:lang w:val="en-US" w:eastAsia="zh-CN"/>
                      <w14:textFill>
                        <w14:solidFill>
                          <w14:schemeClr w14:val="tx1"/>
                        </w14:solidFill>
                      </w14:textFill>
                    </w:rPr>
                    <w:t>二氧化钛</w:t>
                  </w:r>
                  <w:r>
                    <w:rPr>
                      <w:color w:val="000000" w:themeColor="text1"/>
                      <w:kern w:val="0"/>
                      <w:sz w:val="21"/>
                      <w:szCs w:val="21"/>
                      <w14:textFill>
                        <w14:solidFill>
                          <w14:schemeClr w14:val="tx1"/>
                        </w14:solidFill>
                      </w14:textFill>
                    </w:rPr>
                    <w:t>、醋酸丁酯</w:t>
                  </w:r>
                  <w:r>
                    <w:rPr>
                      <w:color w:val="000000" w:themeColor="text1"/>
                      <w:sz w:val="21"/>
                      <w:szCs w:val="21"/>
                      <w14:textFill>
                        <w14:solidFill>
                          <w14:schemeClr w14:val="tx1"/>
                        </w14:solidFill>
                      </w14:textFill>
                    </w:rPr>
                    <w:t>等，助剂包括催干剂、增韧剂、乳化剂、增稠剂、颜料分散剂等；</w:t>
                  </w:r>
                  <w:r>
                    <w:rPr>
                      <w:rFonts w:hint="eastAsia"/>
                      <w:color w:val="000000" w:themeColor="text1"/>
                      <w:sz w:val="21"/>
                      <w:szCs w:val="21"/>
                      <w14:textFill>
                        <w14:solidFill>
                          <w14:schemeClr w14:val="tx1"/>
                        </w14:solidFill>
                      </w14:textFill>
                    </w:rPr>
                    <w:t>油性漆密度为</w:t>
                  </w:r>
                  <w:r>
                    <w:rPr>
                      <w:rFonts w:hint="eastAsia"/>
                      <w:color w:val="000000" w:themeColor="text1"/>
                      <w:sz w:val="21"/>
                      <w:szCs w:val="21"/>
                      <w:lang w:val="en-US" w:eastAsia="zh-CN"/>
                      <w14:textFill>
                        <w14:solidFill>
                          <w14:schemeClr w14:val="tx1"/>
                        </w14:solidFill>
                      </w14:textFill>
                    </w:rPr>
                    <w:t>1.20</w:t>
                  </w:r>
                  <w:r>
                    <w:rPr>
                      <w:rFonts w:hint="eastAsia"/>
                      <w:color w:val="000000" w:themeColor="text1"/>
                      <w:sz w:val="21"/>
                      <w:szCs w:val="21"/>
                      <w14:textFill>
                        <w14:solidFill>
                          <w14:schemeClr w14:val="tx1"/>
                        </w14:solidFill>
                      </w14:textFill>
                    </w:rPr>
                    <w:t>g/cm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具有耐水性、耐碱性好，耐候性强，干燥快，附着力强等特点。</w:t>
                  </w:r>
                </w:p>
              </w:tc>
              <w:tc>
                <w:tcPr>
                  <w:tcW w:w="970" w:type="pct"/>
                  <w:tcBorders>
                    <w:top w:val="single" w:color="auto" w:sz="4" w:space="0"/>
                    <w:left w:val="single" w:color="auto" w:sz="4" w:space="0"/>
                    <w:bottom w:val="single" w:color="auto" w:sz="4" w:space="0"/>
                    <w:right w:val="nil"/>
                  </w:tcBorders>
                  <w:vAlign w:val="center"/>
                </w:tcPr>
                <w:p w14:paraId="6CE5F710">
                  <w:pPr>
                    <w:keepNext w:val="0"/>
                    <w:keepLines w:val="0"/>
                    <w:pageBreakBefore w:val="0"/>
                    <w:tabs>
                      <w:tab w:val="left" w:pos="453"/>
                    </w:tabs>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LD</w:t>
                  </w:r>
                  <w:r>
                    <w:rPr>
                      <w:rFonts w:hint="eastAsia"/>
                      <w:color w:val="000000" w:themeColor="text1"/>
                      <w:sz w:val="21"/>
                      <w:szCs w:val="21"/>
                      <w:vertAlign w:val="subscript"/>
                      <w:lang w:val="en-US" w:eastAsia="zh-CN"/>
                      <w14:textFill>
                        <w14:solidFill>
                          <w14:schemeClr w14:val="tx1"/>
                        </w14:solidFill>
                      </w14:textFill>
                    </w:rPr>
                    <w:t>50</w:t>
                  </w:r>
                  <w:r>
                    <w:rPr>
                      <w:rFonts w:hint="eastAsia"/>
                      <w:color w:val="000000" w:themeColor="text1"/>
                      <w:sz w:val="21"/>
                      <w:szCs w:val="21"/>
                      <w:lang w:val="en-US" w:eastAsia="zh-CN"/>
                      <w14:textFill>
                        <w14:solidFill>
                          <w14:schemeClr w14:val="tx1"/>
                        </w14:solidFill>
                      </w14:textFill>
                    </w:rPr>
                    <w:t>：＞2500mg/kg</w:t>
                  </w:r>
                </w:p>
              </w:tc>
            </w:tr>
            <w:tr w14:paraId="3AB18C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50A1ADB0">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水性漆</w:t>
                  </w:r>
                </w:p>
              </w:tc>
              <w:tc>
                <w:tcPr>
                  <w:tcW w:w="3415" w:type="pct"/>
                  <w:tcBorders>
                    <w:top w:val="single" w:color="auto" w:sz="4" w:space="0"/>
                    <w:left w:val="single" w:color="auto" w:sz="4" w:space="0"/>
                    <w:bottom w:val="single" w:color="auto" w:sz="4" w:space="0"/>
                    <w:right w:val="single" w:color="auto" w:sz="4" w:space="0"/>
                  </w:tcBorders>
                  <w:vAlign w:val="center"/>
                </w:tcPr>
                <w:p w14:paraId="7853515D">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水性漆即以水做为稀释剂、不含有机溶剂的涂料，主要成分为水性丙烯酸</w:t>
                  </w:r>
                  <w:r>
                    <w:rPr>
                      <w:rFonts w:hint="eastAsia"/>
                      <w:color w:val="000000" w:themeColor="text1"/>
                      <w:sz w:val="21"/>
                      <w:szCs w:val="21"/>
                      <w:lang w:val="en-US" w:eastAsia="zh-CN"/>
                      <w14:textFill>
                        <w14:solidFill>
                          <w14:schemeClr w14:val="tx1"/>
                        </w14:solidFill>
                      </w14:textFill>
                    </w:rPr>
                    <w:t>乳液</w:t>
                  </w:r>
                  <w:r>
                    <w:rPr>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二丙二醇丁醚</w:t>
                  </w:r>
                  <w:r>
                    <w:rPr>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有机硅</w:t>
                  </w:r>
                  <w:r>
                    <w:rPr>
                      <w:color w:val="000000" w:themeColor="text1"/>
                      <w:sz w:val="21"/>
                      <w:szCs w:val="21"/>
                      <w14:textFill>
                        <w14:solidFill>
                          <w14:schemeClr w14:val="tx1"/>
                        </w14:solidFill>
                      </w14:textFill>
                    </w:rPr>
                    <w:t>助剂、</w:t>
                  </w:r>
                  <w:r>
                    <w:rPr>
                      <w:rFonts w:hint="eastAsia"/>
                      <w:color w:val="000000" w:themeColor="text1"/>
                      <w:sz w:val="21"/>
                      <w:szCs w:val="21"/>
                      <w:lang w:val="en-US" w:eastAsia="zh-CN"/>
                      <w14:textFill>
                        <w14:solidFill>
                          <w14:schemeClr w14:val="tx1"/>
                        </w14:solidFill>
                      </w14:textFill>
                    </w:rPr>
                    <w:t>颜料粉、</w:t>
                  </w:r>
                  <w:r>
                    <w:rPr>
                      <w:color w:val="000000" w:themeColor="text1"/>
                      <w:sz w:val="21"/>
                      <w:szCs w:val="21"/>
                      <w14:textFill>
                        <w14:solidFill>
                          <w14:schemeClr w14:val="tx1"/>
                        </w14:solidFill>
                      </w14:textFill>
                    </w:rPr>
                    <w:t>水组成，常用颜料粉有氧化铁系列、钛白粉等。不含苯、甲苯、二甲苯、甲醛、游离</w:t>
                  </w:r>
                  <w:r>
                    <w:rPr>
                      <w:rFonts w:eastAsia="黑体"/>
                      <w:color w:val="000000" w:themeColor="text1"/>
                      <w:sz w:val="21"/>
                      <w:szCs w:val="21"/>
                      <w14:textFill>
                        <w14:solidFill>
                          <w14:schemeClr w14:val="tx1"/>
                        </w14:solidFill>
                      </w14:textFill>
                    </w:rPr>
                    <w:t>TDI</w:t>
                  </w:r>
                  <w:r>
                    <w:rPr>
                      <w:color w:val="000000" w:themeColor="text1"/>
                      <w:sz w:val="21"/>
                      <w:szCs w:val="21"/>
                      <w14:textFill>
                        <w14:solidFill>
                          <w14:schemeClr w14:val="tx1"/>
                        </w14:solidFill>
                      </w14:textFill>
                    </w:rPr>
                    <w:t>有毒重金属，无毒无刺激气味，其具有漆膜丰满、晶莹透亮、柔韧性好并且具有耐水、耐磨、耐老化、耐黄变、干燥快、使用方便等特点。可使用在木器、金属、塑料、玻璃、建筑表面等多种材质上。</w:t>
                  </w:r>
                </w:p>
              </w:tc>
              <w:tc>
                <w:tcPr>
                  <w:tcW w:w="970" w:type="pct"/>
                  <w:tcBorders>
                    <w:top w:val="single" w:color="auto" w:sz="4" w:space="0"/>
                    <w:left w:val="single" w:color="auto" w:sz="4" w:space="0"/>
                    <w:bottom w:val="single" w:color="auto" w:sz="4" w:space="0"/>
                    <w:right w:val="nil"/>
                  </w:tcBorders>
                  <w:vAlign w:val="center"/>
                </w:tcPr>
                <w:p w14:paraId="4A524E71">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r>
            <w:tr w14:paraId="3FF455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4D0573AE">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稀释剂</w:t>
                  </w:r>
                </w:p>
              </w:tc>
              <w:tc>
                <w:tcPr>
                  <w:tcW w:w="3415" w:type="pct"/>
                  <w:tcBorders>
                    <w:top w:val="single" w:color="auto" w:sz="4" w:space="0"/>
                    <w:left w:val="single" w:color="auto" w:sz="4" w:space="0"/>
                    <w:bottom w:val="single" w:color="auto" w:sz="4" w:space="0"/>
                    <w:right w:val="single" w:color="auto" w:sz="4" w:space="0"/>
                  </w:tcBorders>
                  <w:vAlign w:val="center"/>
                </w:tcPr>
                <w:p w14:paraId="609F5B6E">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稀释剂由</w:t>
                  </w:r>
                  <w:r>
                    <w:rPr>
                      <w:rFonts w:hint="eastAsia"/>
                      <w:color w:val="000000" w:themeColor="text1"/>
                      <w:sz w:val="21"/>
                      <w:szCs w:val="21"/>
                      <w:lang w:val="en-US" w:eastAsia="zh-CN"/>
                      <w14:textFill>
                        <w14:solidFill>
                          <w14:schemeClr w14:val="tx1"/>
                        </w14:solidFill>
                      </w14:textFill>
                    </w:rPr>
                    <w:t>二甲苯、乙酸丁酯、环己酮等</w:t>
                  </w:r>
                  <w:r>
                    <w:rPr>
                      <w:color w:val="000000" w:themeColor="text1"/>
                      <w:sz w:val="21"/>
                      <w:szCs w:val="21"/>
                      <w14:textFill>
                        <w14:solidFill>
                          <w14:schemeClr w14:val="tx1"/>
                        </w14:solidFill>
                      </w14:textFill>
                    </w:rPr>
                    <w:t>有机溶剂组成</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有刺激气味</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无色透明液体，不溶于水，可混溶于醇、醚、苯类、乙酸乙酯等多数有机溶剂</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易挥发，低毒，对皮肤黏膜有刺激性，属易燃液体，主要用作喷漆的溶剂和稀释剂。密度为</w:t>
                  </w:r>
                  <w:r>
                    <w:rPr>
                      <w:rFonts w:eastAsia="黑体"/>
                      <w:color w:val="000000" w:themeColor="text1"/>
                      <w:sz w:val="21"/>
                      <w:szCs w:val="21"/>
                      <w14:textFill>
                        <w14:solidFill>
                          <w14:schemeClr w14:val="tx1"/>
                        </w14:solidFill>
                      </w14:textFill>
                    </w:rPr>
                    <w:t>0.8</w:t>
                  </w:r>
                  <w:r>
                    <w:rPr>
                      <w:rFonts w:hint="eastAsia" w:eastAsia="黑体"/>
                      <w:color w:val="000000" w:themeColor="text1"/>
                      <w:sz w:val="21"/>
                      <w:szCs w:val="21"/>
                      <w:lang w:val="en-US" w:eastAsia="zh-CN"/>
                      <w14:textFill>
                        <w14:solidFill>
                          <w14:schemeClr w14:val="tx1"/>
                        </w14:solidFill>
                      </w14:textFill>
                    </w:rPr>
                    <w:t>834</w:t>
                  </w:r>
                  <w:r>
                    <w:rPr>
                      <w:rFonts w:eastAsia="黑体"/>
                      <w:color w:val="000000" w:themeColor="text1"/>
                      <w:sz w:val="21"/>
                      <w:szCs w:val="21"/>
                      <w14:textFill>
                        <w14:solidFill>
                          <w14:schemeClr w14:val="tx1"/>
                        </w14:solidFill>
                      </w14:textFill>
                    </w:rPr>
                    <w:t>g/</w:t>
                  </w:r>
                  <w:r>
                    <w:rPr>
                      <w:rFonts w:hint="eastAsia" w:eastAsia="黑体"/>
                      <w:color w:val="000000" w:themeColor="text1"/>
                      <w:sz w:val="21"/>
                      <w:szCs w:val="21"/>
                      <w:lang w:val="en-US" w:eastAsia="zh-CN"/>
                      <w14:textFill>
                        <w14:solidFill>
                          <w14:schemeClr w14:val="tx1"/>
                        </w14:solidFill>
                      </w14:textFill>
                    </w:rPr>
                    <w:t>cm</w:t>
                  </w:r>
                  <w:r>
                    <w:rPr>
                      <w:rFonts w:hint="eastAsia" w:eastAsia="黑体"/>
                      <w:color w:val="000000" w:themeColor="text1"/>
                      <w:sz w:val="21"/>
                      <w:szCs w:val="21"/>
                      <w:vertAlign w:val="superscript"/>
                      <w:lang w:val="en-US" w:eastAsia="zh-CN"/>
                      <w14:textFill>
                        <w14:solidFill>
                          <w14:schemeClr w14:val="tx1"/>
                        </w14:solidFill>
                      </w14:textFill>
                    </w:rPr>
                    <w:t>3</w:t>
                  </w:r>
                  <w:r>
                    <w:rPr>
                      <w:color w:val="000000" w:themeColor="text1"/>
                      <w:sz w:val="21"/>
                      <w:szCs w:val="21"/>
                      <w14:textFill>
                        <w14:solidFill>
                          <w14:schemeClr w14:val="tx1"/>
                        </w14:solidFill>
                      </w14:textFill>
                    </w:rPr>
                    <w:t>，熔点为</w:t>
                  </w:r>
                  <w:r>
                    <w:rPr>
                      <w:rFonts w:eastAsia="黑体"/>
                      <w:color w:val="000000" w:themeColor="text1"/>
                      <w:sz w:val="21"/>
                      <w:szCs w:val="21"/>
                      <w14:textFill>
                        <w14:solidFill>
                          <w14:schemeClr w14:val="tx1"/>
                        </w14:solidFill>
                      </w14:textFill>
                    </w:rPr>
                    <w:t>-104.8℃‌</w:t>
                  </w:r>
                  <w:r>
                    <w:rPr>
                      <w:color w:val="000000" w:themeColor="text1"/>
                      <w:sz w:val="21"/>
                      <w:szCs w:val="21"/>
                      <w14:textFill>
                        <w14:solidFill>
                          <w14:schemeClr w14:val="tx1"/>
                        </w14:solidFill>
                      </w14:textFill>
                    </w:rPr>
                    <w:t>，沸点范围为</w:t>
                  </w:r>
                  <w:r>
                    <w:rPr>
                      <w:rFonts w:hint="eastAsia" w:eastAsia="黑体"/>
                      <w:color w:val="000000" w:themeColor="text1"/>
                      <w:sz w:val="21"/>
                      <w:szCs w:val="21"/>
                      <w:lang w:val="en-US" w:eastAsia="zh-CN"/>
                      <w14:textFill>
                        <w14:solidFill>
                          <w14:schemeClr w14:val="tx1"/>
                        </w14:solidFill>
                      </w14:textFill>
                    </w:rPr>
                    <w:t>＞35</w:t>
                  </w:r>
                  <w:r>
                    <w:rPr>
                      <w:rFonts w:eastAsia="黑体"/>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，闪点为</w:t>
                  </w:r>
                  <w:r>
                    <w:rPr>
                      <w:rFonts w:hint="eastAsia" w:eastAsia="黑体"/>
                      <w:color w:val="000000" w:themeColor="text1"/>
                      <w:sz w:val="21"/>
                      <w:szCs w:val="21"/>
                      <w:lang w:val="en-US" w:eastAsia="zh-CN"/>
                      <w14:textFill>
                        <w14:solidFill>
                          <w14:schemeClr w14:val="tx1"/>
                        </w14:solidFill>
                      </w14:textFill>
                    </w:rPr>
                    <w:t>4</w:t>
                  </w:r>
                  <w:r>
                    <w:rPr>
                      <w:rFonts w:eastAsia="黑体"/>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w:t>
                  </w:r>
                </w:p>
              </w:tc>
              <w:tc>
                <w:tcPr>
                  <w:tcW w:w="970" w:type="pct"/>
                  <w:tcBorders>
                    <w:top w:val="single" w:color="auto" w:sz="4" w:space="0"/>
                    <w:left w:val="single" w:color="auto" w:sz="4" w:space="0"/>
                    <w:bottom w:val="single" w:color="auto" w:sz="4" w:space="0"/>
                    <w:right w:val="nil"/>
                  </w:tcBorders>
                  <w:vAlign w:val="center"/>
                </w:tcPr>
                <w:p w14:paraId="3E55F73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LD</w:t>
                  </w:r>
                  <w:r>
                    <w:rPr>
                      <w:rFonts w:hint="eastAsia"/>
                      <w:color w:val="000000" w:themeColor="text1"/>
                      <w:sz w:val="21"/>
                      <w:szCs w:val="21"/>
                      <w:vertAlign w:val="subscript"/>
                      <w:lang w:val="en-US" w:eastAsia="zh-CN"/>
                      <w14:textFill>
                        <w14:solidFill>
                          <w14:schemeClr w14:val="tx1"/>
                        </w14:solidFill>
                      </w14:textFill>
                    </w:rPr>
                    <w:t>50</w:t>
                  </w:r>
                  <w:r>
                    <w:rPr>
                      <w:rFonts w:hint="eastAsia"/>
                      <w:color w:val="000000" w:themeColor="text1"/>
                      <w:sz w:val="21"/>
                      <w:szCs w:val="21"/>
                      <w:lang w:val="en-US" w:eastAsia="zh-CN"/>
                      <w14:textFill>
                        <w14:solidFill>
                          <w14:schemeClr w14:val="tx1"/>
                        </w14:solidFill>
                      </w14:textFill>
                    </w:rPr>
                    <w:t>：二甲苯5000mg/kg，乙酸丁酯13100mg/kg，环己酮1535mg/kg。</w:t>
                  </w:r>
                </w:p>
              </w:tc>
            </w:tr>
            <w:tr w14:paraId="64B3A1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3BA1716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固化剂</w:t>
                  </w:r>
                </w:p>
              </w:tc>
              <w:tc>
                <w:tcPr>
                  <w:tcW w:w="3415" w:type="pct"/>
                  <w:tcBorders>
                    <w:top w:val="single" w:color="auto" w:sz="4" w:space="0"/>
                    <w:left w:val="single" w:color="auto" w:sz="4" w:space="0"/>
                    <w:bottom w:val="single" w:color="auto" w:sz="4" w:space="0"/>
                    <w:right w:val="single" w:color="auto" w:sz="4" w:space="0"/>
                  </w:tcBorders>
                  <w:vAlign w:val="center"/>
                </w:tcPr>
                <w:p w14:paraId="6488FF1E">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color w:val="000000" w:themeColor="text1"/>
                      <w:kern w:val="0"/>
                      <w:sz w:val="15"/>
                      <w:szCs w:val="15"/>
                      <w14:textFill>
                        <w14:solidFill>
                          <w14:schemeClr w14:val="tx1"/>
                        </w14:solidFill>
                      </w14:textFill>
                    </w:rPr>
                  </w:pPr>
                  <w:r>
                    <w:rPr>
                      <w:color w:val="000000" w:themeColor="text1"/>
                      <w:kern w:val="0"/>
                      <w:sz w:val="21"/>
                      <w:szCs w:val="21"/>
                      <w14:textFill>
                        <w14:solidFill>
                          <w14:schemeClr w14:val="tx1"/>
                        </w14:solidFill>
                      </w14:textFill>
                    </w:rPr>
                    <w:t>固化剂又名硬化剂、熟化剂或变定剂，是一类增进或控制固化反应的物质或混合物。</w:t>
                  </w:r>
                  <w:r>
                    <w:rPr>
                      <w:rFonts w:hint="eastAsia"/>
                      <w:color w:val="000000" w:themeColor="text1"/>
                      <w:kern w:val="0"/>
                      <w:sz w:val="21"/>
                      <w:szCs w:val="21"/>
                      <w:lang w:val="en-US" w:eastAsia="zh-CN"/>
                      <w14:textFill>
                        <w14:solidFill>
                          <w14:schemeClr w14:val="tx1"/>
                        </w14:solidFill>
                      </w14:textFill>
                    </w:rPr>
                    <w:t>无色透明液体，有刺激性气味。沸点：304℃；密度：1.16g/cm</w:t>
                  </w:r>
                  <w:r>
                    <w:rPr>
                      <w:rFonts w:hint="eastAsia"/>
                      <w:color w:val="000000" w:themeColor="text1"/>
                      <w:kern w:val="0"/>
                      <w:sz w:val="21"/>
                      <w:szCs w:val="21"/>
                      <w:vertAlign w:val="superscript"/>
                      <w:lang w:val="en-US" w:eastAsia="zh-CN"/>
                      <w14:textFill>
                        <w14:solidFill>
                          <w14:schemeClr w14:val="tx1"/>
                        </w14:solidFill>
                      </w14:textFill>
                    </w:rPr>
                    <w:t>3</w:t>
                  </w:r>
                  <w:r>
                    <w:rPr>
                      <w:rFonts w:hint="eastAsia"/>
                      <w:color w:val="000000" w:themeColor="text1"/>
                      <w:kern w:val="0"/>
                      <w:sz w:val="21"/>
                      <w:szCs w:val="21"/>
                      <w:lang w:val="en-US" w:eastAsia="zh-CN"/>
                      <w14:textFill>
                        <w14:solidFill>
                          <w14:schemeClr w14:val="tx1"/>
                        </w14:solidFill>
                      </w14:textFill>
                    </w:rPr>
                    <w:t>；闪点：35~90℃；熔点：＜-20℃。</w:t>
                  </w:r>
                  <w:r>
                    <w:rPr>
                      <w:color w:val="000000" w:themeColor="text1"/>
                      <w:kern w:val="0"/>
                      <w:sz w:val="21"/>
                      <w:szCs w:val="21"/>
                      <w14:textFill>
                        <w14:solidFill>
                          <w14:schemeClr w14:val="tx1"/>
                        </w14:solidFill>
                      </w14:textFill>
                    </w:rPr>
                    <w:t>树脂固化是经过缩合、闭环、加成或催化等化学反应，使热固性树脂发生不可逆的变化过程，固化是通过添加固化（交联）剂来完成的。</w:t>
                  </w:r>
                </w:p>
              </w:tc>
              <w:tc>
                <w:tcPr>
                  <w:tcW w:w="970" w:type="pct"/>
                  <w:tcBorders>
                    <w:top w:val="single" w:color="auto" w:sz="4" w:space="0"/>
                    <w:left w:val="single" w:color="auto" w:sz="4" w:space="0"/>
                    <w:bottom w:val="single" w:color="auto" w:sz="4" w:space="0"/>
                    <w:right w:val="nil"/>
                  </w:tcBorders>
                  <w:vAlign w:val="center"/>
                </w:tcPr>
                <w:p w14:paraId="133632F5">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color w:val="000000" w:themeColor="text1"/>
                      <w:kern w:val="0"/>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LD</w:t>
                  </w:r>
                  <w:r>
                    <w:rPr>
                      <w:rFonts w:hint="eastAsia"/>
                      <w:color w:val="000000" w:themeColor="text1"/>
                      <w:sz w:val="21"/>
                      <w:szCs w:val="21"/>
                      <w:vertAlign w:val="subscript"/>
                      <w:lang w:val="en-US" w:eastAsia="zh-CN"/>
                      <w14:textFill>
                        <w14:solidFill>
                          <w14:schemeClr w14:val="tx1"/>
                        </w14:solidFill>
                      </w14:textFill>
                    </w:rPr>
                    <w:t>50</w:t>
                  </w:r>
                  <w:r>
                    <w:rPr>
                      <w:rFonts w:hint="eastAsia"/>
                      <w:color w:val="000000" w:themeColor="text1"/>
                      <w:sz w:val="21"/>
                      <w:szCs w:val="21"/>
                      <w:lang w:val="en-US" w:eastAsia="zh-CN"/>
                      <w14:textFill>
                        <w14:solidFill>
                          <w14:schemeClr w14:val="tx1"/>
                        </w14:solidFill>
                      </w14:textFill>
                    </w:rPr>
                    <w:t>：484mg/kg</w:t>
                  </w:r>
                </w:p>
              </w:tc>
            </w:tr>
            <w:tr w14:paraId="68D82C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5D0ADD4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rFonts w:eastAsia="黑体"/>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促进剂</w:t>
                  </w:r>
                </w:p>
              </w:tc>
              <w:tc>
                <w:tcPr>
                  <w:tcW w:w="3415" w:type="pct"/>
                  <w:tcBorders>
                    <w:top w:val="single" w:color="auto" w:sz="4" w:space="0"/>
                    <w:left w:val="single" w:color="auto" w:sz="4" w:space="0"/>
                    <w:bottom w:val="single" w:color="auto" w:sz="4" w:space="0"/>
                    <w:right w:val="single" w:color="auto" w:sz="4" w:space="0"/>
                  </w:tcBorders>
                  <w:vAlign w:val="center"/>
                </w:tcPr>
                <w:p w14:paraId="297D902D">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ascii="Times New Roman" w:hAnsi="Times New Roman" w:eastAsia="宋体" w:cs="Times New Roman"/>
                      <w:color w:val="000000" w:themeColor="text1"/>
                      <w:kern w:val="0"/>
                      <w:sz w:val="21"/>
                      <w:szCs w:val="21"/>
                      <w14:textFill>
                        <w14:solidFill>
                          <w14:schemeClr w14:val="tx1"/>
                        </w14:solidFill>
                      </w14:textFill>
                    </w:rPr>
                  </w:pPr>
                  <w:r>
                    <w:rPr>
                      <w:rFonts w:ascii="Times New Roman" w:hAnsi="Times New Roman" w:eastAsia="宋体" w:cs="Times New Roman"/>
                      <w:color w:val="000000" w:themeColor="text1"/>
                      <w:kern w:val="0"/>
                      <w:sz w:val="21"/>
                      <w:szCs w:val="21"/>
                      <w14:textFill>
                        <w14:solidFill>
                          <w14:schemeClr w14:val="tx1"/>
                        </w14:solidFill>
                      </w14:textFill>
                    </w:rPr>
                    <w:t>是一种有机金属盐类助剂</w:t>
                  </w:r>
                  <w:r>
                    <w:rPr>
                      <w:rFonts w:hint="eastAsia" w:ascii="Times New Roman" w:hAnsi="Times New Roman" w:eastAsia="宋体" w:cs="Times New Roman"/>
                      <w:color w:val="000000" w:themeColor="text1"/>
                      <w:kern w:val="0"/>
                      <w:sz w:val="21"/>
                      <w:szCs w:val="21"/>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主要成分为二甘醇、醋酸钾、异辛酸钴、异辛酸铜</w:t>
                  </w:r>
                  <w:r>
                    <w:rPr>
                      <w:rFonts w:ascii="Times New Roman" w:hAnsi="Times New Roman" w:eastAsia="宋体" w:cs="Times New Roman"/>
                      <w:color w:val="000000" w:themeColor="text1"/>
                      <w:kern w:val="0"/>
                      <w:sz w:val="21"/>
                      <w:szCs w:val="21"/>
                      <w14:textFill>
                        <w14:solidFill>
                          <w14:schemeClr w14:val="tx1"/>
                        </w14:solidFill>
                      </w14:textFill>
                    </w:rPr>
                    <w:t>。不溶于水，与苯乙烯、甲醇等多种溶剂互溶。能促使固化剂在其临界温度以下形成游离基（即实现室温固化）。</w:t>
                  </w:r>
                </w:p>
              </w:tc>
              <w:tc>
                <w:tcPr>
                  <w:tcW w:w="970" w:type="pct"/>
                  <w:tcBorders>
                    <w:top w:val="single" w:color="auto" w:sz="4" w:space="0"/>
                    <w:left w:val="single" w:color="auto" w:sz="4" w:space="0"/>
                    <w:bottom w:val="single" w:color="auto" w:sz="4" w:space="0"/>
                    <w:right w:val="nil"/>
                  </w:tcBorders>
                  <w:vAlign w:val="center"/>
                </w:tcPr>
                <w:p w14:paraId="1A6B9B1B">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hint="default" w:ascii="Times New Roman" w:hAnsi="Times New Roman" w:eastAsia="宋体" w:cs="Times New Roman"/>
                      <w:color w:val="000000" w:themeColor="text1"/>
                      <w:kern w:val="0"/>
                      <w:sz w:val="21"/>
                      <w:szCs w:val="21"/>
                      <w:lang w:val="en-US"/>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LD</w:t>
                  </w:r>
                  <w:r>
                    <w:rPr>
                      <w:rFonts w:hint="eastAsia" w:ascii="Times New Roman" w:hAnsi="Times New Roman" w:eastAsia="宋体" w:cs="Times New Roman"/>
                      <w:color w:val="000000" w:themeColor="text1"/>
                      <w:kern w:val="0"/>
                      <w:sz w:val="21"/>
                      <w:szCs w:val="21"/>
                      <w:vertAlign w:val="subscript"/>
                      <w:lang w:val="en-US" w:eastAsia="zh-CN"/>
                      <w14:textFill>
                        <w14:solidFill>
                          <w14:schemeClr w14:val="tx1"/>
                        </w14:solidFill>
                      </w14:textFill>
                    </w:rPr>
                    <w:t>50</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：二甘醇16600mg/kg，醋酸钾3250。</w:t>
                  </w:r>
                </w:p>
              </w:tc>
            </w:tr>
            <w:tr w14:paraId="042690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457F7204">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二甲苯</w:t>
                  </w:r>
                </w:p>
              </w:tc>
              <w:tc>
                <w:tcPr>
                  <w:tcW w:w="3415" w:type="pct"/>
                  <w:tcBorders>
                    <w:top w:val="single" w:color="auto" w:sz="4" w:space="0"/>
                    <w:left w:val="single" w:color="auto" w:sz="4" w:space="0"/>
                    <w:bottom w:val="single" w:color="auto" w:sz="4" w:space="0"/>
                    <w:right w:val="single" w:color="auto" w:sz="4" w:space="0"/>
                  </w:tcBorders>
                  <w:vAlign w:val="center"/>
                </w:tcPr>
                <w:p w14:paraId="08DA080E">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无色透明液体，能与乙醇、乙醚等多种有机溶剂互溶，不溶于水。熔点：-34℃；沸点137~140℃；密度：0.86g/mL。</w:t>
                  </w:r>
                </w:p>
              </w:tc>
              <w:tc>
                <w:tcPr>
                  <w:tcW w:w="970" w:type="pct"/>
                  <w:tcBorders>
                    <w:top w:val="single" w:color="auto" w:sz="4" w:space="0"/>
                    <w:left w:val="single" w:color="auto" w:sz="4" w:space="0"/>
                    <w:bottom w:val="single" w:color="auto" w:sz="4" w:space="0"/>
                    <w:right w:val="nil"/>
                  </w:tcBorders>
                  <w:vAlign w:val="center"/>
                </w:tcPr>
                <w:p w14:paraId="52548E08">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LD</w:t>
                  </w:r>
                  <w:r>
                    <w:rPr>
                      <w:rFonts w:hint="eastAsia"/>
                      <w:color w:val="000000" w:themeColor="text1"/>
                      <w:sz w:val="21"/>
                      <w:szCs w:val="21"/>
                      <w:vertAlign w:val="subscript"/>
                      <w:lang w:val="en-US" w:eastAsia="zh-CN"/>
                      <w14:textFill>
                        <w14:solidFill>
                          <w14:schemeClr w14:val="tx1"/>
                        </w14:solidFill>
                      </w14:textFill>
                    </w:rPr>
                    <w:t>50</w:t>
                  </w:r>
                  <w:r>
                    <w:rPr>
                      <w:rFonts w:hint="eastAsia"/>
                      <w:color w:val="000000" w:themeColor="text1"/>
                      <w:sz w:val="21"/>
                      <w:szCs w:val="21"/>
                      <w:lang w:val="en-US" w:eastAsia="zh-CN"/>
                      <w14:textFill>
                        <w14:solidFill>
                          <w14:schemeClr w14:val="tx1"/>
                        </w14:solidFill>
                      </w14:textFill>
                    </w:rPr>
                    <w:t>：5000mg/kg</w:t>
                  </w:r>
                </w:p>
              </w:tc>
            </w:tr>
            <w:tr w14:paraId="756B69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3266896D">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醋酸丁酯</w:t>
                  </w:r>
                </w:p>
              </w:tc>
              <w:tc>
                <w:tcPr>
                  <w:tcW w:w="3415" w:type="pct"/>
                  <w:tcBorders>
                    <w:top w:val="single" w:color="auto" w:sz="4" w:space="0"/>
                    <w:left w:val="single" w:color="auto" w:sz="4" w:space="0"/>
                    <w:bottom w:val="single" w:color="auto" w:sz="4" w:space="0"/>
                    <w:right w:val="single" w:color="auto" w:sz="4" w:space="0"/>
                  </w:tcBorders>
                  <w:vAlign w:val="center"/>
                </w:tcPr>
                <w:p w14:paraId="26209975">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无色液体，微溶于水，溶于乙醇、乙醚等多种有机溶剂，熔点：-76.8℃；沸点126.1℃；密度：0.88g/cm</w:t>
                  </w:r>
                  <w:r>
                    <w:rPr>
                      <w:rFonts w:hint="eastAsia" w:cs="Times New Roman"/>
                      <w:color w:val="000000" w:themeColor="text1"/>
                      <w:kern w:val="0"/>
                      <w:sz w:val="21"/>
                      <w:szCs w:val="21"/>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14:textFill>
                        <w14:solidFill>
                          <w14:schemeClr w14:val="tx1"/>
                        </w14:solidFill>
                      </w14:textFill>
                    </w:rPr>
                    <w:t>。</w:t>
                  </w:r>
                </w:p>
              </w:tc>
              <w:tc>
                <w:tcPr>
                  <w:tcW w:w="970" w:type="pct"/>
                  <w:tcBorders>
                    <w:top w:val="single" w:color="auto" w:sz="4" w:space="0"/>
                    <w:left w:val="single" w:color="auto" w:sz="4" w:space="0"/>
                    <w:bottom w:val="single" w:color="auto" w:sz="4" w:space="0"/>
                    <w:right w:val="nil"/>
                  </w:tcBorders>
                  <w:vAlign w:val="center"/>
                </w:tcPr>
                <w:p w14:paraId="0B794EBA">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LD</w:t>
                  </w:r>
                  <w:r>
                    <w:rPr>
                      <w:rFonts w:hint="eastAsia"/>
                      <w:color w:val="000000" w:themeColor="text1"/>
                      <w:sz w:val="21"/>
                      <w:szCs w:val="21"/>
                      <w:vertAlign w:val="subscript"/>
                      <w:lang w:val="en-US" w:eastAsia="zh-CN"/>
                      <w14:textFill>
                        <w14:solidFill>
                          <w14:schemeClr w14:val="tx1"/>
                        </w14:solidFill>
                      </w14:textFill>
                    </w:rPr>
                    <w:t>50</w:t>
                  </w:r>
                  <w:r>
                    <w:rPr>
                      <w:rFonts w:hint="eastAsia"/>
                      <w:color w:val="000000" w:themeColor="text1"/>
                      <w:sz w:val="21"/>
                      <w:szCs w:val="21"/>
                      <w:lang w:val="en-US" w:eastAsia="zh-CN"/>
                      <w14:textFill>
                        <w14:solidFill>
                          <w14:schemeClr w14:val="tx1"/>
                        </w14:solidFill>
                      </w14:textFill>
                    </w:rPr>
                    <w:t>：13100mg/kg</w:t>
                  </w:r>
                </w:p>
              </w:tc>
            </w:tr>
            <w:tr w14:paraId="4E61F8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7F7EE914">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color w:val="000000" w:themeColor="text1"/>
                      <w:kern w:val="0"/>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环己酮</w:t>
                  </w:r>
                </w:p>
              </w:tc>
              <w:tc>
                <w:tcPr>
                  <w:tcW w:w="3415" w:type="pct"/>
                  <w:tcBorders>
                    <w:top w:val="single" w:color="auto" w:sz="4" w:space="0"/>
                    <w:left w:val="single" w:color="auto" w:sz="4" w:space="0"/>
                    <w:bottom w:val="single" w:color="auto" w:sz="4" w:space="0"/>
                    <w:right w:val="single" w:color="auto" w:sz="4" w:space="0"/>
                  </w:tcBorders>
                  <w:vAlign w:val="center"/>
                </w:tcPr>
                <w:p w14:paraId="3D7A93E0">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ascii="Times New Roman" w:hAnsi="Times New Roman" w:eastAsia="宋体" w:cs="Times New Roman"/>
                      <w:color w:val="000000" w:themeColor="text1"/>
                      <w:kern w:val="0"/>
                      <w:sz w:val="21"/>
                      <w:szCs w:val="21"/>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无色透明液体，微溶于水，溶于乙醇、乙醚等多种有机溶剂，熔点：-47℃；沸点155.6℃；密度：0.95g/cm</w:t>
                  </w:r>
                  <w:r>
                    <w:rPr>
                      <w:rFonts w:hint="eastAsia" w:cs="Times New Roman"/>
                      <w:color w:val="000000" w:themeColor="text1"/>
                      <w:kern w:val="0"/>
                      <w:sz w:val="21"/>
                      <w:szCs w:val="21"/>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14:textFill>
                        <w14:solidFill>
                          <w14:schemeClr w14:val="tx1"/>
                        </w14:solidFill>
                      </w14:textFill>
                    </w:rPr>
                    <w:t>。</w:t>
                  </w:r>
                </w:p>
              </w:tc>
              <w:tc>
                <w:tcPr>
                  <w:tcW w:w="970" w:type="pct"/>
                  <w:tcBorders>
                    <w:top w:val="single" w:color="auto" w:sz="4" w:space="0"/>
                    <w:left w:val="single" w:color="auto" w:sz="4" w:space="0"/>
                    <w:bottom w:val="single" w:color="auto" w:sz="4" w:space="0"/>
                    <w:right w:val="nil"/>
                  </w:tcBorders>
                  <w:vAlign w:val="center"/>
                </w:tcPr>
                <w:p w14:paraId="463485B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LD</w:t>
                  </w:r>
                  <w:r>
                    <w:rPr>
                      <w:rFonts w:hint="eastAsia"/>
                      <w:color w:val="000000" w:themeColor="text1"/>
                      <w:sz w:val="21"/>
                      <w:szCs w:val="21"/>
                      <w:vertAlign w:val="subscript"/>
                      <w:lang w:val="en-US" w:eastAsia="zh-CN"/>
                      <w14:textFill>
                        <w14:solidFill>
                          <w14:schemeClr w14:val="tx1"/>
                        </w14:solidFill>
                      </w14:textFill>
                    </w:rPr>
                    <w:t>50</w:t>
                  </w:r>
                  <w:r>
                    <w:rPr>
                      <w:rFonts w:hint="eastAsia"/>
                      <w:color w:val="000000" w:themeColor="text1"/>
                      <w:sz w:val="21"/>
                      <w:szCs w:val="21"/>
                      <w:lang w:val="en-US" w:eastAsia="zh-CN"/>
                      <w14:textFill>
                        <w14:solidFill>
                          <w14:schemeClr w14:val="tx1"/>
                        </w14:solidFill>
                      </w14:textFill>
                    </w:rPr>
                    <w:t>：1535mg/kg</w:t>
                  </w:r>
                </w:p>
              </w:tc>
            </w:tr>
            <w:tr w14:paraId="24A232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4" w:type="pct"/>
                  <w:tcBorders>
                    <w:top w:val="single" w:color="auto" w:sz="4" w:space="0"/>
                    <w:left w:val="nil"/>
                    <w:bottom w:val="single" w:color="auto" w:sz="4" w:space="0"/>
                    <w:right w:val="single" w:color="auto" w:sz="4" w:space="0"/>
                  </w:tcBorders>
                  <w:vAlign w:val="center"/>
                </w:tcPr>
                <w:p w14:paraId="54B8DB6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textAlignment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二丙二醇丁醚</w:t>
                  </w:r>
                </w:p>
              </w:tc>
              <w:tc>
                <w:tcPr>
                  <w:tcW w:w="3415" w:type="pct"/>
                  <w:tcBorders>
                    <w:top w:val="single" w:color="auto" w:sz="4" w:space="0"/>
                    <w:left w:val="single" w:color="auto" w:sz="4" w:space="0"/>
                    <w:bottom w:val="single" w:color="auto" w:sz="4" w:space="0"/>
                    <w:right w:val="single" w:color="auto" w:sz="4" w:space="0"/>
                  </w:tcBorders>
                  <w:vAlign w:val="center"/>
                </w:tcPr>
                <w:p w14:paraId="1FE62BE3">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both"/>
                    <w:rPr>
                      <w:rFonts w:hint="default" w:ascii="Times New Roman" w:hAnsi="Times New Roman" w:eastAsia="宋体" w:cs="Times New Roman"/>
                      <w:color w:val="000000" w:themeColor="text1"/>
                      <w:kern w:val="0"/>
                      <w:sz w:val="21"/>
                      <w:szCs w:val="21"/>
                      <w:lang w:val="en-US"/>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无色液体，溶于水，沸点214-217℃；密度：0.913g/cm</w:t>
                  </w:r>
                  <w:r>
                    <w:rPr>
                      <w:rFonts w:hint="eastAsia" w:cs="Times New Roman"/>
                      <w:color w:val="000000" w:themeColor="text1"/>
                      <w:kern w:val="0"/>
                      <w:sz w:val="21"/>
                      <w:szCs w:val="21"/>
                      <w:vertAlign w:val="superscript"/>
                      <w:lang w:val="en-US" w:eastAsia="zh-CN"/>
                      <w14:textFill>
                        <w14:solidFill>
                          <w14:schemeClr w14:val="tx1"/>
                        </w14:solidFill>
                      </w14:textFill>
                    </w:rPr>
                    <w:t>3</w:t>
                  </w:r>
                  <w:r>
                    <w:rPr>
                      <w:rFonts w:hint="eastAsia" w:cs="Times New Roman"/>
                      <w:color w:val="000000" w:themeColor="text1"/>
                      <w:kern w:val="0"/>
                      <w:sz w:val="21"/>
                      <w:szCs w:val="21"/>
                      <w:lang w:val="en-US" w:eastAsia="zh-CN"/>
                      <w14:textFill>
                        <w14:solidFill>
                          <w14:schemeClr w14:val="tx1"/>
                        </w14:solidFill>
                      </w14:textFill>
                    </w:rPr>
                    <w:t>。</w:t>
                  </w:r>
                </w:p>
              </w:tc>
              <w:tc>
                <w:tcPr>
                  <w:tcW w:w="970" w:type="pct"/>
                  <w:tcBorders>
                    <w:top w:val="single" w:color="auto" w:sz="4" w:space="0"/>
                    <w:left w:val="single" w:color="auto" w:sz="4" w:space="0"/>
                    <w:bottom w:val="single" w:color="auto" w:sz="4" w:space="0"/>
                    <w:right w:val="nil"/>
                  </w:tcBorders>
                  <w:vAlign w:val="center"/>
                </w:tcPr>
                <w:p w14:paraId="7F3A3CAE">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w:t>
                  </w:r>
                </w:p>
              </w:tc>
            </w:tr>
          </w:tbl>
          <w:p w14:paraId="67394A11">
            <w:pPr>
              <w:pStyle w:val="57"/>
              <w:keepNext w:val="0"/>
              <w:keepLines w:val="0"/>
              <w:pageBreakBefore w:val="0"/>
              <w:widowControl w:val="0"/>
              <w:numPr>
                <w:ilvl w:val="3"/>
                <w:numId w:val="0"/>
              </w:numPr>
              <w:tabs>
                <w:tab w:val="clear" w:pos="420"/>
              </w:tabs>
              <w:kinsoku/>
              <w:wordWrap/>
              <w:overflowPunct/>
              <w:topLinePunct w:val="0"/>
              <w:autoSpaceDE/>
              <w:autoSpaceDN/>
              <w:bidi w:val="0"/>
              <w:adjustRightInd w:val="0"/>
              <w:snapToGrid w:val="0"/>
              <w:spacing w:before="157" w:beforeLines="50"/>
              <w:ind w:leftChars="0"/>
              <w:jc w:val="both"/>
              <w:textAlignment w:val="auto"/>
              <w:rPr>
                <w:rFonts w:hint="default"/>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7、用漆量和油漆中VOC核算</w:t>
            </w:r>
          </w:p>
          <w:p w14:paraId="751ED101">
            <w:pPr>
              <w:pStyle w:val="57"/>
              <w:keepNext w:val="0"/>
              <w:keepLines w:val="0"/>
              <w:pageBreakBefore w:val="0"/>
              <w:widowControl w:val="0"/>
              <w:numPr>
                <w:ilvl w:val="3"/>
                <w:numId w:val="19"/>
              </w:numPr>
              <w:kinsoku/>
              <w:wordWrap/>
              <w:overflowPunct/>
              <w:topLinePunct w:val="0"/>
              <w:autoSpaceDE/>
              <w:autoSpaceDN/>
              <w:bidi w:val="0"/>
              <w:adjustRightInd w:val="0"/>
              <w:snapToGrid w:val="0"/>
              <w:spacing w:before="157" w:beforeLines="50"/>
              <w:textAlignment w:val="auto"/>
              <w:rPr>
                <w:bCs/>
                <w:color w:val="000000" w:themeColor="text1"/>
                <w:lang w:eastAsia="zh-CN"/>
                <w14:textFill>
                  <w14:solidFill>
                    <w14:schemeClr w14:val="tx1"/>
                  </w14:solidFill>
                </w14:textFill>
              </w:rPr>
            </w:pPr>
            <w:r>
              <w:rPr>
                <w:color w:val="000000" w:themeColor="text1"/>
                <w:kern w:val="0"/>
                <w:sz w:val="21"/>
                <w:szCs w:val="21"/>
                <w:lang w:eastAsia="zh-CN" w:bidi="en-US"/>
                <w14:textFill>
                  <w14:solidFill>
                    <w14:schemeClr w14:val="tx1"/>
                  </w14:solidFill>
                </w14:textFill>
              </w:rPr>
              <w:t>项目</w:t>
            </w:r>
            <w:r>
              <w:rPr>
                <w:rFonts w:hint="eastAsia"/>
                <w:color w:val="000000" w:themeColor="text1"/>
                <w:kern w:val="0"/>
                <w:sz w:val="21"/>
                <w:szCs w:val="21"/>
                <w:lang w:val="en-US" w:eastAsia="zh-CN" w:bidi="en-US"/>
                <w14:textFill>
                  <w14:solidFill>
                    <w14:schemeClr w14:val="tx1"/>
                  </w14:solidFill>
                </w14:textFill>
              </w:rPr>
              <w:t>油漆、水性漆调配后成分情况</w:t>
            </w:r>
            <w:r>
              <w:rPr>
                <w:color w:val="000000" w:themeColor="text1"/>
                <w:kern w:val="0"/>
                <w:sz w:val="21"/>
                <w:szCs w:val="21"/>
                <w:lang w:eastAsia="zh-CN" w:bidi="en-US"/>
                <w14:textFill>
                  <w14:solidFill>
                    <w14:schemeClr w14:val="tx1"/>
                  </w14:solidFill>
                </w14:textFill>
              </w:rPr>
              <w:t>表</w:t>
            </w:r>
          </w:p>
          <w:tbl>
            <w:tblPr>
              <w:tblStyle w:val="36"/>
              <w:tblW w:w="4915"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684"/>
              <w:gridCol w:w="2209"/>
              <w:gridCol w:w="1160"/>
              <w:gridCol w:w="1685"/>
              <w:gridCol w:w="1688"/>
            </w:tblGrid>
            <w:tr w14:paraId="3024C10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tcBorders>
                    <w:tl2br w:val="nil"/>
                    <w:tr2bl w:val="nil"/>
                  </w:tcBorders>
                  <w:vAlign w:val="center"/>
                </w:tcPr>
                <w:p w14:paraId="49F702F7">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t>原料</w:t>
                  </w:r>
                </w:p>
              </w:tc>
              <w:tc>
                <w:tcPr>
                  <w:tcW w:w="1310" w:type="pct"/>
                  <w:tcBorders>
                    <w:tl2br w:val="nil"/>
                    <w:tr2bl w:val="nil"/>
                  </w:tcBorders>
                  <w:vAlign w:val="center"/>
                </w:tcPr>
                <w:p w14:paraId="497F0983">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t>成分名称</w:t>
                  </w:r>
                </w:p>
              </w:tc>
              <w:tc>
                <w:tcPr>
                  <w:tcW w:w="688" w:type="pct"/>
                  <w:tcBorders>
                    <w:tl2br w:val="nil"/>
                    <w:tr2bl w:val="nil"/>
                  </w:tcBorders>
                  <w:vAlign w:val="center"/>
                </w:tcPr>
                <w:p w14:paraId="45D26307">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t>单位</w:t>
                  </w:r>
                </w:p>
              </w:tc>
              <w:tc>
                <w:tcPr>
                  <w:tcW w:w="999" w:type="pct"/>
                  <w:tcBorders>
                    <w:tl2br w:val="nil"/>
                    <w:tr2bl w:val="nil"/>
                  </w:tcBorders>
                  <w:vAlign w:val="center"/>
                </w:tcPr>
                <w:p w14:paraId="7F1B98E2">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t>含量</w:t>
                  </w:r>
                </w:p>
              </w:tc>
              <w:tc>
                <w:tcPr>
                  <w:tcW w:w="1001" w:type="pct"/>
                  <w:tcBorders>
                    <w:tl2br w:val="nil"/>
                    <w:tr2bl w:val="nil"/>
                  </w:tcBorders>
                  <w:vAlign w:val="center"/>
                </w:tcPr>
                <w:p w14:paraId="2E95D424">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t>备注</w:t>
                  </w:r>
                </w:p>
              </w:tc>
            </w:tr>
            <w:tr w14:paraId="5777F75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restart"/>
                  <w:tcBorders>
                    <w:tl2br w:val="nil"/>
                    <w:tr2bl w:val="nil"/>
                  </w:tcBorders>
                  <w:vAlign w:val="center"/>
                </w:tcPr>
                <w:p w14:paraId="1725FAC3">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水性漆（水性漆与水的比例为2：1）</w:t>
                  </w:r>
                </w:p>
              </w:tc>
              <w:tc>
                <w:tcPr>
                  <w:tcW w:w="1310" w:type="pct"/>
                  <w:tcBorders>
                    <w:tl2br w:val="nil"/>
                    <w:tr2bl w:val="nil"/>
                  </w:tcBorders>
                  <w:vAlign w:val="center"/>
                </w:tcPr>
                <w:p w14:paraId="2522A45F">
                  <w:pPr>
                    <w:widowControl/>
                    <w:adjustRightInd/>
                    <w:snapToGrid/>
                    <w:spacing w:line="240" w:lineRule="auto"/>
                    <w:ind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二丙二醇丁醚</w:t>
                  </w:r>
                </w:p>
              </w:tc>
              <w:tc>
                <w:tcPr>
                  <w:tcW w:w="688" w:type="pct"/>
                  <w:tcBorders>
                    <w:tl2br w:val="nil"/>
                    <w:tr2bl w:val="nil"/>
                  </w:tcBorders>
                  <w:vAlign w:val="center"/>
                </w:tcPr>
                <w:p w14:paraId="370C680E">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3E6FCAD5">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3.33</w:t>
                  </w:r>
                </w:p>
              </w:tc>
              <w:tc>
                <w:tcPr>
                  <w:tcW w:w="1001" w:type="pct"/>
                  <w:vMerge w:val="restart"/>
                  <w:tcBorders>
                    <w:tl2br w:val="nil"/>
                    <w:tr2bl w:val="nil"/>
                  </w:tcBorders>
                  <w:vAlign w:val="center"/>
                </w:tcPr>
                <w:p w14:paraId="7DDB426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挥发份5.33%</w:t>
                  </w:r>
                </w:p>
              </w:tc>
            </w:tr>
            <w:tr w14:paraId="5D0321A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305C5519">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shd w:val="clear" w:color="auto" w:fill="auto"/>
                  <w:vAlign w:val="center"/>
                </w:tcPr>
                <w:p w14:paraId="50071552">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有机硅助剂</w:t>
                  </w:r>
                </w:p>
              </w:tc>
              <w:tc>
                <w:tcPr>
                  <w:tcW w:w="688" w:type="pct"/>
                  <w:tcBorders>
                    <w:tl2br w:val="nil"/>
                    <w:tr2bl w:val="nil"/>
                  </w:tcBorders>
                  <w:vAlign w:val="center"/>
                </w:tcPr>
                <w:p w14:paraId="4C8B4B30">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258F37EE">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2.00</w:t>
                  </w:r>
                </w:p>
              </w:tc>
              <w:tc>
                <w:tcPr>
                  <w:tcW w:w="1001" w:type="pct"/>
                  <w:vMerge w:val="continue"/>
                  <w:tcBorders>
                    <w:tl2br w:val="nil"/>
                    <w:tr2bl w:val="nil"/>
                  </w:tcBorders>
                  <w:vAlign w:val="center"/>
                </w:tcPr>
                <w:p w14:paraId="0EA4F7B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p>
              </w:tc>
            </w:tr>
            <w:tr w14:paraId="7E29027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46A5C470">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vAlign w:val="center"/>
                </w:tcPr>
                <w:p w14:paraId="07DF9C43">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水性丙烯酸乳液</w:t>
                  </w:r>
                </w:p>
              </w:tc>
              <w:tc>
                <w:tcPr>
                  <w:tcW w:w="688" w:type="pct"/>
                  <w:tcBorders>
                    <w:tl2br w:val="nil"/>
                    <w:tr2bl w:val="nil"/>
                  </w:tcBorders>
                  <w:shd w:val="clear" w:color="auto" w:fill="auto"/>
                  <w:vAlign w:val="center"/>
                </w:tcPr>
                <w:p w14:paraId="4971089A">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11D73934">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40</w:t>
                  </w:r>
                </w:p>
              </w:tc>
              <w:tc>
                <w:tcPr>
                  <w:tcW w:w="1001" w:type="pct"/>
                  <w:vMerge w:val="restart"/>
                  <w:tcBorders>
                    <w:tl2br w:val="nil"/>
                    <w:tr2bl w:val="nil"/>
                  </w:tcBorders>
                  <w:vAlign w:val="center"/>
                </w:tcPr>
                <w:p w14:paraId="43BEDD23">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固份53.33%</w:t>
                  </w:r>
                </w:p>
              </w:tc>
            </w:tr>
            <w:tr w14:paraId="6CE5F70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4A95C18A">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vAlign w:val="center"/>
                </w:tcPr>
                <w:p w14:paraId="56C851CD">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钛白粉（二氧化钛）</w:t>
                  </w:r>
                </w:p>
              </w:tc>
              <w:tc>
                <w:tcPr>
                  <w:tcW w:w="688" w:type="pct"/>
                  <w:tcBorders>
                    <w:tl2br w:val="nil"/>
                    <w:tr2bl w:val="nil"/>
                  </w:tcBorders>
                  <w:shd w:val="clear" w:color="auto" w:fill="auto"/>
                  <w:vAlign w:val="center"/>
                </w:tcPr>
                <w:p w14:paraId="36C0632A">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0A2E7D60">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13.33</w:t>
                  </w:r>
                </w:p>
              </w:tc>
              <w:tc>
                <w:tcPr>
                  <w:tcW w:w="1001" w:type="pct"/>
                  <w:vMerge w:val="continue"/>
                  <w:tcBorders>
                    <w:tl2br w:val="nil"/>
                    <w:tr2bl w:val="nil"/>
                  </w:tcBorders>
                  <w:vAlign w:val="center"/>
                </w:tcPr>
                <w:p w14:paraId="51F5C342">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p>
              </w:tc>
            </w:tr>
            <w:tr w14:paraId="4C7A16F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6ED4C452">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vAlign w:val="center"/>
                </w:tcPr>
                <w:p w14:paraId="337CE579">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水</w:t>
                  </w:r>
                </w:p>
              </w:tc>
              <w:tc>
                <w:tcPr>
                  <w:tcW w:w="688" w:type="pct"/>
                  <w:tcBorders>
                    <w:tl2br w:val="nil"/>
                    <w:tr2bl w:val="nil"/>
                  </w:tcBorders>
                  <w:shd w:val="clear" w:color="auto" w:fill="auto"/>
                  <w:vAlign w:val="center"/>
                </w:tcPr>
                <w:p w14:paraId="1D5C5D1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0D4947E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41.34</w:t>
                  </w:r>
                </w:p>
              </w:tc>
              <w:tc>
                <w:tcPr>
                  <w:tcW w:w="1001" w:type="pct"/>
                  <w:tcBorders>
                    <w:tl2br w:val="nil"/>
                    <w:tr2bl w:val="nil"/>
                  </w:tcBorders>
                  <w:vAlign w:val="center"/>
                </w:tcPr>
                <w:p w14:paraId="3B784102">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r>
            <w:tr w14:paraId="1367765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restart"/>
                  <w:tcBorders>
                    <w:tl2br w:val="nil"/>
                    <w:tr2bl w:val="nil"/>
                  </w:tcBorders>
                  <w:vAlign w:val="center"/>
                </w:tcPr>
                <w:p w14:paraId="0B1E46B9">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油漆（油漆与稀释剂的比例为2：1）</w:t>
                  </w:r>
                </w:p>
              </w:tc>
              <w:tc>
                <w:tcPr>
                  <w:tcW w:w="1310" w:type="pct"/>
                  <w:tcBorders>
                    <w:tl2br w:val="nil"/>
                    <w:tr2bl w:val="nil"/>
                  </w:tcBorders>
                  <w:vAlign w:val="center"/>
                </w:tcPr>
                <w:p w14:paraId="6DAE30FC">
                  <w:pPr>
                    <w:widowControl/>
                    <w:adjustRightInd/>
                    <w:snapToGrid/>
                    <w:spacing w:line="240" w:lineRule="auto"/>
                    <w:ind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二甲苯</w:t>
                  </w:r>
                </w:p>
              </w:tc>
              <w:tc>
                <w:tcPr>
                  <w:tcW w:w="688" w:type="pct"/>
                  <w:tcBorders>
                    <w:tl2br w:val="nil"/>
                    <w:tr2bl w:val="nil"/>
                  </w:tcBorders>
                  <w:shd w:val="clear" w:color="auto" w:fill="auto"/>
                  <w:vAlign w:val="center"/>
                </w:tcPr>
                <w:p w14:paraId="445561A3">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53886A9F">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 xml:space="preserve">20.33 </w:t>
                  </w:r>
                </w:p>
              </w:tc>
              <w:tc>
                <w:tcPr>
                  <w:tcW w:w="1001" w:type="pct"/>
                  <w:vMerge w:val="restart"/>
                  <w:tcBorders>
                    <w:tl2br w:val="nil"/>
                    <w:tr2bl w:val="nil"/>
                  </w:tcBorders>
                  <w:vAlign w:val="center"/>
                </w:tcPr>
                <w:p w14:paraId="584DDB2D">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挥发份43.99%</w:t>
                  </w:r>
                </w:p>
              </w:tc>
            </w:tr>
            <w:tr w14:paraId="02FF621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7457829D">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shd w:val="clear" w:color="auto" w:fill="auto"/>
                  <w:vAlign w:val="center"/>
                </w:tcPr>
                <w:p w14:paraId="209B4052">
                  <w:pPr>
                    <w:widowControl/>
                    <w:adjustRightInd/>
                    <w:snapToGrid/>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乙酸丁酯</w:t>
                  </w:r>
                </w:p>
              </w:tc>
              <w:tc>
                <w:tcPr>
                  <w:tcW w:w="688" w:type="pct"/>
                  <w:tcBorders>
                    <w:tl2br w:val="nil"/>
                    <w:tr2bl w:val="nil"/>
                  </w:tcBorders>
                  <w:shd w:val="clear" w:color="auto" w:fill="auto"/>
                  <w:vAlign w:val="center"/>
                </w:tcPr>
                <w:p w14:paraId="367ADAE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2811B736">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 xml:space="preserve">20.33 </w:t>
                  </w:r>
                </w:p>
              </w:tc>
              <w:tc>
                <w:tcPr>
                  <w:tcW w:w="1001" w:type="pct"/>
                  <w:vMerge w:val="continue"/>
                  <w:tcBorders>
                    <w:tl2br w:val="nil"/>
                    <w:tr2bl w:val="nil"/>
                  </w:tcBorders>
                  <w:vAlign w:val="center"/>
                </w:tcPr>
                <w:p w14:paraId="4CCBF384">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14:textFill>
                        <w14:solidFill>
                          <w14:schemeClr w14:val="tx1"/>
                        </w14:solidFill>
                      </w14:textFill>
                    </w:rPr>
                  </w:pPr>
                </w:p>
              </w:tc>
            </w:tr>
            <w:tr w14:paraId="5C31C82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0B8B8B78">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shd w:val="clear" w:color="auto" w:fill="auto"/>
                  <w:vAlign w:val="center"/>
                </w:tcPr>
                <w:p w14:paraId="344EF0C1">
                  <w:pPr>
                    <w:widowControl/>
                    <w:adjustRightInd/>
                    <w:snapToGrid/>
                    <w:spacing w:line="240" w:lineRule="auto"/>
                    <w:ind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环己酮</w:t>
                  </w:r>
                </w:p>
              </w:tc>
              <w:tc>
                <w:tcPr>
                  <w:tcW w:w="688" w:type="pct"/>
                  <w:tcBorders>
                    <w:tl2br w:val="nil"/>
                    <w:tr2bl w:val="nil"/>
                  </w:tcBorders>
                  <w:shd w:val="clear" w:color="auto" w:fill="auto"/>
                  <w:vAlign w:val="center"/>
                </w:tcPr>
                <w:p w14:paraId="45EC7B0F">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52081C4B">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 xml:space="preserve">3.33 </w:t>
                  </w:r>
                </w:p>
              </w:tc>
              <w:tc>
                <w:tcPr>
                  <w:tcW w:w="1001" w:type="pct"/>
                  <w:vMerge w:val="continue"/>
                  <w:tcBorders>
                    <w:tl2br w:val="nil"/>
                    <w:tr2bl w:val="nil"/>
                  </w:tcBorders>
                  <w:vAlign w:val="center"/>
                </w:tcPr>
                <w:p w14:paraId="250D9A17">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14:textFill>
                        <w14:solidFill>
                          <w14:schemeClr w14:val="tx1"/>
                        </w14:solidFill>
                      </w14:textFill>
                    </w:rPr>
                  </w:pPr>
                </w:p>
              </w:tc>
            </w:tr>
            <w:tr w14:paraId="6E04FB8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309CD309">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shd w:val="clear" w:color="auto" w:fill="auto"/>
                  <w:vAlign w:val="center"/>
                </w:tcPr>
                <w:p w14:paraId="52ABD149">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丙烯酸树脂</w:t>
                  </w:r>
                </w:p>
              </w:tc>
              <w:tc>
                <w:tcPr>
                  <w:tcW w:w="688" w:type="pct"/>
                  <w:tcBorders>
                    <w:tl2br w:val="nil"/>
                    <w:tr2bl w:val="nil"/>
                  </w:tcBorders>
                  <w:shd w:val="clear" w:color="auto" w:fill="auto"/>
                  <w:vAlign w:val="center"/>
                </w:tcPr>
                <w:p w14:paraId="6373CF5C">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12BC8C69">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 xml:space="preserve">46.68 </w:t>
                  </w:r>
                </w:p>
              </w:tc>
              <w:tc>
                <w:tcPr>
                  <w:tcW w:w="1001" w:type="pct"/>
                  <w:vMerge w:val="restart"/>
                  <w:tcBorders>
                    <w:tl2br w:val="nil"/>
                    <w:tr2bl w:val="nil"/>
                  </w:tcBorders>
                  <w:vAlign w:val="center"/>
                </w:tcPr>
                <w:p w14:paraId="024F368B">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固份56.01%</w:t>
                  </w:r>
                </w:p>
              </w:tc>
            </w:tr>
            <w:tr w14:paraId="78A8801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5763F00F">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shd w:val="clear" w:color="auto" w:fill="auto"/>
                  <w:vAlign w:val="center"/>
                </w:tcPr>
                <w:p w14:paraId="5548D4BA">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二氧化钛</w:t>
                  </w:r>
                </w:p>
              </w:tc>
              <w:tc>
                <w:tcPr>
                  <w:tcW w:w="688" w:type="pct"/>
                  <w:tcBorders>
                    <w:tl2br w:val="nil"/>
                    <w:tr2bl w:val="nil"/>
                  </w:tcBorders>
                  <w:shd w:val="clear" w:color="auto" w:fill="auto"/>
                  <w:vAlign w:val="center"/>
                </w:tcPr>
                <w:p w14:paraId="1BA9BCAF">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013D1032">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 xml:space="preserve">7.33 </w:t>
                  </w:r>
                </w:p>
              </w:tc>
              <w:tc>
                <w:tcPr>
                  <w:tcW w:w="1001" w:type="pct"/>
                  <w:vMerge w:val="continue"/>
                  <w:tcBorders>
                    <w:tl2br w:val="nil"/>
                    <w:tr2bl w:val="nil"/>
                  </w:tcBorders>
                  <w:vAlign w:val="center"/>
                </w:tcPr>
                <w:p w14:paraId="70F9B302">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p>
              </w:tc>
            </w:tr>
            <w:tr w14:paraId="63ACCCE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99" w:type="pct"/>
                  <w:vMerge w:val="continue"/>
                  <w:tcBorders>
                    <w:tl2br w:val="nil"/>
                    <w:tr2bl w:val="nil"/>
                  </w:tcBorders>
                  <w:vAlign w:val="center"/>
                </w:tcPr>
                <w:p w14:paraId="6D517A5F">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ascii="Times New Roman" w:hAnsi="Times New Roman" w:eastAsia="宋体" w:cs="Times New Roman"/>
                      <w:b w:val="0"/>
                      <w:bCs w:val="0"/>
                      <w:color w:val="000000" w:themeColor="text1"/>
                      <w:kern w:val="0"/>
                      <w:sz w:val="21"/>
                      <w:szCs w:val="21"/>
                      <w14:textFill>
                        <w14:solidFill>
                          <w14:schemeClr w14:val="tx1"/>
                        </w14:solidFill>
                      </w14:textFill>
                    </w:rPr>
                  </w:pPr>
                </w:p>
              </w:tc>
              <w:tc>
                <w:tcPr>
                  <w:tcW w:w="1310" w:type="pct"/>
                  <w:tcBorders>
                    <w:tl2br w:val="nil"/>
                    <w:tr2bl w:val="nil"/>
                  </w:tcBorders>
                  <w:shd w:val="clear" w:color="auto" w:fill="auto"/>
                  <w:vAlign w:val="center"/>
                </w:tcPr>
                <w:p w14:paraId="17254189">
                  <w:pPr>
                    <w:widowControl/>
                    <w:adjustRightInd/>
                    <w:snapToGrid/>
                    <w:spacing w:line="240" w:lineRule="auto"/>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颜料粉</w:t>
                  </w:r>
                </w:p>
              </w:tc>
              <w:tc>
                <w:tcPr>
                  <w:tcW w:w="688" w:type="pct"/>
                  <w:tcBorders>
                    <w:tl2br w:val="nil"/>
                    <w:tr2bl w:val="nil"/>
                  </w:tcBorders>
                  <w:shd w:val="clear" w:color="auto" w:fill="auto"/>
                  <w:vAlign w:val="center"/>
                </w:tcPr>
                <w:p w14:paraId="4BD722AB">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w:t>
                  </w:r>
                </w:p>
              </w:tc>
              <w:tc>
                <w:tcPr>
                  <w:tcW w:w="999" w:type="pct"/>
                  <w:tcBorders>
                    <w:tl2br w:val="nil"/>
                    <w:tr2bl w:val="nil"/>
                  </w:tcBorders>
                  <w:vAlign w:val="center"/>
                </w:tcPr>
                <w:p w14:paraId="68B89AD2">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 xml:space="preserve">2.00 </w:t>
                  </w:r>
                </w:p>
              </w:tc>
              <w:tc>
                <w:tcPr>
                  <w:tcW w:w="1001" w:type="pct"/>
                  <w:vMerge w:val="continue"/>
                  <w:tcBorders>
                    <w:tl2br w:val="nil"/>
                    <w:tr2bl w:val="nil"/>
                  </w:tcBorders>
                  <w:vAlign w:val="center"/>
                </w:tcPr>
                <w:p w14:paraId="0D39C787">
                  <w:pPr>
                    <w:keepNext w:val="0"/>
                    <w:keepLines w:val="0"/>
                    <w:pageBreakBefore w:val="0"/>
                    <w:widowControl/>
                    <w:kinsoku/>
                    <w:wordWrap/>
                    <w:overflowPunct/>
                    <w:topLinePunct w:val="0"/>
                    <w:bidi w:val="0"/>
                    <w:adjustRightInd/>
                    <w:snapToGrid/>
                    <w:spacing w:beforeAutospacing="0" w:afterAutospacing="0" w:line="240" w:lineRule="auto"/>
                    <w:ind w:left="0" w:leftChars="0" w:right="0" w:rightChars="0" w:firstLine="0" w:firstLineChars="0"/>
                    <w:jc w:val="center"/>
                    <w:rPr>
                      <w:rFonts w:hint="default" w:ascii="Times New Roman" w:hAnsi="Times New Roman" w:eastAsia="宋体" w:cs="Times New Roman"/>
                      <w:b w:val="0"/>
                      <w:bCs w:val="0"/>
                      <w:color w:val="000000" w:themeColor="text1"/>
                      <w:kern w:val="0"/>
                      <w:sz w:val="21"/>
                      <w:szCs w:val="21"/>
                      <w:lang w:val="en-US"/>
                      <w14:textFill>
                        <w14:solidFill>
                          <w14:schemeClr w14:val="tx1"/>
                        </w14:solidFill>
                      </w14:textFill>
                    </w:rPr>
                  </w:pPr>
                </w:p>
              </w:tc>
            </w:tr>
          </w:tbl>
          <w:p w14:paraId="46AE29E2">
            <w:pPr>
              <w:keepNext w:val="0"/>
              <w:keepLines w:val="0"/>
              <w:pageBreakBefore w:val="0"/>
              <w:widowControl w:val="0"/>
              <w:kinsoku/>
              <w:wordWrap/>
              <w:overflowPunct/>
              <w:topLinePunct w:val="0"/>
              <w:autoSpaceDE/>
              <w:autoSpaceDN/>
              <w:bidi w:val="0"/>
              <w:adjustRightInd w:val="0"/>
              <w:snapToGrid w:val="0"/>
              <w:spacing w:before="157" w:beforeLines="50"/>
              <w:ind w:firstLine="480"/>
              <w:textAlignment w:val="auto"/>
              <w:rPr>
                <w:rFonts w:hint="default" w:ascii="宋体" w:hAnsi="宋体" w:eastAsia="宋体"/>
                <w:color w:val="000000" w:themeColor="text1"/>
                <w:kern w:val="0"/>
                <w:sz w:val="24"/>
                <w:szCs w:val="24"/>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项目水性漆密度按1.1g/cm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计，则调配后的水性漆密度约为1.06</w:t>
            </w:r>
            <w:r>
              <w:rPr>
                <w:rFonts w:hint="eastAsia"/>
                <w:color w:val="000000" w:themeColor="text1"/>
                <w:lang w:val="en-US" w:eastAsia="zh-CN"/>
                <w14:textFill>
                  <w14:solidFill>
                    <w14:schemeClr w14:val="tx1"/>
                  </w14:solidFill>
                </w14:textFill>
              </w:rPr>
              <w:t>g/cm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，挥发份占比为5.33%，则调配后的水性漆VOC含量为56.5g/L；根据建设单位提供的油漆、稀释剂MSDS资料，油漆、稀释剂的密度分别为1.20g/cm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、0.8834g/cm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，则调配后的油漆密度约为1.07</w:t>
            </w:r>
            <w:r>
              <w:rPr>
                <w:rFonts w:hint="eastAsia"/>
                <w:color w:val="000000" w:themeColor="text1"/>
                <w:lang w:val="en-US" w:eastAsia="zh-CN"/>
                <w14:textFill>
                  <w14:solidFill>
                    <w14:schemeClr w14:val="tx1"/>
                  </w14:solidFill>
                </w14:textFill>
              </w:rPr>
              <w:t>g/cm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，挥发份占比为43.99%，则调配后的水性漆VOC含量为470.7g/L</w:t>
            </w:r>
            <w:r>
              <w:rPr>
                <w:rFonts w:ascii="宋体" w:hAnsi="宋体"/>
                <w:color w:val="000000" w:themeColor="text1"/>
                <w:kern w:val="0"/>
                <w14:textFill>
                  <w14:solidFill>
                    <w14:schemeClr w14:val="tx1"/>
                  </w14:solidFill>
                </w14:textFill>
              </w:rPr>
              <w:t>。</w:t>
            </w:r>
            <w:r>
              <w:rPr>
                <w:rFonts w:hint="eastAsia" w:ascii="宋体" w:hAnsi="宋体"/>
                <w:color w:val="000000" w:themeColor="text1"/>
                <w:kern w:val="0"/>
                <w:lang w:val="en-US" w:eastAsia="zh-CN"/>
                <w14:textFill>
                  <w14:solidFill>
                    <w14:schemeClr w14:val="tx1"/>
                  </w14:solidFill>
                </w14:textFill>
              </w:rPr>
              <w:t>对照</w:t>
            </w:r>
            <w:r>
              <w:rPr>
                <w:rFonts w:ascii="宋体" w:hAnsi="宋体" w:eastAsia="Times New Roman"/>
                <w:color w:val="000000" w:themeColor="text1"/>
                <w:sz w:val="24"/>
                <w:szCs w:val="24"/>
                <w14:textFill>
                  <w14:solidFill>
                    <w14:schemeClr w14:val="tx1"/>
                  </w14:solidFill>
                </w14:textFill>
              </w:rPr>
              <w:t>《低挥发性有机化合物含量涂料产品技术要求》（</w:t>
            </w:r>
            <w:r>
              <w:rPr>
                <w:rFonts w:eastAsia="Times New Roman"/>
                <w:color w:val="000000" w:themeColor="text1"/>
                <w:sz w:val="24"/>
                <w:szCs w:val="24"/>
                <w14:textFill>
                  <w14:solidFill>
                    <w14:schemeClr w14:val="tx1"/>
                  </w14:solidFill>
                </w14:textFill>
              </w:rPr>
              <w:t>GB/T 38597-2020</w:t>
            </w:r>
            <w:r>
              <w:rPr>
                <w:rFonts w:ascii="宋体" w:hAnsi="宋体" w:eastAsia="Times New Roman"/>
                <w:color w:val="000000" w:themeColor="text1"/>
                <w:sz w:val="24"/>
                <w:szCs w:val="24"/>
                <w14:textFill>
                  <w14:solidFill>
                    <w14:schemeClr w14:val="tx1"/>
                  </w14:solidFill>
                </w14:textFill>
              </w:rPr>
              <w:t>）</w:t>
            </w:r>
            <w:r>
              <w:rPr>
                <w:rFonts w:hint="eastAsia" w:ascii="宋体" w:hAnsi="宋体" w:eastAsia="宋体"/>
                <w:color w:val="000000" w:themeColor="text1"/>
                <w:sz w:val="24"/>
                <w:szCs w:val="24"/>
                <w:lang w:eastAsia="zh-CN"/>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由于</w:t>
            </w:r>
            <w:r>
              <w:rPr>
                <w:rFonts w:hint="eastAsia" w:ascii="Times New Roman" w:hAnsi="Times New Roman" w:eastAsia="宋体" w:cs="Times New Roman"/>
                <w:color w:val="000000" w:themeColor="text1"/>
                <w:sz w:val="24"/>
                <w:szCs w:val="24"/>
                <w14:textFill>
                  <w14:solidFill>
                    <w14:schemeClr w14:val="tx1"/>
                  </w14:solidFill>
                </w14:textFill>
              </w:rPr>
              <w:t>该标准中无树脂工艺品相关行业涂料要求</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因此本项目水性漆参照</w:t>
            </w:r>
            <w:r>
              <w:rPr>
                <w:rFonts w:eastAsia="Times New Roman"/>
                <w:color w:val="000000" w:themeColor="text1"/>
                <w:sz w:val="24"/>
                <w:szCs w:val="24"/>
                <w14:textFill>
                  <w14:solidFill>
                    <w14:schemeClr w14:val="tx1"/>
                  </w14:solidFill>
                </w14:textFill>
              </w:rPr>
              <w:t>GB/T 38597-2020</w:t>
            </w:r>
            <w:r>
              <w:rPr>
                <w:rFonts w:hint="eastAsia" w:eastAsia="宋体"/>
                <w:color w:val="000000" w:themeColor="text1"/>
                <w:sz w:val="24"/>
                <w:szCs w:val="24"/>
                <w:lang w:val="en-US" w:eastAsia="zh-CN"/>
                <w14:textFill>
                  <w14:solidFill>
                    <w14:schemeClr w14:val="tx1"/>
                  </w14:solidFill>
                </w14:textFill>
              </w:rPr>
              <w:t>表1中“玩具涂料”相关要求，油漆参照</w:t>
            </w:r>
            <w:r>
              <w:rPr>
                <w:rFonts w:eastAsia="Times New Roman"/>
                <w:color w:val="000000" w:themeColor="text1"/>
                <w:sz w:val="24"/>
                <w:szCs w:val="24"/>
                <w14:textFill>
                  <w14:solidFill>
                    <w14:schemeClr w14:val="tx1"/>
                  </w14:solidFill>
                </w14:textFill>
              </w:rPr>
              <w:t>GB/T 38597-2020</w:t>
            </w:r>
            <w:r>
              <w:rPr>
                <w:rFonts w:hint="eastAsia" w:eastAsia="宋体"/>
                <w:color w:val="000000" w:themeColor="text1"/>
                <w:sz w:val="24"/>
                <w:szCs w:val="24"/>
                <w:lang w:val="en-US" w:eastAsia="zh-CN"/>
                <w14:textFill>
                  <w14:solidFill>
                    <w14:schemeClr w14:val="tx1"/>
                  </w14:solidFill>
                </w14:textFill>
              </w:rPr>
              <w:t>表2中“车辆涂料”相关要求。</w:t>
            </w:r>
          </w:p>
          <w:p w14:paraId="6A754BE1">
            <w:pPr>
              <w:pStyle w:val="57"/>
              <w:numPr>
                <w:ilvl w:val="3"/>
                <w:numId w:val="19"/>
              </w:numPr>
              <w:rPr>
                <w:color w:val="000000" w:themeColor="text1"/>
                <w:kern w:val="0"/>
                <w:sz w:val="24"/>
                <w:szCs w:val="24"/>
                <w:lang w:eastAsia="zh-CN" w:bidi="en-US"/>
                <w14:textFill>
                  <w14:solidFill>
                    <w14:schemeClr w14:val="tx1"/>
                  </w14:solidFill>
                </w14:textFill>
              </w:rPr>
            </w:pPr>
            <w:r>
              <w:rPr>
                <w:color w:val="000000" w:themeColor="text1"/>
                <w:kern w:val="0"/>
                <w:sz w:val="21"/>
                <w:szCs w:val="21"/>
                <w:lang w:eastAsia="zh-CN" w:bidi="en-US"/>
                <w14:textFill>
                  <w14:solidFill>
                    <w14:schemeClr w14:val="tx1"/>
                  </w14:solidFill>
                </w14:textFill>
              </w:rPr>
              <w:t>原辅料VOC</w:t>
            </w:r>
            <w:r>
              <w:rPr>
                <w:rFonts w:hint="eastAsia"/>
                <w:color w:val="000000" w:themeColor="text1"/>
                <w:kern w:val="0"/>
                <w:sz w:val="21"/>
                <w:szCs w:val="21"/>
                <w:lang w:eastAsia="zh-CN" w:bidi="en-US"/>
                <w14:textFill>
                  <w14:solidFill>
                    <w14:schemeClr w14:val="tx1"/>
                  </w14:solidFill>
                </w14:textFill>
              </w:rPr>
              <w:t>s</w:t>
            </w:r>
            <w:r>
              <w:rPr>
                <w:color w:val="000000" w:themeColor="text1"/>
                <w:kern w:val="0"/>
                <w:sz w:val="21"/>
                <w:szCs w:val="21"/>
                <w:lang w:eastAsia="zh-CN" w:bidi="en-US"/>
                <w14:textFill>
                  <w14:solidFill>
                    <w14:schemeClr w14:val="tx1"/>
                  </w14:solidFill>
                </w14:textFill>
              </w:rPr>
              <w:t>含量符合性</w:t>
            </w:r>
          </w:p>
          <w:tbl>
            <w:tblPr>
              <w:tblStyle w:val="3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1156"/>
              <w:gridCol w:w="1146"/>
              <w:gridCol w:w="1118"/>
              <w:gridCol w:w="1118"/>
              <w:gridCol w:w="971"/>
              <w:gridCol w:w="2525"/>
            </w:tblGrid>
            <w:tr w14:paraId="3E826F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312" w:type="pct"/>
                  <w:tcBorders>
                    <w:top w:val="single" w:color="auto" w:sz="4" w:space="0"/>
                    <w:left w:val="nil"/>
                    <w:bottom w:val="single" w:color="auto" w:sz="4" w:space="0"/>
                    <w:right w:val="single" w:color="auto" w:sz="4" w:space="0"/>
                  </w:tcBorders>
                  <w:vAlign w:val="center"/>
                </w:tcPr>
                <w:p w14:paraId="30ECF3CB">
                  <w:pPr>
                    <w:adjustRightInd/>
                    <w:snapToGrid/>
                    <w:spacing w:line="240" w:lineRule="auto"/>
                    <w:ind w:firstLine="0" w:firstLineChars="0"/>
                    <w:jc w:val="center"/>
                    <w:rPr>
                      <w:rFonts w:eastAsia="Times New Roman"/>
                      <w:b/>
                      <w:bCs/>
                      <w:color w:val="000000" w:themeColor="text1"/>
                      <w:sz w:val="21"/>
                      <w:szCs w:val="21"/>
                      <w14:textFill>
                        <w14:solidFill>
                          <w14:schemeClr w14:val="tx1"/>
                        </w14:solidFill>
                      </w14:textFill>
                    </w:rPr>
                  </w:pPr>
                  <w:r>
                    <w:rPr>
                      <w:rFonts w:ascii="宋体" w:hAnsi="宋体" w:eastAsia="Times New Roman"/>
                      <w:b/>
                      <w:bCs/>
                      <w:color w:val="000000" w:themeColor="text1"/>
                      <w:sz w:val="21"/>
                      <w:szCs w:val="21"/>
                      <w14:textFill>
                        <w14:solidFill>
                          <w14:schemeClr w14:val="tx1"/>
                        </w14:solidFill>
                      </w14:textFill>
                    </w:rPr>
                    <w:t>序号</w:t>
                  </w:r>
                </w:p>
              </w:tc>
              <w:tc>
                <w:tcPr>
                  <w:tcW w:w="674" w:type="pct"/>
                  <w:tcBorders>
                    <w:top w:val="single" w:color="auto" w:sz="4" w:space="0"/>
                    <w:left w:val="single" w:color="auto" w:sz="4" w:space="0"/>
                    <w:bottom w:val="single" w:color="auto" w:sz="4" w:space="0"/>
                    <w:right w:val="single" w:color="auto" w:sz="4" w:space="0"/>
                  </w:tcBorders>
                  <w:vAlign w:val="center"/>
                </w:tcPr>
                <w:p w14:paraId="0D5192A8">
                  <w:pPr>
                    <w:adjustRightInd/>
                    <w:snapToGrid/>
                    <w:spacing w:line="240" w:lineRule="auto"/>
                    <w:ind w:firstLine="0" w:firstLineChars="0"/>
                    <w:jc w:val="center"/>
                    <w:rPr>
                      <w:rFonts w:eastAsia="Times New Roman"/>
                      <w:b/>
                      <w:bCs/>
                      <w:color w:val="000000" w:themeColor="text1"/>
                      <w:sz w:val="21"/>
                      <w:szCs w:val="21"/>
                      <w14:textFill>
                        <w14:solidFill>
                          <w14:schemeClr w14:val="tx1"/>
                        </w14:solidFill>
                      </w14:textFill>
                    </w:rPr>
                  </w:pPr>
                  <w:r>
                    <w:rPr>
                      <w:rFonts w:ascii="宋体" w:hAnsi="宋体" w:eastAsia="Times New Roman"/>
                      <w:b/>
                      <w:bCs/>
                      <w:color w:val="000000" w:themeColor="text1"/>
                      <w:sz w:val="21"/>
                      <w:szCs w:val="21"/>
                      <w14:textFill>
                        <w14:solidFill>
                          <w14:schemeClr w14:val="tx1"/>
                        </w14:solidFill>
                      </w14:textFill>
                    </w:rPr>
                    <w:t>名称</w:t>
                  </w:r>
                </w:p>
              </w:tc>
              <w:tc>
                <w:tcPr>
                  <w:tcW w:w="668" w:type="pct"/>
                  <w:tcBorders>
                    <w:top w:val="single" w:color="auto" w:sz="4" w:space="0"/>
                    <w:left w:val="single" w:color="auto" w:sz="4" w:space="0"/>
                    <w:bottom w:val="single" w:color="auto" w:sz="4" w:space="0"/>
                    <w:right w:val="single" w:color="auto" w:sz="4" w:space="0"/>
                  </w:tcBorders>
                  <w:vAlign w:val="center"/>
                </w:tcPr>
                <w:p w14:paraId="0D73FDB1">
                  <w:pPr>
                    <w:adjustRightInd/>
                    <w:snapToGrid/>
                    <w:spacing w:line="240" w:lineRule="auto"/>
                    <w:ind w:firstLine="0" w:firstLineChars="0"/>
                    <w:jc w:val="center"/>
                    <w:rPr>
                      <w:rFonts w:eastAsia="Times New Roman"/>
                      <w:b/>
                      <w:bCs/>
                      <w:color w:val="000000" w:themeColor="text1"/>
                      <w:sz w:val="21"/>
                      <w:szCs w:val="21"/>
                      <w14:textFill>
                        <w14:solidFill>
                          <w14:schemeClr w14:val="tx1"/>
                        </w14:solidFill>
                      </w14:textFill>
                    </w:rPr>
                  </w:pPr>
                  <w:r>
                    <w:rPr>
                      <w:rFonts w:eastAsia="Times New Roman"/>
                      <w:b/>
                      <w:bCs/>
                      <w:color w:val="000000" w:themeColor="text1"/>
                      <w:sz w:val="21"/>
                      <w:szCs w:val="21"/>
                      <w14:textFill>
                        <w14:solidFill>
                          <w14:schemeClr w14:val="tx1"/>
                        </w14:solidFill>
                      </w14:textFill>
                    </w:rPr>
                    <w:t>VOC</w:t>
                  </w:r>
                  <w:r>
                    <w:rPr>
                      <w:rFonts w:ascii="宋体" w:hAnsi="宋体" w:eastAsia="Times New Roman"/>
                      <w:b/>
                      <w:bCs/>
                      <w:color w:val="000000" w:themeColor="text1"/>
                      <w:sz w:val="21"/>
                      <w:szCs w:val="21"/>
                      <w14:textFill>
                        <w14:solidFill>
                          <w14:schemeClr w14:val="tx1"/>
                        </w14:solidFill>
                      </w14:textFill>
                    </w:rPr>
                    <w:t>含量</w:t>
                  </w:r>
                </w:p>
              </w:tc>
              <w:tc>
                <w:tcPr>
                  <w:tcW w:w="652" w:type="pct"/>
                  <w:tcBorders>
                    <w:top w:val="single" w:color="auto" w:sz="4" w:space="0"/>
                    <w:left w:val="single" w:color="auto" w:sz="4" w:space="0"/>
                    <w:bottom w:val="single" w:color="auto" w:sz="4" w:space="0"/>
                    <w:right w:val="single" w:color="auto" w:sz="4" w:space="0"/>
                  </w:tcBorders>
                  <w:vAlign w:val="center"/>
                </w:tcPr>
                <w:p w14:paraId="35D82DCB">
                  <w:pPr>
                    <w:adjustRightInd/>
                    <w:snapToGrid/>
                    <w:spacing w:line="240" w:lineRule="auto"/>
                    <w:ind w:firstLine="0" w:firstLineChars="0"/>
                    <w:jc w:val="center"/>
                    <w:rPr>
                      <w:rFonts w:eastAsia="Times New Roman"/>
                      <w:b/>
                      <w:bCs/>
                      <w:color w:val="000000" w:themeColor="text1"/>
                      <w:sz w:val="21"/>
                      <w:szCs w:val="21"/>
                      <w14:textFill>
                        <w14:solidFill>
                          <w14:schemeClr w14:val="tx1"/>
                        </w14:solidFill>
                      </w14:textFill>
                    </w:rPr>
                  </w:pPr>
                  <w:r>
                    <w:rPr>
                      <w:rFonts w:hint="eastAsia" w:ascii="宋体" w:hAnsi="宋体" w:eastAsia="Times New Roman"/>
                      <w:b/>
                      <w:bCs/>
                      <w:color w:val="000000" w:themeColor="text1"/>
                      <w:sz w:val="21"/>
                      <w:szCs w:val="21"/>
                      <w14:textFill>
                        <w14:solidFill>
                          <w14:schemeClr w14:val="tx1"/>
                        </w14:solidFill>
                      </w14:textFill>
                    </w:rPr>
                    <w:t>产品类别</w:t>
                  </w:r>
                </w:p>
              </w:tc>
              <w:tc>
                <w:tcPr>
                  <w:tcW w:w="652" w:type="pct"/>
                  <w:tcBorders>
                    <w:top w:val="single" w:color="auto" w:sz="4" w:space="0"/>
                    <w:left w:val="single" w:color="auto" w:sz="4" w:space="0"/>
                    <w:bottom w:val="single" w:color="auto" w:sz="4" w:space="0"/>
                    <w:right w:val="single" w:color="auto" w:sz="4" w:space="0"/>
                  </w:tcBorders>
                  <w:vAlign w:val="center"/>
                </w:tcPr>
                <w:p w14:paraId="41618AF4">
                  <w:pPr>
                    <w:adjustRightInd/>
                    <w:snapToGrid/>
                    <w:spacing w:line="240" w:lineRule="auto"/>
                    <w:ind w:firstLine="0" w:firstLineChars="0"/>
                    <w:jc w:val="center"/>
                    <w:rPr>
                      <w:rFonts w:eastAsia="Times New Roman"/>
                      <w:b/>
                      <w:bCs/>
                      <w:color w:val="000000" w:themeColor="text1"/>
                      <w:sz w:val="21"/>
                      <w:szCs w:val="21"/>
                      <w14:textFill>
                        <w14:solidFill>
                          <w14:schemeClr w14:val="tx1"/>
                        </w14:solidFill>
                      </w14:textFill>
                    </w:rPr>
                  </w:pPr>
                  <w:r>
                    <w:rPr>
                      <w:rFonts w:ascii="宋体" w:hAnsi="宋体" w:eastAsia="Times New Roman"/>
                      <w:b/>
                      <w:bCs/>
                      <w:color w:val="000000" w:themeColor="text1"/>
                      <w:sz w:val="21"/>
                      <w:szCs w:val="21"/>
                      <w14:textFill>
                        <w14:solidFill>
                          <w14:schemeClr w14:val="tx1"/>
                        </w14:solidFill>
                      </w14:textFill>
                    </w:rPr>
                    <w:t>标准限值</w:t>
                  </w:r>
                </w:p>
              </w:tc>
              <w:tc>
                <w:tcPr>
                  <w:tcW w:w="566" w:type="pct"/>
                  <w:tcBorders>
                    <w:top w:val="single" w:color="auto" w:sz="4" w:space="0"/>
                    <w:left w:val="single" w:color="auto" w:sz="4" w:space="0"/>
                    <w:bottom w:val="single" w:color="auto" w:sz="4" w:space="0"/>
                    <w:right w:val="single" w:color="auto" w:sz="4" w:space="0"/>
                  </w:tcBorders>
                  <w:vAlign w:val="center"/>
                </w:tcPr>
                <w:p w14:paraId="561C940C">
                  <w:pPr>
                    <w:adjustRightInd/>
                    <w:snapToGrid/>
                    <w:spacing w:line="240" w:lineRule="auto"/>
                    <w:ind w:firstLine="0" w:firstLineChars="0"/>
                    <w:jc w:val="center"/>
                    <w:rPr>
                      <w:rFonts w:eastAsia="Times New Roman"/>
                      <w:b/>
                      <w:bCs/>
                      <w:color w:val="000000" w:themeColor="text1"/>
                      <w:sz w:val="21"/>
                      <w:szCs w:val="21"/>
                      <w14:textFill>
                        <w14:solidFill>
                          <w14:schemeClr w14:val="tx1"/>
                        </w14:solidFill>
                      </w14:textFill>
                    </w:rPr>
                  </w:pPr>
                  <w:r>
                    <w:rPr>
                      <w:rFonts w:ascii="宋体" w:hAnsi="宋体" w:eastAsia="Times New Roman"/>
                      <w:b/>
                      <w:bCs/>
                      <w:color w:val="000000" w:themeColor="text1"/>
                      <w:sz w:val="21"/>
                      <w:szCs w:val="21"/>
                      <w14:textFill>
                        <w14:solidFill>
                          <w14:schemeClr w14:val="tx1"/>
                        </w14:solidFill>
                      </w14:textFill>
                    </w:rPr>
                    <w:t>符合情况</w:t>
                  </w:r>
                </w:p>
              </w:tc>
              <w:tc>
                <w:tcPr>
                  <w:tcW w:w="1472" w:type="pct"/>
                  <w:tcBorders>
                    <w:top w:val="single" w:color="auto" w:sz="4" w:space="0"/>
                    <w:left w:val="single" w:color="auto" w:sz="4" w:space="0"/>
                    <w:bottom w:val="single" w:color="auto" w:sz="4" w:space="0"/>
                    <w:right w:val="nil"/>
                  </w:tcBorders>
                  <w:vAlign w:val="center"/>
                </w:tcPr>
                <w:p w14:paraId="21686F4C">
                  <w:pPr>
                    <w:adjustRightInd/>
                    <w:snapToGrid/>
                    <w:spacing w:line="240" w:lineRule="auto"/>
                    <w:ind w:firstLine="0" w:firstLineChars="0"/>
                    <w:jc w:val="center"/>
                    <w:rPr>
                      <w:rFonts w:eastAsia="Times New Roman"/>
                      <w:b/>
                      <w:bCs/>
                      <w:color w:val="000000" w:themeColor="text1"/>
                      <w:sz w:val="21"/>
                      <w:szCs w:val="21"/>
                      <w14:textFill>
                        <w14:solidFill>
                          <w14:schemeClr w14:val="tx1"/>
                        </w14:solidFill>
                      </w14:textFill>
                    </w:rPr>
                  </w:pPr>
                  <w:r>
                    <w:rPr>
                      <w:rFonts w:hint="eastAsia" w:ascii="宋体" w:hAnsi="宋体" w:eastAsia="Times New Roman"/>
                      <w:b/>
                      <w:bCs/>
                      <w:color w:val="000000" w:themeColor="text1"/>
                      <w:sz w:val="21"/>
                      <w:szCs w:val="21"/>
                      <w14:textFill>
                        <w14:solidFill>
                          <w14:schemeClr w14:val="tx1"/>
                        </w14:solidFill>
                      </w14:textFill>
                    </w:rPr>
                    <w:t>执行标准</w:t>
                  </w:r>
                </w:p>
              </w:tc>
            </w:tr>
            <w:tr w14:paraId="14FBC7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12" w:type="pct"/>
                  <w:tcBorders>
                    <w:top w:val="single" w:color="auto" w:sz="4" w:space="0"/>
                    <w:left w:val="nil"/>
                    <w:bottom w:val="single" w:color="auto" w:sz="4" w:space="0"/>
                    <w:right w:val="single" w:color="auto" w:sz="4" w:space="0"/>
                  </w:tcBorders>
                  <w:vAlign w:val="center"/>
                </w:tcPr>
                <w:p w14:paraId="2CF8B67C">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hint="eastAsia" w:eastAsia="Times New Roman"/>
                      <w:color w:val="000000" w:themeColor="text1"/>
                      <w:sz w:val="21"/>
                      <w:szCs w:val="21"/>
                      <w14:textFill>
                        <w14:solidFill>
                          <w14:schemeClr w14:val="tx1"/>
                        </w14:solidFill>
                      </w14:textFill>
                    </w:rPr>
                    <w:t>1</w:t>
                  </w:r>
                </w:p>
              </w:tc>
              <w:tc>
                <w:tcPr>
                  <w:tcW w:w="674" w:type="pct"/>
                  <w:tcBorders>
                    <w:top w:val="single" w:color="auto" w:sz="4" w:space="0"/>
                    <w:left w:val="single" w:color="auto" w:sz="4" w:space="0"/>
                    <w:bottom w:val="single" w:color="auto" w:sz="4" w:space="0"/>
                    <w:right w:val="single" w:color="auto" w:sz="4" w:space="0"/>
                  </w:tcBorders>
                  <w:vAlign w:val="center"/>
                </w:tcPr>
                <w:p w14:paraId="5C7D7462">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hint="eastAsia" w:ascii="宋体" w:hAnsi="宋体" w:eastAsia="Times New Roman"/>
                      <w:color w:val="000000" w:themeColor="text1"/>
                      <w:sz w:val="21"/>
                      <w:szCs w:val="21"/>
                      <w14:textFill>
                        <w14:solidFill>
                          <w14:schemeClr w14:val="tx1"/>
                        </w14:solidFill>
                      </w14:textFill>
                    </w:rPr>
                    <w:t>水性漆</w:t>
                  </w:r>
                </w:p>
              </w:tc>
              <w:tc>
                <w:tcPr>
                  <w:tcW w:w="668" w:type="pct"/>
                  <w:tcBorders>
                    <w:top w:val="single" w:color="auto" w:sz="4" w:space="0"/>
                    <w:left w:val="single" w:color="auto" w:sz="4" w:space="0"/>
                    <w:bottom w:val="single" w:color="auto" w:sz="4" w:space="0"/>
                    <w:right w:val="single" w:color="auto" w:sz="4" w:space="0"/>
                  </w:tcBorders>
                  <w:vAlign w:val="center"/>
                </w:tcPr>
                <w:p w14:paraId="53E6BC6D">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56.5</w:t>
                  </w:r>
                  <w:r>
                    <w:rPr>
                      <w:rFonts w:hint="eastAsia" w:eastAsia="Times New Roman"/>
                      <w:color w:val="000000" w:themeColor="text1"/>
                      <w:sz w:val="21"/>
                      <w:szCs w:val="21"/>
                      <w14:textFill>
                        <w14:solidFill>
                          <w14:schemeClr w14:val="tx1"/>
                        </w14:solidFill>
                      </w14:textFill>
                    </w:rPr>
                    <w:t>g/L</w:t>
                  </w:r>
                </w:p>
              </w:tc>
              <w:tc>
                <w:tcPr>
                  <w:tcW w:w="652" w:type="pct"/>
                  <w:tcBorders>
                    <w:top w:val="single" w:color="auto" w:sz="4" w:space="0"/>
                    <w:left w:val="single" w:color="auto" w:sz="4" w:space="0"/>
                    <w:bottom w:val="single" w:color="auto" w:sz="4" w:space="0"/>
                    <w:right w:val="single" w:color="auto" w:sz="4" w:space="0"/>
                  </w:tcBorders>
                  <w:vAlign w:val="center"/>
                </w:tcPr>
                <w:p w14:paraId="55D77FDB">
                  <w:pPr>
                    <w:adjustRightInd/>
                    <w:snapToGrid/>
                    <w:spacing w:line="240" w:lineRule="auto"/>
                    <w:ind w:firstLine="0" w:firstLineChars="0"/>
                    <w:jc w:val="center"/>
                    <w:rPr>
                      <w:rFonts w:hint="eastAsia" w:ascii="宋体" w:hAnsi="宋体" w:eastAsia="宋体"/>
                      <w:color w:val="000000" w:themeColor="text1"/>
                      <w:sz w:val="21"/>
                      <w:szCs w:val="21"/>
                      <w:lang w:eastAsia="zh-CN"/>
                      <w14:textFill>
                        <w14:solidFill>
                          <w14:schemeClr w14:val="tx1"/>
                        </w14:solidFill>
                      </w14:textFill>
                    </w:rPr>
                  </w:pPr>
                  <w:r>
                    <w:rPr>
                      <w:rFonts w:hint="eastAsia" w:ascii="宋体" w:hAnsi="宋体" w:eastAsia="Times New Roman"/>
                      <w:color w:val="000000" w:themeColor="text1"/>
                      <w:sz w:val="21"/>
                      <w:szCs w:val="21"/>
                      <w14:textFill>
                        <w14:solidFill>
                          <w14:schemeClr w14:val="tx1"/>
                        </w14:solidFill>
                      </w14:textFill>
                    </w:rPr>
                    <w:t>玩具涂料</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lang w:val="en-US" w:eastAsia="zh-CN"/>
                      <w14:textFill>
                        <w14:solidFill>
                          <w14:schemeClr w14:val="tx1"/>
                        </w14:solidFill>
                      </w14:textFill>
                    </w:rPr>
                    <w:t>参照</w:t>
                  </w:r>
                  <w:r>
                    <w:rPr>
                      <w:rFonts w:hint="eastAsia" w:ascii="宋体" w:hAnsi="宋体" w:eastAsia="宋体"/>
                      <w:color w:val="000000" w:themeColor="text1"/>
                      <w:sz w:val="21"/>
                      <w:szCs w:val="21"/>
                      <w:lang w:eastAsia="zh-CN"/>
                      <w14:textFill>
                        <w14:solidFill>
                          <w14:schemeClr w14:val="tx1"/>
                        </w14:solidFill>
                      </w14:textFill>
                    </w:rPr>
                    <w:t>）</w:t>
                  </w:r>
                </w:p>
              </w:tc>
              <w:tc>
                <w:tcPr>
                  <w:tcW w:w="652" w:type="pct"/>
                  <w:tcBorders>
                    <w:top w:val="single" w:color="auto" w:sz="4" w:space="0"/>
                    <w:left w:val="single" w:color="auto" w:sz="4" w:space="0"/>
                    <w:bottom w:val="single" w:color="auto" w:sz="4" w:space="0"/>
                    <w:right w:val="single" w:color="auto" w:sz="4" w:space="0"/>
                  </w:tcBorders>
                  <w:vAlign w:val="center"/>
                </w:tcPr>
                <w:p w14:paraId="4750E1BB">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hint="eastAsia" w:eastAsia="Times New Roman"/>
                      <w:color w:val="000000" w:themeColor="text1"/>
                      <w:sz w:val="21"/>
                      <w:szCs w:val="21"/>
                      <w14:textFill>
                        <w14:solidFill>
                          <w14:schemeClr w14:val="tx1"/>
                        </w14:solidFill>
                      </w14:textFill>
                    </w:rPr>
                    <w:t>420g/L</w:t>
                  </w:r>
                </w:p>
              </w:tc>
              <w:tc>
                <w:tcPr>
                  <w:tcW w:w="566" w:type="pct"/>
                  <w:tcBorders>
                    <w:top w:val="single" w:color="auto" w:sz="4" w:space="0"/>
                    <w:left w:val="single" w:color="auto" w:sz="4" w:space="0"/>
                    <w:bottom w:val="single" w:color="auto" w:sz="4" w:space="0"/>
                    <w:right w:val="single" w:color="auto" w:sz="4" w:space="0"/>
                  </w:tcBorders>
                  <w:vAlign w:val="center"/>
                </w:tcPr>
                <w:p w14:paraId="04F08F5D">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hint="eastAsia" w:ascii="宋体" w:hAnsi="宋体" w:eastAsia="Times New Roman"/>
                      <w:color w:val="000000" w:themeColor="text1"/>
                      <w:sz w:val="21"/>
                      <w:szCs w:val="21"/>
                      <w14:textFill>
                        <w14:solidFill>
                          <w14:schemeClr w14:val="tx1"/>
                        </w14:solidFill>
                      </w14:textFill>
                    </w:rPr>
                    <w:t>符合</w:t>
                  </w:r>
                </w:p>
              </w:tc>
              <w:tc>
                <w:tcPr>
                  <w:tcW w:w="1472" w:type="pct"/>
                  <w:vMerge w:val="restart"/>
                  <w:tcBorders>
                    <w:top w:val="nil"/>
                    <w:left w:val="single" w:color="auto" w:sz="4" w:space="0"/>
                    <w:bottom w:val="single" w:color="auto" w:sz="4" w:space="0"/>
                    <w:right w:val="nil"/>
                  </w:tcBorders>
                  <w:vAlign w:val="center"/>
                </w:tcPr>
                <w:p w14:paraId="1BB8A0C1">
                  <w:pPr>
                    <w:widowControl/>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ascii="宋体" w:hAnsi="宋体" w:eastAsia="Times New Roman"/>
                      <w:color w:val="000000" w:themeColor="text1"/>
                      <w:sz w:val="21"/>
                      <w:szCs w:val="21"/>
                      <w14:textFill>
                        <w14:solidFill>
                          <w14:schemeClr w14:val="tx1"/>
                        </w14:solidFill>
                      </w14:textFill>
                    </w:rPr>
                    <w:t>《低挥发性有机化合物含量涂料产品技术要求》（</w:t>
                  </w:r>
                  <w:r>
                    <w:rPr>
                      <w:rFonts w:eastAsia="Times New Roman"/>
                      <w:color w:val="000000" w:themeColor="text1"/>
                      <w:sz w:val="21"/>
                      <w:szCs w:val="21"/>
                      <w14:textFill>
                        <w14:solidFill>
                          <w14:schemeClr w14:val="tx1"/>
                        </w14:solidFill>
                      </w14:textFill>
                    </w:rPr>
                    <w:t>GB/T 38597-2020</w:t>
                  </w:r>
                  <w:r>
                    <w:rPr>
                      <w:rFonts w:ascii="宋体" w:hAnsi="宋体" w:eastAsia="Times New Roman"/>
                      <w:color w:val="000000" w:themeColor="text1"/>
                      <w:sz w:val="21"/>
                      <w:szCs w:val="21"/>
                      <w14:textFill>
                        <w14:solidFill>
                          <w14:schemeClr w14:val="tx1"/>
                        </w14:solidFill>
                      </w14:textFill>
                    </w:rPr>
                    <w:t>）</w:t>
                  </w:r>
                </w:p>
              </w:tc>
            </w:tr>
            <w:tr w14:paraId="7ECC4E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12" w:type="pct"/>
                  <w:tcBorders>
                    <w:top w:val="single" w:color="auto" w:sz="4" w:space="0"/>
                    <w:left w:val="nil"/>
                    <w:bottom w:val="single" w:color="auto" w:sz="4" w:space="0"/>
                    <w:right w:val="single" w:color="auto" w:sz="4" w:space="0"/>
                  </w:tcBorders>
                  <w:vAlign w:val="center"/>
                </w:tcPr>
                <w:p w14:paraId="1A30E72D">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hint="eastAsia" w:eastAsia="Times New Roman"/>
                      <w:color w:val="000000" w:themeColor="text1"/>
                      <w:sz w:val="21"/>
                      <w:szCs w:val="21"/>
                      <w14:textFill>
                        <w14:solidFill>
                          <w14:schemeClr w14:val="tx1"/>
                        </w14:solidFill>
                      </w14:textFill>
                    </w:rPr>
                    <w:t>2</w:t>
                  </w:r>
                </w:p>
              </w:tc>
              <w:tc>
                <w:tcPr>
                  <w:tcW w:w="1133" w:type="dxa"/>
                  <w:tcBorders>
                    <w:top w:val="single" w:color="auto" w:sz="4" w:space="0"/>
                    <w:left w:val="single" w:color="auto" w:sz="4" w:space="0"/>
                    <w:bottom w:val="single" w:color="auto" w:sz="4" w:space="0"/>
                    <w:right w:val="single" w:color="auto" w:sz="4" w:space="0"/>
                  </w:tcBorders>
                  <w:vAlign w:val="center"/>
                </w:tcPr>
                <w:p w14:paraId="61215F4B">
                  <w:pPr>
                    <w:adjustRightInd/>
                    <w:snapToGrid/>
                    <w:spacing w:line="240" w:lineRule="auto"/>
                    <w:ind w:firstLine="0" w:firstLineChars="0"/>
                    <w:jc w:val="center"/>
                    <w:rPr>
                      <w:rFonts w:ascii="宋体" w:hAnsi="宋体" w:eastAsia="Times New Roman"/>
                      <w:color w:val="000000" w:themeColor="text1"/>
                      <w:sz w:val="21"/>
                      <w:szCs w:val="21"/>
                      <w14:textFill>
                        <w14:solidFill>
                          <w14:schemeClr w14:val="tx1"/>
                        </w14:solidFill>
                      </w14:textFill>
                    </w:rPr>
                  </w:pPr>
                  <w:r>
                    <w:rPr>
                      <w:rFonts w:hint="eastAsia" w:ascii="宋体" w:hAnsi="宋体" w:eastAsia="Times New Roman"/>
                      <w:color w:val="000000" w:themeColor="text1"/>
                      <w:sz w:val="21"/>
                      <w:szCs w:val="21"/>
                      <w14:textFill>
                        <w14:solidFill>
                          <w14:schemeClr w14:val="tx1"/>
                        </w14:solidFill>
                      </w14:textFill>
                    </w:rPr>
                    <w:t>油漆</w:t>
                  </w:r>
                </w:p>
              </w:tc>
              <w:tc>
                <w:tcPr>
                  <w:tcW w:w="1123" w:type="dxa"/>
                  <w:tcBorders>
                    <w:top w:val="single" w:color="auto" w:sz="4" w:space="0"/>
                    <w:left w:val="single" w:color="auto" w:sz="4" w:space="0"/>
                    <w:bottom w:val="single" w:color="auto" w:sz="4" w:space="0"/>
                    <w:right w:val="single" w:color="auto" w:sz="4" w:space="0"/>
                  </w:tcBorders>
                  <w:vAlign w:val="center"/>
                </w:tcPr>
                <w:p w14:paraId="5851B80E">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470.7</w:t>
                  </w:r>
                  <w:r>
                    <w:rPr>
                      <w:rFonts w:hint="eastAsia" w:eastAsia="Times New Roman"/>
                      <w:color w:val="000000" w:themeColor="text1"/>
                      <w:sz w:val="21"/>
                      <w:szCs w:val="21"/>
                      <w14:textFill>
                        <w14:solidFill>
                          <w14:schemeClr w14:val="tx1"/>
                        </w14:solidFill>
                      </w14:textFill>
                    </w:rPr>
                    <w:t>g/L</w:t>
                  </w:r>
                </w:p>
              </w:tc>
              <w:tc>
                <w:tcPr>
                  <w:tcW w:w="1096" w:type="dxa"/>
                  <w:tcBorders>
                    <w:top w:val="single" w:color="auto" w:sz="4" w:space="0"/>
                    <w:left w:val="single" w:color="auto" w:sz="4" w:space="0"/>
                    <w:bottom w:val="single" w:color="auto" w:sz="4" w:space="0"/>
                    <w:right w:val="single" w:color="auto" w:sz="4" w:space="0"/>
                  </w:tcBorders>
                  <w:vAlign w:val="center"/>
                </w:tcPr>
                <w:p w14:paraId="520EDBEF">
                  <w:pPr>
                    <w:adjustRightInd/>
                    <w:snapToGrid/>
                    <w:spacing w:line="240" w:lineRule="auto"/>
                    <w:ind w:firstLine="0" w:firstLineChars="0"/>
                    <w:jc w:val="center"/>
                    <w:rPr>
                      <w:rFonts w:hint="eastAsia" w:ascii="宋体" w:hAnsi="宋体" w:eastAsia="宋体"/>
                      <w:color w:val="000000" w:themeColor="text1"/>
                      <w:sz w:val="21"/>
                      <w:szCs w:val="21"/>
                      <w:lang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车辆涂料</w:t>
                  </w:r>
                  <w:r>
                    <w:rPr>
                      <w:rFonts w:hint="eastAsia" w:ascii="宋体" w:hAnsi="宋体" w:eastAsia="宋体"/>
                      <w:color w:val="000000" w:themeColor="text1"/>
                      <w:sz w:val="21"/>
                      <w:szCs w:val="21"/>
                      <w:lang w:eastAsia="zh-CN"/>
                      <w14:textFill>
                        <w14:solidFill>
                          <w14:schemeClr w14:val="tx1"/>
                        </w14:solidFill>
                      </w14:textFill>
                    </w:rPr>
                    <w:t>（</w:t>
                  </w:r>
                  <w:r>
                    <w:rPr>
                      <w:rFonts w:hint="eastAsia" w:ascii="宋体" w:hAnsi="宋体" w:eastAsia="宋体"/>
                      <w:color w:val="000000" w:themeColor="text1"/>
                      <w:sz w:val="21"/>
                      <w:szCs w:val="21"/>
                      <w:lang w:val="en-US" w:eastAsia="zh-CN"/>
                      <w14:textFill>
                        <w14:solidFill>
                          <w14:schemeClr w14:val="tx1"/>
                        </w14:solidFill>
                      </w14:textFill>
                    </w:rPr>
                    <w:t>参照</w:t>
                  </w:r>
                  <w:r>
                    <w:rPr>
                      <w:rFonts w:hint="eastAsia" w:ascii="宋体" w:hAnsi="宋体" w:eastAsia="宋体"/>
                      <w:color w:val="000000" w:themeColor="text1"/>
                      <w:sz w:val="21"/>
                      <w:szCs w:val="21"/>
                      <w:lang w:eastAsia="zh-CN"/>
                      <w14:textFill>
                        <w14:solidFill>
                          <w14:schemeClr w14:val="tx1"/>
                        </w14:solidFill>
                      </w14:textFill>
                    </w:rPr>
                    <w:t>）</w:t>
                  </w:r>
                </w:p>
              </w:tc>
              <w:tc>
                <w:tcPr>
                  <w:tcW w:w="1096" w:type="dxa"/>
                  <w:tcBorders>
                    <w:top w:val="single" w:color="auto" w:sz="4" w:space="0"/>
                    <w:left w:val="single" w:color="auto" w:sz="4" w:space="0"/>
                    <w:bottom w:val="single" w:color="auto" w:sz="4" w:space="0"/>
                    <w:right w:val="single" w:color="auto" w:sz="4" w:space="0"/>
                  </w:tcBorders>
                  <w:vAlign w:val="center"/>
                </w:tcPr>
                <w:p w14:paraId="1F183A6A">
                  <w:pPr>
                    <w:adjustRightInd/>
                    <w:snapToGrid/>
                    <w:spacing w:line="240" w:lineRule="auto"/>
                    <w:ind w:firstLine="0" w:firstLineChars="0"/>
                    <w:jc w:val="center"/>
                    <w:rPr>
                      <w:rFonts w:ascii="宋体" w:hAnsi="宋体" w:eastAsia="Times New Roman"/>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500</w:t>
                  </w:r>
                  <w:r>
                    <w:rPr>
                      <w:rFonts w:hint="eastAsia" w:eastAsia="Times New Roman"/>
                      <w:color w:val="000000" w:themeColor="text1"/>
                      <w:sz w:val="21"/>
                      <w:szCs w:val="21"/>
                      <w14:textFill>
                        <w14:solidFill>
                          <w14:schemeClr w14:val="tx1"/>
                        </w14:solidFill>
                      </w14:textFill>
                    </w:rPr>
                    <w:t>g/L</w:t>
                  </w:r>
                </w:p>
              </w:tc>
              <w:tc>
                <w:tcPr>
                  <w:tcW w:w="951" w:type="dxa"/>
                  <w:tcBorders>
                    <w:top w:val="single" w:color="auto" w:sz="4" w:space="0"/>
                    <w:left w:val="single" w:color="auto" w:sz="4" w:space="0"/>
                    <w:bottom w:val="single" w:color="auto" w:sz="4" w:space="0"/>
                    <w:right w:val="single" w:color="auto" w:sz="4" w:space="0"/>
                  </w:tcBorders>
                  <w:vAlign w:val="center"/>
                </w:tcPr>
                <w:p w14:paraId="7F85BF22">
                  <w:pPr>
                    <w:adjustRightInd/>
                    <w:snapToGrid/>
                    <w:spacing w:line="240" w:lineRule="auto"/>
                    <w:ind w:firstLine="0" w:firstLineChars="0"/>
                    <w:jc w:val="center"/>
                    <w:rPr>
                      <w:rFonts w:ascii="宋体" w:hAnsi="宋体" w:eastAsia="Times New Roman"/>
                      <w:color w:val="000000" w:themeColor="text1"/>
                      <w:sz w:val="21"/>
                      <w:szCs w:val="21"/>
                      <w14:textFill>
                        <w14:solidFill>
                          <w14:schemeClr w14:val="tx1"/>
                        </w14:solidFill>
                      </w14:textFill>
                    </w:rPr>
                  </w:pPr>
                  <w:r>
                    <w:rPr>
                      <w:rFonts w:hint="eastAsia" w:ascii="宋体" w:hAnsi="宋体" w:eastAsia="Times New Roman"/>
                      <w:color w:val="000000" w:themeColor="text1"/>
                      <w:sz w:val="21"/>
                      <w:szCs w:val="21"/>
                      <w14:textFill>
                        <w14:solidFill>
                          <w14:schemeClr w14:val="tx1"/>
                        </w14:solidFill>
                      </w14:textFill>
                    </w:rPr>
                    <w:t>符合</w:t>
                  </w:r>
                </w:p>
              </w:tc>
              <w:tc>
                <w:tcPr>
                  <w:tcW w:w="0" w:type="auto"/>
                  <w:vMerge w:val="continue"/>
                  <w:tcBorders>
                    <w:top w:val="nil"/>
                    <w:left w:val="single" w:color="auto" w:sz="4" w:space="0"/>
                    <w:bottom w:val="single" w:color="auto" w:sz="4" w:space="0"/>
                    <w:right w:val="nil"/>
                  </w:tcBorders>
                  <w:vAlign w:val="center"/>
                </w:tcPr>
                <w:p w14:paraId="49027842">
                  <w:pPr>
                    <w:widowControl/>
                    <w:adjustRightInd/>
                    <w:snapToGrid/>
                    <w:spacing w:line="240" w:lineRule="auto"/>
                    <w:ind w:firstLine="0" w:firstLineChars="0"/>
                    <w:jc w:val="left"/>
                    <w:rPr>
                      <w:color w:val="000000" w:themeColor="text1"/>
                      <w:sz w:val="21"/>
                      <w:szCs w:val="21"/>
                      <w14:textFill>
                        <w14:solidFill>
                          <w14:schemeClr w14:val="tx1"/>
                        </w14:solidFill>
                      </w14:textFill>
                    </w:rPr>
                  </w:pPr>
                </w:p>
              </w:tc>
            </w:tr>
          </w:tbl>
          <w:p w14:paraId="4AC88B61">
            <w:pPr>
              <w:keepNext w:val="0"/>
              <w:keepLines w:val="0"/>
              <w:pageBreakBefore w:val="0"/>
              <w:widowControl w:val="0"/>
              <w:kinsoku/>
              <w:wordWrap/>
              <w:overflowPunct/>
              <w:topLinePunct w:val="0"/>
              <w:autoSpaceDE/>
              <w:autoSpaceDN/>
              <w:bidi w:val="0"/>
              <w:adjustRightInd/>
              <w:snapToGrid/>
              <w:spacing w:before="157" w:beforeLines="50"/>
              <w:ind w:firstLine="482"/>
              <w:textAlignment w:val="auto"/>
              <w:rPr>
                <w:rFonts w:hint="eastAsia"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根据建设单位提供的资料，项目根据各产品工艺要求，对产品进行喷漆、彩绘处理：部分产品只喷水性漆或油漆，部分产品喷水性漆和油漆2种漆。水性漆、油漆使用过程中均为喷涂一遍，</w:t>
            </w:r>
            <w:r>
              <w:rPr>
                <w:rFonts w:hint="eastAsia" w:ascii="Times New Roman" w:hAnsi="Times New Roman" w:cs="Times New Roman"/>
                <w:b w:val="0"/>
                <w:bCs w:val="0"/>
                <w:color w:val="000000" w:themeColor="text1"/>
                <w:lang w:val="en-US" w:eastAsia="zh-CN"/>
                <w14:textFill>
                  <w14:solidFill>
                    <w14:schemeClr w14:val="tx1"/>
                  </w14:solidFill>
                </w14:textFill>
              </w:rPr>
              <w:t>彩绘也是彩绘一遍（彩绘可看作是刷漆工艺）。</w:t>
            </w:r>
          </w:p>
          <w:p w14:paraId="02B99681">
            <w:pPr>
              <w:pStyle w:val="57"/>
              <w:numPr>
                <w:ilvl w:val="3"/>
                <w:numId w:val="19"/>
              </w:numPr>
              <w:rPr>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喷涂面积和彩绘面积核算表</w:t>
            </w:r>
          </w:p>
          <w:tbl>
            <w:tblPr>
              <w:tblStyle w:val="37"/>
              <w:tblW w:w="4998"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427"/>
              <w:gridCol w:w="1428"/>
              <w:gridCol w:w="1428"/>
              <w:gridCol w:w="1428"/>
              <w:gridCol w:w="1429"/>
              <w:gridCol w:w="1429"/>
            </w:tblGrid>
            <w:tr w14:paraId="1BA2997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trPr>
              <w:tc>
                <w:tcPr>
                  <w:tcW w:w="833" w:type="pct"/>
                  <w:tcBorders>
                    <w:tl2br w:val="nil"/>
                    <w:tr2bl w:val="nil"/>
                  </w:tcBorders>
                  <w:vAlign w:val="center"/>
                </w:tcPr>
                <w:p w14:paraId="147988C5">
                  <w:pPr>
                    <w:adjustRightInd/>
                    <w:snapToGrid/>
                    <w:spacing w:line="240" w:lineRule="auto"/>
                    <w:ind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用漆类型</w:t>
                  </w:r>
                </w:p>
              </w:tc>
              <w:tc>
                <w:tcPr>
                  <w:tcW w:w="833" w:type="pct"/>
                  <w:tcBorders>
                    <w:tl2br w:val="nil"/>
                    <w:tr2bl w:val="nil"/>
                  </w:tcBorders>
                  <w:vAlign w:val="center"/>
                </w:tcPr>
                <w:p w14:paraId="469AA279">
                  <w:pPr>
                    <w:adjustRightInd/>
                    <w:snapToGrid/>
                    <w:spacing w:line="240" w:lineRule="auto"/>
                    <w:ind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喷涂数量（万</w:t>
                  </w:r>
                  <w:r>
                    <w:rPr>
                      <w:rFonts w:hint="eastAsia"/>
                      <w:b/>
                      <w:bCs/>
                      <w:color w:val="000000" w:themeColor="text1"/>
                      <w:sz w:val="21"/>
                      <w:szCs w:val="21"/>
                      <w:lang w:val="en-US" w:eastAsia="zh-CN"/>
                      <w14:textFill>
                        <w14:solidFill>
                          <w14:schemeClr w14:val="tx1"/>
                        </w14:solidFill>
                      </w14:textFill>
                    </w:rPr>
                    <w:t>件</w:t>
                  </w:r>
                  <w:r>
                    <w:rPr>
                      <w:rFonts w:hint="eastAsia" w:eastAsia="宋体"/>
                      <w:b/>
                      <w:bCs/>
                      <w:color w:val="000000" w:themeColor="text1"/>
                      <w:sz w:val="21"/>
                      <w:szCs w:val="21"/>
                      <w:lang w:val="en-US" w:eastAsia="zh-CN"/>
                      <w14:textFill>
                        <w14:solidFill>
                          <w14:schemeClr w14:val="tx1"/>
                        </w14:solidFill>
                      </w14:textFill>
                    </w:rPr>
                    <w:t>/年）</w:t>
                  </w:r>
                </w:p>
              </w:tc>
              <w:tc>
                <w:tcPr>
                  <w:tcW w:w="833" w:type="pct"/>
                  <w:tcBorders>
                    <w:tl2br w:val="nil"/>
                    <w:tr2bl w:val="nil"/>
                  </w:tcBorders>
                  <w:vAlign w:val="center"/>
                </w:tcPr>
                <w:p w14:paraId="6FF9F519">
                  <w:pPr>
                    <w:adjustRightInd/>
                    <w:snapToGrid/>
                    <w:spacing w:line="240" w:lineRule="auto"/>
                    <w:ind w:firstLine="0" w:firstLineChars="0"/>
                    <w:jc w:val="center"/>
                    <w:rPr>
                      <w:rFonts w:hint="eastAsia" w:eastAsia="宋体"/>
                      <w:b/>
                      <w:bCs/>
                      <w:color w:val="000000" w:themeColor="text1"/>
                      <w:sz w:val="21"/>
                      <w:szCs w:val="21"/>
                      <w:lang w:val="en-US" w:eastAsia="zh-CN"/>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工艺</w:t>
                  </w:r>
                </w:p>
              </w:tc>
              <w:tc>
                <w:tcPr>
                  <w:tcW w:w="833" w:type="pct"/>
                  <w:tcBorders>
                    <w:tl2br w:val="nil"/>
                    <w:tr2bl w:val="nil"/>
                  </w:tcBorders>
                  <w:vAlign w:val="center"/>
                </w:tcPr>
                <w:p w14:paraId="42CEE5D8">
                  <w:pPr>
                    <w:adjustRightInd/>
                    <w:snapToGrid/>
                    <w:spacing w:line="240" w:lineRule="auto"/>
                    <w:ind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单</w:t>
                  </w:r>
                  <w:r>
                    <w:rPr>
                      <w:rFonts w:hint="eastAsia"/>
                      <w:b/>
                      <w:bCs/>
                      <w:color w:val="000000" w:themeColor="text1"/>
                      <w:sz w:val="21"/>
                      <w:szCs w:val="21"/>
                      <w:lang w:val="en-US" w:eastAsia="zh-CN"/>
                      <w14:textFill>
                        <w14:solidFill>
                          <w14:schemeClr w14:val="tx1"/>
                        </w14:solidFill>
                      </w14:textFill>
                    </w:rPr>
                    <w:t>件</w:t>
                  </w:r>
                  <w:r>
                    <w:rPr>
                      <w:rFonts w:hint="eastAsia" w:eastAsia="宋体"/>
                      <w:b/>
                      <w:bCs/>
                      <w:color w:val="000000" w:themeColor="text1"/>
                      <w:sz w:val="21"/>
                      <w:szCs w:val="21"/>
                      <w:lang w:val="en-US" w:eastAsia="zh-CN"/>
                      <w14:textFill>
                        <w14:solidFill>
                          <w14:schemeClr w14:val="tx1"/>
                        </w14:solidFill>
                      </w14:textFill>
                    </w:rPr>
                    <w:t>用漆面积（m</w:t>
                  </w:r>
                  <w:r>
                    <w:rPr>
                      <w:rFonts w:hint="eastAsia" w:eastAsia="宋体"/>
                      <w:b/>
                      <w:bCs/>
                      <w:color w:val="000000" w:themeColor="text1"/>
                      <w:sz w:val="21"/>
                      <w:szCs w:val="21"/>
                      <w:vertAlign w:val="superscript"/>
                      <w:lang w:val="en-US" w:eastAsia="zh-CN"/>
                      <w14:textFill>
                        <w14:solidFill>
                          <w14:schemeClr w14:val="tx1"/>
                        </w14:solidFill>
                      </w14:textFill>
                    </w:rPr>
                    <w:t>2</w:t>
                  </w:r>
                  <w:r>
                    <w:rPr>
                      <w:rFonts w:hint="eastAsia" w:eastAsia="宋体"/>
                      <w:b/>
                      <w:bCs/>
                      <w:color w:val="000000" w:themeColor="text1"/>
                      <w:sz w:val="21"/>
                      <w:szCs w:val="21"/>
                      <w:vertAlign w:val="baseline"/>
                      <w:lang w:val="en-US" w:eastAsia="zh-CN"/>
                      <w14:textFill>
                        <w14:solidFill>
                          <w14:schemeClr w14:val="tx1"/>
                        </w14:solidFill>
                      </w14:textFill>
                    </w:rPr>
                    <w:t>/</w:t>
                  </w:r>
                  <w:r>
                    <w:rPr>
                      <w:rFonts w:hint="eastAsia"/>
                      <w:b/>
                      <w:bCs/>
                      <w:color w:val="000000" w:themeColor="text1"/>
                      <w:sz w:val="21"/>
                      <w:szCs w:val="21"/>
                      <w:vertAlign w:val="baseline"/>
                      <w:lang w:val="en-US" w:eastAsia="zh-CN"/>
                      <w14:textFill>
                        <w14:solidFill>
                          <w14:schemeClr w14:val="tx1"/>
                        </w14:solidFill>
                      </w14:textFill>
                    </w:rPr>
                    <w:t>件</w:t>
                  </w:r>
                  <w:r>
                    <w:rPr>
                      <w:rFonts w:hint="eastAsia" w:eastAsia="宋体"/>
                      <w:b/>
                      <w:bCs/>
                      <w:color w:val="000000" w:themeColor="text1"/>
                      <w:sz w:val="21"/>
                      <w:szCs w:val="21"/>
                      <w:lang w:val="en-US" w:eastAsia="zh-CN"/>
                      <w14:textFill>
                        <w14:solidFill>
                          <w14:schemeClr w14:val="tx1"/>
                        </w14:solidFill>
                      </w14:textFill>
                    </w:rPr>
                    <w:t>）</w:t>
                  </w:r>
                </w:p>
              </w:tc>
              <w:tc>
                <w:tcPr>
                  <w:tcW w:w="834" w:type="pct"/>
                  <w:tcBorders>
                    <w:tl2br w:val="nil"/>
                    <w:tr2bl w:val="nil"/>
                  </w:tcBorders>
                  <w:vAlign w:val="center"/>
                </w:tcPr>
                <w:p w14:paraId="2757E063">
                  <w:pPr>
                    <w:adjustRightInd/>
                    <w:snapToGrid/>
                    <w:spacing w:line="240" w:lineRule="auto"/>
                    <w:ind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喷涂或彩绘次数</w:t>
                  </w:r>
                </w:p>
              </w:tc>
              <w:tc>
                <w:tcPr>
                  <w:tcW w:w="833" w:type="pct"/>
                  <w:tcBorders>
                    <w:tl2br w:val="nil"/>
                    <w:tr2bl w:val="nil"/>
                  </w:tcBorders>
                  <w:vAlign w:val="center"/>
                </w:tcPr>
                <w:p w14:paraId="62CF1CE2">
                  <w:pPr>
                    <w:adjustRightInd/>
                    <w:snapToGrid/>
                    <w:spacing w:line="240" w:lineRule="auto"/>
                    <w:ind w:firstLine="0" w:firstLineChars="0"/>
                    <w:jc w:val="center"/>
                    <w:rPr>
                      <w:rFonts w:hint="default" w:eastAsia="宋体"/>
                      <w:b/>
                      <w:bCs/>
                      <w:color w:val="000000" w:themeColor="text1"/>
                      <w:sz w:val="21"/>
                      <w:szCs w:val="21"/>
                      <w:vertAlign w:val="superscript"/>
                      <w:lang w:val="en-US" w:eastAsia="zh-CN"/>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总喷涂或彩绘面积（m</w:t>
                  </w:r>
                  <w:r>
                    <w:rPr>
                      <w:rFonts w:hint="eastAsia" w:eastAsia="宋体"/>
                      <w:b/>
                      <w:bCs/>
                      <w:color w:val="000000" w:themeColor="text1"/>
                      <w:sz w:val="21"/>
                      <w:szCs w:val="21"/>
                      <w:vertAlign w:val="superscript"/>
                      <w:lang w:val="en-US" w:eastAsia="zh-CN"/>
                      <w14:textFill>
                        <w14:solidFill>
                          <w14:schemeClr w14:val="tx1"/>
                        </w14:solidFill>
                      </w14:textFill>
                    </w:rPr>
                    <w:t>2</w:t>
                  </w:r>
                  <w:r>
                    <w:rPr>
                      <w:rFonts w:hint="eastAsia" w:eastAsia="宋体"/>
                      <w:b/>
                      <w:bCs/>
                      <w:color w:val="000000" w:themeColor="text1"/>
                      <w:sz w:val="21"/>
                      <w:szCs w:val="21"/>
                      <w:lang w:val="en-US" w:eastAsia="zh-CN"/>
                      <w14:textFill>
                        <w14:solidFill>
                          <w14:schemeClr w14:val="tx1"/>
                        </w14:solidFill>
                      </w14:textFill>
                    </w:rPr>
                    <w:t>）</w:t>
                  </w:r>
                </w:p>
              </w:tc>
            </w:tr>
            <w:tr w14:paraId="05661C7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trPr>
              <w:tc>
                <w:tcPr>
                  <w:tcW w:w="833" w:type="pct"/>
                  <w:vMerge w:val="restart"/>
                  <w:tcBorders>
                    <w:tl2br w:val="nil"/>
                    <w:tr2bl w:val="nil"/>
                  </w:tcBorders>
                  <w:vAlign w:val="center"/>
                </w:tcPr>
                <w:p w14:paraId="720B3CCC">
                  <w:pPr>
                    <w:adjustRightInd/>
                    <w:snapToGrid/>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水性漆</w:t>
                  </w:r>
                </w:p>
              </w:tc>
              <w:tc>
                <w:tcPr>
                  <w:tcW w:w="833" w:type="pct"/>
                  <w:tcBorders>
                    <w:tl2br w:val="nil"/>
                    <w:tr2bl w:val="nil"/>
                  </w:tcBorders>
                  <w:vAlign w:val="center"/>
                </w:tcPr>
                <w:p w14:paraId="166691E7">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210</w:t>
                  </w:r>
                </w:p>
              </w:tc>
              <w:tc>
                <w:tcPr>
                  <w:tcW w:w="833" w:type="pct"/>
                  <w:tcBorders>
                    <w:tl2br w:val="nil"/>
                    <w:tr2bl w:val="nil"/>
                  </w:tcBorders>
                  <w:vAlign w:val="center"/>
                </w:tcPr>
                <w:p w14:paraId="0755E3A2">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喷漆</w:t>
                  </w:r>
                </w:p>
              </w:tc>
              <w:tc>
                <w:tcPr>
                  <w:tcW w:w="833" w:type="pct"/>
                  <w:tcBorders>
                    <w:tl2br w:val="nil"/>
                    <w:tr2bl w:val="nil"/>
                  </w:tcBorders>
                  <w:vAlign w:val="center"/>
                </w:tcPr>
                <w:p w14:paraId="44B16DBA">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0.03</w:t>
                  </w:r>
                </w:p>
              </w:tc>
              <w:tc>
                <w:tcPr>
                  <w:tcW w:w="834" w:type="pct"/>
                  <w:tcBorders>
                    <w:tl2br w:val="nil"/>
                    <w:tr2bl w:val="nil"/>
                  </w:tcBorders>
                  <w:vAlign w:val="center"/>
                </w:tcPr>
                <w:p w14:paraId="006F019C">
                  <w:pPr>
                    <w:adjustRightInd/>
                    <w:snapToGrid/>
                    <w:spacing w:line="240" w:lineRule="auto"/>
                    <w:ind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w:t>
                  </w:r>
                </w:p>
              </w:tc>
              <w:tc>
                <w:tcPr>
                  <w:tcW w:w="833" w:type="pct"/>
                  <w:tcBorders>
                    <w:tl2br w:val="nil"/>
                    <w:tr2bl w:val="nil"/>
                  </w:tcBorders>
                  <w:vAlign w:val="center"/>
                </w:tcPr>
                <w:p w14:paraId="0F328E3D">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63000</w:t>
                  </w:r>
                </w:p>
              </w:tc>
            </w:tr>
            <w:tr w14:paraId="3448B7E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trPr>
              <w:tc>
                <w:tcPr>
                  <w:tcW w:w="833" w:type="pct"/>
                  <w:vMerge w:val="continue"/>
                  <w:tcBorders>
                    <w:tl2br w:val="nil"/>
                    <w:tr2bl w:val="nil"/>
                  </w:tcBorders>
                  <w:vAlign w:val="center"/>
                </w:tcPr>
                <w:p w14:paraId="0CAAB52E">
                  <w:pPr>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p>
              </w:tc>
              <w:tc>
                <w:tcPr>
                  <w:tcW w:w="833" w:type="pct"/>
                  <w:tcBorders>
                    <w:tl2br w:val="nil"/>
                    <w:tr2bl w:val="nil"/>
                  </w:tcBorders>
                  <w:vAlign w:val="center"/>
                </w:tcPr>
                <w:p w14:paraId="428CBCF7">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300</w:t>
                  </w:r>
                </w:p>
              </w:tc>
              <w:tc>
                <w:tcPr>
                  <w:tcW w:w="833" w:type="pct"/>
                  <w:tcBorders>
                    <w:tl2br w:val="nil"/>
                    <w:tr2bl w:val="nil"/>
                  </w:tcBorders>
                  <w:vAlign w:val="center"/>
                </w:tcPr>
                <w:p w14:paraId="7AA27B41">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彩绘</w:t>
                  </w:r>
                </w:p>
              </w:tc>
              <w:tc>
                <w:tcPr>
                  <w:tcW w:w="833" w:type="pct"/>
                  <w:tcBorders>
                    <w:tl2br w:val="nil"/>
                    <w:tr2bl w:val="nil"/>
                  </w:tcBorders>
                  <w:vAlign w:val="center"/>
                </w:tcPr>
                <w:p w14:paraId="479115C4">
                  <w:pPr>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0.02</w:t>
                  </w:r>
                </w:p>
              </w:tc>
              <w:tc>
                <w:tcPr>
                  <w:tcW w:w="834" w:type="pct"/>
                  <w:tcBorders>
                    <w:tl2br w:val="nil"/>
                    <w:tr2bl w:val="nil"/>
                  </w:tcBorders>
                  <w:vAlign w:val="center"/>
                </w:tcPr>
                <w:p w14:paraId="3D89336D">
                  <w:pPr>
                    <w:adjustRightInd/>
                    <w:snapToGrid/>
                    <w:spacing w:line="240" w:lineRule="auto"/>
                    <w:ind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w:t>
                  </w:r>
                </w:p>
              </w:tc>
              <w:tc>
                <w:tcPr>
                  <w:tcW w:w="833" w:type="pct"/>
                  <w:tcBorders>
                    <w:tl2br w:val="nil"/>
                    <w:tr2bl w:val="nil"/>
                  </w:tcBorders>
                  <w:vAlign w:val="center"/>
                </w:tcPr>
                <w:p w14:paraId="3B3FEE09">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60000</w:t>
                  </w:r>
                </w:p>
              </w:tc>
            </w:tr>
            <w:tr w14:paraId="41C4984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trPr>
              <w:tc>
                <w:tcPr>
                  <w:tcW w:w="833" w:type="pct"/>
                  <w:vMerge w:val="restart"/>
                  <w:tcBorders>
                    <w:tl2br w:val="nil"/>
                    <w:tr2bl w:val="nil"/>
                  </w:tcBorders>
                  <w:vAlign w:val="center"/>
                </w:tcPr>
                <w:p w14:paraId="0BAC7EA1">
                  <w:pPr>
                    <w:widowControl/>
                    <w:adjustRightInd/>
                    <w:snapToGrid/>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油漆</w:t>
                  </w:r>
                </w:p>
              </w:tc>
              <w:tc>
                <w:tcPr>
                  <w:tcW w:w="833" w:type="pct"/>
                  <w:tcBorders>
                    <w:tl2br w:val="nil"/>
                    <w:tr2bl w:val="nil"/>
                  </w:tcBorders>
                  <w:vAlign w:val="center"/>
                </w:tcPr>
                <w:p w14:paraId="06E88049">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90</w:t>
                  </w:r>
                </w:p>
              </w:tc>
              <w:tc>
                <w:tcPr>
                  <w:tcW w:w="833" w:type="pct"/>
                  <w:tcBorders>
                    <w:tl2br w:val="nil"/>
                    <w:tr2bl w:val="nil"/>
                  </w:tcBorders>
                  <w:vAlign w:val="center"/>
                </w:tcPr>
                <w:p w14:paraId="4F463BEF">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喷漆</w:t>
                  </w:r>
                </w:p>
              </w:tc>
              <w:tc>
                <w:tcPr>
                  <w:tcW w:w="833" w:type="pct"/>
                  <w:tcBorders>
                    <w:tl2br w:val="nil"/>
                    <w:tr2bl w:val="nil"/>
                  </w:tcBorders>
                  <w:vAlign w:val="center"/>
                </w:tcPr>
                <w:p w14:paraId="359FF9DE">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0.02</w:t>
                  </w:r>
                </w:p>
              </w:tc>
              <w:tc>
                <w:tcPr>
                  <w:tcW w:w="834" w:type="pct"/>
                  <w:tcBorders>
                    <w:tl2br w:val="nil"/>
                    <w:tr2bl w:val="nil"/>
                  </w:tcBorders>
                  <w:vAlign w:val="center"/>
                </w:tcPr>
                <w:p w14:paraId="51B2EEA4">
                  <w:pPr>
                    <w:widowControl/>
                    <w:adjustRightInd/>
                    <w:snapToGrid/>
                    <w:spacing w:line="240" w:lineRule="auto"/>
                    <w:ind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w:t>
                  </w:r>
                </w:p>
              </w:tc>
              <w:tc>
                <w:tcPr>
                  <w:tcW w:w="833" w:type="pct"/>
                  <w:tcBorders>
                    <w:tl2br w:val="nil"/>
                    <w:tr2bl w:val="nil"/>
                  </w:tcBorders>
                  <w:vAlign w:val="center"/>
                </w:tcPr>
                <w:p w14:paraId="0A8F9CAF">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18</w:t>
                  </w:r>
                  <w:r>
                    <w:rPr>
                      <w:rFonts w:hint="eastAsia" w:eastAsia="宋体" w:cs="Times New Roman"/>
                      <w:color w:val="000000" w:themeColor="text1"/>
                      <w:sz w:val="21"/>
                      <w:szCs w:val="21"/>
                      <w:lang w:val="en-US" w:eastAsia="zh-CN"/>
                      <w14:textFill>
                        <w14:solidFill>
                          <w14:schemeClr w14:val="tx1"/>
                        </w14:solidFill>
                      </w14:textFill>
                    </w:rPr>
                    <w:t>000</w:t>
                  </w:r>
                </w:p>
              </w:tc>
            </w:tr>
            <w:tr w14:paraId="3FB59D2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trPr>
              <w:tc>
                <w:tcPr>
                  <w:tcW w:w="833" w:type="pct"/>
                  <w:vMerge w:val="continue"/>
                  <w:tcBorders>
                    <w:tl2br w:val="nil"/>
                    <w:tr2bl w:val="nil"/>
                  </w:tcBorders>
                  <w:vAlign w:val="center"/>
                </w:tcPr>
                <w:p w14:paraId="64F381FE">
                  <w:pPr>
                    <w:widowControl/>
                    <w:adjustRightInd/>
                    <w:snapToGrid/>
                    <w:spacing w:line="240" w:lineRule="auto"/>
                    <w:ind w:firstLine="0" w:firstLineChars="0"/>
                    <w:jc w:val="center"/>
                    <w:rPr>
                      <w:rFonts w:eastAsia="Times New Roman"/>
                      <w:color w:val="000000" w:themeColor="text1"/>
                      <w:sz w:val="21"/>
                      <w:szCs w:val="21"/>
                      <w14:textFill>
                        <w14:solidFill>
                          <w14:schemeClr w14:val="tx1"/>
                        </w14:solidFill>
                      </w14:textFill>
                    </w:rPr>
                  </w:pPr>
                </w:p>
              </w:tc>
              <w:tc>
                <w:tcPr>
                  <w:tcW w:w="833" w:type="pct"/>
                  <w:tcBorders>
                    <w:tl2br w:val="nil"/>
                    <w:tr2bl w:val="nil"/>
                  </w:tcBorders>
                  <w:vAlign w:val="center"/>
                </w:tcPr>
                <w:p w14:paraId="293FD99A">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100</w:t>
                  </w:r>
                </w:p>
              </w:tc>
              <w:tc>
                <w:tcPr>
                  <w:tcW w:w="833" w:type="pct"/>
                  <w:tcBorders>
                    <w:tl2br w:val="nil"/>
                    <w:tr2bl w:val="nil"/>
                  </w:tcBorders>
                  <w:vAlign w:val="center"/>
                </w:tcPr>
                <w:p w14:paraId="3197EF37">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彩绘</w:t>
                  </w:r>
                </w:p>
              </w:tc>
              <w:tc>
                <w:tcPr>
                  <w:tcW w:w="833" w:type="pct"/>
                  <w:tcBorders>
                    <w:tl2br w:val="nil"/>
                    <w:tr2bl w:val="nil"/>
                  </w:tcBorders>
                  <w:vAlign w:val="center"/>
                </w:tcPr>
                <w:p w14:paraId="140DD6E5">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0.02</w:t>
                  </w:r>
                </w:p>
              </w:tc>
              <w:tc>
                <w:tcPr>
                  <w:tcW w:w="834" w:type="pct"/>
                  <w:tcBorders>
                    <w:tl2br w:val="nil"/>
                    <w:tr2bl w:val="nil"/>
                  </w:tcBorders>
                  <w:vAlign w:val="center"/>
                </w:tcPr>
                <w:p w14:paraId="69F01B66">
                  <w:pPr>
                    <w:widowControl/>
                    <w:adjustRightInd/>
                    <w:snapToGrid/>
                    <w:spacing w:line="240" w:lineRule="auto"/>
                    <w:ind w:firstLine="0" w:firstLineChars="0"/>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w:t>
                  </w:r>
                </w:p>
              </w:tc>
              <w:tc>
                <w:tcPr>
                  <w:tcW w:w="833" w:type="pct"/>
                  <w:tcBorders>
                    <w:tl2br w:val="nil"/>
                    <w:tr2bl w:val="nil"/>
                  </w:tcBorders>
                  <w:vAlign w:val="center"/>
                </w:tcPr>
                <w:p w14:paraId="3D8D837B">
                  <w:pPr>
                    <w:widowControl/>
                    <w:adjustRightInd/>
                    <w:snapToGrid/>
                    <w:spacing w:line="240" w:lineRule="auto"/>
                    <w:ind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20000</w:t>
                  </w:r>
                </w:p>
              </w:tc>
            </w:tr>
            <w:tr w14:paraId="16044CA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trPr>
              <w:tc>
                <w:tcPr>
                  <w:tcW w:w="5000" w:type="pct"/>
                  <w:gridSpan w:val="6"/>
                  <w:tcBorders>
                    <w:tl2br w:val="nil"/>
                    <w:tr2bl w:val="nil"/>
                  </w:tcBorders>
                  <w:vAlign w:val="center"/>
                </w:tcPr>
                <w:p w14:paraId="3E12AFA1">
                  <w:pPr>
                    <w:widowControl/>
                    <w:adjustRightInd/>
                    <w:snapToGrid/>
                    <w:spacing w:line="240" w:lineRule="auto"/>
                    <w:ind w:firstLine="0" w:firstLineChars="0"/>
                    <w:jc w:val="both"/>
                    <w:rPr>
                      <w:rFonts w:hint="default" w:eastAsia="宋体"/>
                      <w:color w:val="000000" w:themeColor="text1"/>
                      <w:sz w:val="21"/>
                      <w:szCs w:val="21"/>
                      <w:lang w:val="en-US" w:eastAsia="zh-CN"/>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*注：由于项目产品规格大小不一，表中单</w:t>
                  </w:r>
                  <w:r>
                    <w:rPr>
                      <w:rFonts w:hint="eastAsia"/>
                      <w:b/>
                      <w:bCs/>
                      <w:color w:val="000000" w:themeColor="text1"/>
                      <w:sz w:val="21"/>
                      <w:szCs w:val="21"/>
                      <w:lang w:val="en-US" w:eastAsia="zh-CN"/>
                      <w14:textFill>
                        <w14:solidFill>
                          <w14:schemeClr w14:val="tx1"/>
                        </w14:solidFill>
                      </w14:textFill>
                    </w:rPr>
                    <w:t>件</w:t>
                  </w:r>
                  <w:r>
                    <w:rPr>
                      <w:rFonts w:hint="eastAsia" w:eastAsia="宋体"/>
                      <w:b/>
                      <w:bCs/>
                      <w:color w:val="000000" w:themeColor="text1"/>
                      <w:sz w:val="21"/>
                      <w:szCs w:val="21"/>
                      <w:lang w:val="en-US" w:eastAsia="zh-CN"/>
                      <w14:textFill>
                        <w14:solidFill>
                          <w14:schemeClr w14:val="tx1"/>
                        </w14:solidFill>
                      </w14:textFill>
                    </w:rPr>
                    <w:t>用漆面积为平均值</w:t>
                  </w:r>
                  <w:r>
                    <w:rPr>
                      <w:rFonts w:hint="eastAsia"/>
                      <w:b/>
                      <w:bCs/>
                      <w:color w:val="000000" w:themeColor="text1"/>
                      <w:sz w:val="21"/>
                      <w:szCs w:val="21"/>
                      <w:lang w:val="en-US" w:eastAsia="zh-CN"/>
                      <w14:textFill>
                        <w14:solidFill>
                          <w14:schemeClr w14:val="tx1"/>
                        </w14:solidFill>
                      </w14:textFill>
                    </w:rPr>
                    <w:t>（来源于企业生产经验值）</w:t>
                  </w:r>
                  <w:r>
                    <w:rPr>
                      <w:rFonts w:hint="eastAsia" w:eastAsia="宋体"/>
                      <w:b/>
                      <w:bCs/>
                      <w:color w:val="000000" w:themeColor="text1"/>
                      <w:sz w:val="21"/>
                      <w:szCs w:val="21"/>
                      <w:lang w:val="en-US" w:eastAsia="zh-CN"/>
                      <w14:textFill>
                        <w14:solidFill>
                          <w14:schemeClr w14:val="tx1"/>
                        </w14:solidFill>
                      </w14:textFill>
                    </w:rPr>
                    <w:t>。</w:t>
                  </w:r>
                </w:p>
              </w:tc>
            </w:tr>
          </w:tbl>
          <w:p w14:paraId="38E27C7D">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both"/>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vertAlign w:val="baseline"/>
                <w:lang w:val="en-US" w:eastAsia="zh-CN"/>
                <w14:textFill>
                  <w14:solidFill>
                    <w14:schemeClr w14:val="tx1"/>
                  </w14:solidFill>
                </w14:textFill>
              </w:rPr>
              <w:t>参照</w:t>
            </w:r>
            <w:r>
              <w:rPr>
                <w:rFonts w:hint="default" w:ascii="Times New Roman" w:hAnsi="Times New Roman" w:eastAsia="宋体" w:cs="Times New Roman"/>
                <w:color w:val="000000" w:themeColor="text1"/>
                <w:sz w:val="24"/>
                <w:szCs w:val="24"/>
                <w14:textFill>
                  <w14:solidFill>
                    <w14:schemeClr w14:val="tx1"/>
                  </w14:solidFill>
                </w14:textFill>
              </w:rPr>
              <w:t>《涂装技术使用手册》中油漆用量计算公式</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TimesNewRomanPSMT" w:cs="Times New Roman"/>
                <w:color w:val="000000" w:themeColor="text1"/>
                <w:sz w:val="24"/>
                <w:szCs w:val="24"/>
                <w14:textFill>
                  <w14:solidFill>
                    <w14:schemeClr w14:val="tx1"/>
                  </w14:solidFill>
                </w14:textFill>
              </w:rPr>
              <w:t>m=ρδs×10</w:t>
            </w:r>
            <w:r>
              <w:rPr>
                <w:rFonts w:hint="default" w:ascii="Times New Roman" w:hAnsi="Times New Roman" w:eastAsia="TimesNewRomanPSMT" w:cs="Times New Roman"/>
                <w:color w:val="000000" w:themeColor="text1"/>
                <w:sz w:val="24"/>
                <w:szCs w:val="24"/>
                <w:vertAlign w:val="superscript"/>
                <w14:textFill>
                  <w14:solidFill>
                    <w14:schemeClr w14:val="tx1"/>
                  </w14:solidFill>
                </w14:textFill>
              </w:rPr>
              <w:t>-6</w:t>
            </w:r>
            <w:r>
              <w:rPr>
                <w:rFonts w:hint="default" w:ascii="Times New Roman" w:hAnsi="Times New Roman" w:eastAsia="TimesNewRomanPSMT"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TimesNewRomanPSMT" w:cs="Times New Roman"/>
                <w:color w:val="000000" w:themeColor="text1"/>
                <w:sz w:val="24"/>
                <w:szCs w:val="24"/>
                <w14:textFill>
                  <w14:solidFill>
                    <w14:schemeClr w14:val="tx1"/>
                  </w14:solidFill>
                </w14:textFill>
              </w:rPr>
              <w:t>NV·ε</w:t>
            </w:r>
            <w:r>
              <w:rPr>
                <w:rFonts w:hint="default" w:ascii="Times New Roman" w:hAnsi="Times New Roman" w:eastAsia="宋体" w:cs="Times New Roman"/>
                <w:color w:val="000000" w:themeColor="text1"/>
                <w:sz w:val="24"/>
                <w:szCs w:val="24"/>
                <w14:textFill>
                  <w14:solidFill>
                    <w14:schemeClr w14:val="tx1"/>
                  </w14:solidFill>
                </w14:textFill>
              </w:rPr>
              <w:t>）</w:t>
            </w:r>
          </w:p>
          <w:p w14:paraId="2883BB0E">
            <w:pPr>
              <w:adjustRightInd/>
              <w:snapToGrid/>
              <w:ind w:firstLine="48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其中：</w:t>
            </w:r>
            <w:r>
              <w:rPr>
                <w:rFonts w:hint="default" w:ascii="Times New Roman" w:hAnsi="Times New Roman" w:eastAsia="TimesNewRomanPSMT" w:cs="Times New Roman"/>
                <w:color w:val="000000" w:themeColor="text1"/>
                <w:sz w:val="24"/>
                <w:szCs w:val="24"/>
                <w14:textFill>
                  <w14:solidFill>
                    <w14:schemeClr w14:val="tx1"/>
                  </w14:solidFill>
                </w14:textFill>
              </w:rPr>
              <w:t>m-</w:t>
            </w:r>
            <w:r>
              <w:rPr>
                <w:rFonts w:hint="default" w:ascii="Times New Roman" w:hAnsi="Times New Roman" w:eastAsia="宋体" w:cs="Times New Roman"/>
                <w:color w:val="000000" w:themeColor="text1"/>
                <w:sz w:val="24"/>
                <w:szCs w:val="24"/>
                <w14:textFill>
                  <w14:solidFill>
                    <w14:schemeClr w14:val="tx1"/>
                  </w14:solidFill>
                </w14:textFill>
              </w:rPr>
              <w:t>油漆总用量（</w:t>
            </w:r>
            <w:r>
              <w:rPr>
                <w:rFonts w:hint="default" w:ascii="Times New Roman" w:hAnsi="Times New Roman" w:eastAsia="TimesNewRomanPSMT" w:cs="Times New Roman"/>
                <w:color w:val="000000" w:themeColor="text1"/>
                <w:sz w:val="24"/>
                <w:szCs w:val="24"/>
                <w14:textFill>
                  <w14:solidFill>
                    <w14:schemeClr w14:val="tx1"/>
                  </w14:solidFill>
                </w14:textFill>
              </w:rPr>
              <w:t>t/a</w:t>
            </w:r>
            <w:r>
              <w:rPr>
                <w:rFonts w:hint="default" w:ascii="Times New Roman" w:hAnsi="Times New Roman" w:eastAsia="宋体" w:cs="Times New Roman"/>
                <w:color w:val="000000" w:themeColor="text1"/>
                <w:sz w:val="24"/>
                <w:szCs w:val="24"/>
                <w14:textFill>
                  <w14:solidFill>
                    <w14:schemeClr w14:val="tx1"/>
                  </w14:solidFill>
                </w14:textFill>
              </w:rPr>
              <w:t>）；</w:t>
            </w:r>
          </w:p>
          <w:p w14:paraId="78A6E90D">
            <w:pPr>
              <w:adjustRightInd/>
              <w:snapToGrid/>
              <w:ind w:firstLine="48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TimesNewRomanPSMT" w:cs="Times New Roman"/>
                <w:color w:val="000000" w:themeColor="text1"/>
                <w:sz w:val="24"/>
                <w:szCs w:val="24"/>
                <w14:textFill>
                  <w14:solidFill>
                    <w14:schemeClr w14:val="tx1"/>
                  </w14:solidFill>
                </w14:textFill>
              </w:rPr>
              <w:t>ρ-</w:t>
            </w:r>
            <w:r>
              <w:rPr>
                <w:rFonts w:hint="default" w:ascii="Times New Roman" w:hAnsi="Times New Roman" w:eastAsia="宋体" w:cs="Times New Roman"/>
                <w:color w:val="000000" w:themeColor="text1"/>
                <w:sz w:val="24"/>
                <w:szCs w:val="24"/>
                <w14:textFill>
                  <w14:solidFill>
                    <w14:schemeClr w14:val="tx1"/>
                  </w14:solidFill>
                </w14:textFill>
              </w:rPr>
              <w:t>油漆密度（</w:t>
            </w:r>
            <w:r>
              <w:rPr>
                <w:rFonts w:hint="default" w:ascii="Times New Roman" w:hAnsi="Times New Roman" w:eastAsia="TimesNewRomanPSMT" w:cs="Times New Roman"/>
                <w:color w:val="000000" w:themeColor="text1"/>
                <w:sz w:val="24"/>
                <w:szCs w:val="24"/>
                <w14:textFill>
                  <w14:solidFill>
                    <w14:schemeClr w14:val="tx1"/>
                  </w14:solidFill>
                </w14:textFill>
              </w:rPr>
              <w:t>g/cm</w:t>
            </w:r>
            <w:r>
              <w:rPr>
                <w:rFonts w:hint="default" w:ascii="Times New Roman" w:hAnsi="Times New Roman" w:eastAsia="宋体"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w:t>
            </w:r>
          </w:p>
          <w:p w14:paraId="52998A31">
            <w:pPr>
              <w:adjustRightInd/>
              <w:snapToGrid/>
              <w:ind w:firstLine="482"/>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TimesNewRomanPSMT" w:cs="Times New Roman"/>
                <w:color w:val="000000" w:themeColor="text1"/>
                <w:sz w:val="24"/>
                <w:szCs w:val="24"/>
                <w14:textFill>
                  <w14:solidFill>
                    <w14:schemeClr w14:val="tx1"/>
                  </w14:solidFill>
                </w14:textFill>
              </w:rPr>
              <w:t>δ-</w:t>
            </w:r>
            <w:r>
              <w:rPr>
                <w:rFonts w:hint="default" w:ascii="Times New Roman" w:hAnsi="Times New Roman" w:eastAsia="宋体" w:cs="Times New Roman"/>
                <w:color w:val="000000" w:themeColor="text1"/>
                <w:sz w:val="24"/>
                <w:szCs w:val="24"/>
                <w14:textFill>
                  <w14:solidFill>
                    <w14:schemeClr w14:val="tx1"/>
                  </w14:solidFill>
                </w14:textFill>
              </w:rPr>
              <w:t>涂层厚度（</w:t>
            </w:r>
            <w:r>
              <w:rPr>
                <w:rFonts w:hint="default" w:ascii="Times New Roman" w:hAnsi="Times New Roman" w:eastAsia="TimesNewRomanPSMT" w:cs="Times New Roman"/>
                <w:color w:val="000000" w:themeColor="text1"/>
                <w:sz w:val="24"/>
                <w:szCs w:val="24"/>
                <w14:textFill>
                  <w14:solidFill>
                    <w14:schemeClr w14:val="tx1"/>
                  </w14:solidFill>
                </w14:textFill>
              </w:rPr>
              <w:t>μm</w:t>
            </w:r>
            <w:r>
              <w:rPr>
                <w:rFonts w:hint="default" w:ascii="Times New Roman" w:hAnsi="Times New Roman" w:eastAsia="宋体" w:cs="Times New Roman"/>
                <w:color w:val="000000" w:themeColor="text1"/>
                <w:sz w:val="24"/>
                <w:szCs w:val="24"/>
                <w14:textFill>
                  <w14:solidFill>
                    <w14:schemeClr w14:val="tx1"/>
                  </w14:solidFill>
                </w14:textFill>
              </w:rPr>
              <w:t>）；</w:t>
            </w:r>
          </w:p>
          <w:p w14:paraId="63034BB4">
            <w:pPr>
              <w:numPr>
                <w:ilvl w:val="0"/>
                <w:numId w:val="0"/>
              </w:numPr>
              <w:adjustRightInd/>
              <w:snapToGrid/>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s-</w:t>
            </w:r>
            <w:r>
              <w:rPr>
                <w:rFonts w:hint="default" w:ascii="Times New Roman" w:hAnsi="Times New Roman" w:eastAsia="宋体" w:cs="Times New Roman"/>
                <w:color w:val="000000" w:themeColor="text1"/>
                <w:sz w:val="24"/>
                <w:szCs w:val="24"/>
                <w14:textFill>
                  <w14:solidFill>
                    <w14:schemeClr w14:val="tx1"/>
                  </w14:solidFill>
                </w14:textFill>
              </w:rPr>
              <w:t>涂装总面积（</w:t>
            </w:r>
            <w:r>
              <w:rPr>
                <w:rFonts w:hint="default" w:ascii="Times New Roman" w:hAnsi="Times New Roman" w:eastAsia="TimesNewRomanPSMT" w:cs="Times New Roman"/>
                <w:color w:val="000000" w:themeColor="text1"/>
                <w:sz w:val="24"/>
                <w:szCs w:val="24"/>
                <w14:textFill>
                  <w14:solidFill>
                    <w14:schemeClr w14:val="tx1"/>
                  </w14:solidFill>
                </w14:textFill>
              </w:rPr>
              <w:t>m</w:t>
            </w:r>
            <w:r>
              <w:rPr>
                <w:rFonts w:hint="default" w:ascii="Times New Roman" w:hAnsi="Times New Roman" w:eastAsia="TimesNewRomanPSMT" w:cs="Times New Roman"/>
                <w:color w:val="000000" w:themeColor="text1"/>
                <w:sz w:val="24"/>
                <w:szCs w:val="24"/>
                <w:vertAlign w:val="superscript"/>
                <w14:textFill>
                  <w14:solidFill>
                    <w14:schemeClr w14:val="tx1"/>
                  </w14:solidFill>
                </w14:textFill>
              </w:rPr>
              <w:t>2</w:t>
            </w:r>
            <w:r>
              <w:rPr>
                <w:rFonts w:hint="default" w:ascii="Times New Roman" w:hAnsi="Times New Roman" w:eastAsia="TimesNewRomanPSMT"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年）；</w:t>
            </w:r>
          </w:p>
          <w:p w14:paraId="6B164C76">
            <w:pPr>
              <w:numPr>
                <w:ilvl w:val="0"/>
                <w:numId w:val="0"/>
              </w:numPr>
              <w:adjustRightInd/>
              <w:snapToGrid/>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NV-</w:t>
            </w:r>
            <w:r>
              <w:rPr>
                <w:rFonts w:hint="default" w:ascii="Times New Roman" w:hAnsi="Times New Roman" w:eastAsia="宋体" w:cs="Times New Roman"/>
                <w:color w:val="000000" w:themeColor="text1"/>
                <w:sz w:val="24"/>
                <w:szCs w:val="24"/>
                <w14:textFill>
                  <w14:solidFill>
                    <w14:schemeClr w14:val="tx1"/>
                  </w14:solidFill>
                </w14:textFill>
              </w:rPr>
              <w:t>油漆中的固体份（</w:t>
            </w:r>
            <w:r>
              <w:rPr>
                <w:rFonts w:hint="default" w:ascii="Times New Roman" w:hAnsi="Times New Roman" w:eastAsia="TimesNewRomanPSMT"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p>
          <w:p w14:paraId="602F575F">
            <w:pPr>
              <w:numPr>
                <w:ilvl w:val="0"/>
                <w:numId w:val="0"/>
              </w:numPr>
              <w:adjustRightInd/>
              <w:snapToGrid/>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TimesNewRomanPSMT" w:cs="Times New Roman"/>
                <w:color w:val="000000" w:themeColor="text1"/>
                <w:sz w:val="24"/>
                <w:szCs w:val="24"/>
                <w14:textFill>
                  <w14:solidFill>
                    <w14:schemeClr w14:val="tx1"/>
                  </w14:solidFill>
                </w14:textFill>
              </w:rPr>
              <w:t>ε-</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附着</w:t>
            </w:r>
            <w:r>
              <w:rPr>
                <w:rFonts w:hint="default" w:ascii="Times New Roman" w:hAnsi="Times New Roman" w:eastAsia="宋体" w:cs="Times New Roman"/>
                <w:color w:val="000000" w:themeColor="text1"/>
                <w:sz w:val="24"/>
                <w:szCs w:val="24"/>
                <w14:textFill>
                  <w14:solidFill>
                    <w14:schemeClr w14:val="tx1"/>
                  </w14:solidFill>
                </w14:textFill>
              </w:rPr>
              <w:t>率（</w:t>
            </w:r>
            <w:r>
              <w:rPr>
                <w:rFonts w:hint="default" w:ascii="Times New Roman" w:hAnsi="Times New Roman" w:eastAsia="TimesNewRomanPSMT"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参考</w:t>
            </w:r>
            <w:r>
              <w:rPr>
                <w:bCs/>
                <w:color w:val="000000" w:themeColor="text1"/>
                <w14:textFill>
                  <w14:solidFill>
                    <w14:schemeClr w14:val="tx1"/>
                  </w14:solidFill>
                </w14:textFill>
              </w:rPr>
              <w:t>《涂装工艺与设备》（化学工业出版社），喷涂距离在15cm~20cm之间时，</w:t>
            </w:r>
            <w:r>
              <w:rPr>
                <w:rFonts w:hint="eastAsia"/>
                <w:bCs/>
                <w:color w:val="000000" w:themeColor="text1"/>
                <w:lang w:val="en-US" w:eastAsia="zh-CN"/>
                <w14:textFill>
                  <w14:solidFill>
                    <w14:schemeClr w14:val="tx1"/>
                  </w14:solidFill>
                </w14:textFill>
              </w:rPr>
              <w:t>喷涂附着</w:t>
            </w:r>
            <w:r>
              <w:rPr>
                <w:bCs/>
                <w:color w:val="000000" w:themeColor="text1"/>
                <w14:textFill>
                  <w14:solidFill>
                    <w14:schemeClr w14:val="tx1"/>
                  </w14:solidFill>
                </w14:textFill>
              </w:rPr>
              <w:t>率约65%~75%，</w:t>
            </w:r>
            <w:r>
              <w:rPr>
                <w:rFonts w:hint="eastAsia"/>
                <w:bCs/>
                <w:color w:val="000000" w:themeColor="text1"/>
                <w:lang w:val="en-US" w:eastAsia="zh-CN"/>
                <w14:textFill>
                  <w14:solidFill>
                    <w14:schemeClr w14:val="tx1"/>
                  </w14:solidFill>
                </w14:textFill>
              </w:rPr>
              <w:t>本次环评</w:t>
            </w:r>
            <w:r>
              <w:rPr>
                <w:bCs/>
                <w:color w:val="000000" w:themeColor="text1"/>
                <w14:textFill>
                  <w14:solidFill>
                    <w14:schemeClr w14:val="tx1"/>
                  </w14:solidFill>
                </w14:textFill>
              </w:rPr>
              <w:t>以70%计</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彩绘油漆附着率按98%考虑</w:t>
            </w:r>
            <w:r>
              <w:rPr>
                <w:rFonts w:hint="default" w:ascii="Times New Roman" w:hAnsi="Times New Roman" w:eastAsia="宋体" w:cs="Times New Roman"/>
                <w:color w:val="000000" w:themeColor="text1"/>
                <w:sz w:val="24"/>
                <w:szCs w:val="24"/>
                <w14:textFill>
                  <w14:solidFill>
                    <w14:schemeClr w14:val="tx1"/>
                  </w14:solidFill>
                </w14:textFill>
              </w:rPr>
              <w:t>。</w:t>
            </w:r>
          </w:p>
          <w:p w14:paraId="64AE15BD">
            <w:pPr>
              <w:numPr>
                <w:ilvl w:val="0"/>
                <w:numId w:val="0"/>
              </w:numPr>
              <w:adjustRightInd/>
              <w:snapToGrid/>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p>
          <w:p w14:paraId="662675ED">
            <w:pPr>
              <w:numPr>
                <w:ilvl w:val="0"/>
                <w:numId w:val="0"/>
              </w:numPr>
              <w:adjustRightInd/>
              <w:snapToGrid/>
              <w:ind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p>
          <w:p w14:paraId="68FA3DAF">
            <w:pPr>
              <w:pStyle w:val="57"/>
              <w:numPr>
                <w:ilvl w:val="3"/>
                <w:numId w:val="19"/>
              </w:numPr>
              <w:rPr>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项目油漆用量匹配性分析表</w:t>
            </w:r>
          </w:p>
          <w:tbl>
            <w:tblPr>
              <w:tblStyle w:val="37"/>
              <w:tblW w:w="8632"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802"/>
              <w:gridCol w:w="717"/>
              <w:gridCol w:w="748"/>
              <w:gridCol w:w="795"/>
              <w:gridCol w:w="795"/>
              <w:gridCol w:w="795"/>
              <w:gridCol w:w="795"/>
              <w:gridCol w:w="795"/>
              <w:gridCol w:w="795"/>
              <w:gridCol w:w="795"/>
              <w:gridCol w:w="800"/>
            </w:tblGrid>
            <w:tr w14:paraId="45E4707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jc w:val="center"/>
              </w:trPr>
              <w:tc>
                <w:tcPr>
                  <w:tcW w:w="464" w:type="pct"/>
                  <w:tcBorders>
                    <w:tl2br w:val="nil"/>
                    <w:tr2bl w:val="nil"/>
                  </w:tcBorders>
                  <w:vAlign w:val="center"/>
                </w:tcPr>
                <w:p w14:paraId="0572C228">
                  <w:pPr>
                    <w:adjustRightInd/>
                    <w:snapToGrid/>
                    <w:spacing w:line="240" w:lineRule="auto"/>
                    <w:ind w:firstLine="0" w:firstLineChars="0"/>
                    <w:jc w:val="center"/>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t>用漆</w:t>
                  </w:r>
                </w:p>
                <w:p w14:paraId="00A7388A">
                  <w:pPr>
                    <w:adjustRightInd/>
                    <w:snapToGrid/>
                    <w:spacing w:line="240" w:lineRule="auto"/>
                    <w:ind w:firstLine="0" w:firstLineChars="0"/>
                    <w:jc w:val="center"/>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t>类型</w:t>
                  </w:r>
                </w:p>
              </w:tc>
              <w:tc>
                <w:tcPr>
                  <w:tcW w:w="415" w:type="pct"/>
                  <w:tcBorders>
                    <w:right w:val="single" w:color="auto" w:sz="4" w:space="0"/>
                    <w:tl2br w:val="nil"/>
                    <w:tr2bl w:val="nil"/>
                  </w:tcBorders>
                  <w:vAlign w:val="center"/>
                </w:tcPr>
                <w:p w14:paraId="2E154D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b/>
                      <w:bCs/>
                      <w:color w:val="000000" w:themeColor="text1"/>
                      <w:sz w:val="15"/>
                      <w:szCs w:val="15"/>
                      <w:lang w:val="en-US" w:eastAsia="zh-CN"/>
                      <w14:textFill>
                        <w14:solidFill>
                          <w14:schemeClr w14:val="tx1"/>
                        </w14:solidFill>
                      </w14:textFill>
                    </w:rPr>
                    <w:t>用漆</w:t>
                  </w:r>
                </w:p>
                <w:p w14:paraId="708147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b/>
                      <w:bCs/>
                      <w:color w:val="000000" w:themeColor="text1"/>
                      <w:sz w:val="15"/>
                      <w:szCs w:val="15"/>
                      <w:lang w:val="en-US" w:eastAsia="zh-CN"/>
                      <w14:textFill>
                        <w14:solidFill>
                          <w14:schemeClr w14:val="tx1"/>
                        </w14:solidFill>
                      </w14:textFill>
                    </w:rPr>
                    <w:t>工艺</w:t>
                  </w:r>
                </w:p>
              </w:tc>
              <w:tc>
                <w:tcPr>
                  <w:tcW w:w="433" w:type="pct"/>
                  <w:tcBorders>
                    <w:left w:val="single" w:color="auto" w:sz="4" w:space="0"/>
                    <w:tl2br w:val="nil"/>
                    <w:tr2bl w:val="nil"/>
                  </w:tcBorders>
                  <w:vAlign w:val="center"/>
                </w:tcPr>
                <w:p w14:paraId="7586B4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15"/>
                      <w:szCs w:val="15"/>
                      <w:highlight w:val="none"/>
                      <w:lang w:val="en-US" w:eastAsia="zh-CN"/>
                      <w14:textFill>
                        <w14:solidFill>
                          <w14:schemeClr w14:val="tx1"/>
                        </w14:solidFill>
                      </w14:textFill>
                    </w:rPr>
                    <w:t>用漆</w:t>
                  </w: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面积m</w:t>
                  </w:r>
                  <w:r>
                    <w:rPr>
                      <w:rFonts w:hint="default" w:ascii="Times New Roman" w:hAnsi="Times New Roman" w:eastAsia="宋体" w:cs="Times New Roman"/>
                      <w:b/>
                      <w:bCs/>
                      <w:color w:val="000000" w:themeColor="text1"/>
                      <w:sz w:val="15"/>
                      <w:szCs w:val="15"/>
                      <w:highlight w:val="none"/>
                      <w:vertAlign w:val="superscript"/>
                      <w:lang w:val="en-US" w:eastAsia="zh-CN"/>
                      <w14:textFill>
                        <w14:solidFill>
                          <w14:schemeClr w14:val="tx1"/>
                        </w14:solidFill>
                      </w14:textFill>
                    </w:rPr>
                    <w:t>2</w:t>
                  </w:r>
                </w:p>
              </w:tc>
              <w:tc>
                <w:tcPr>
                  <w:tcW w:w="460" w:type="pct"/>
                  <w:tcBorders>
                    <w:tl2br w:val="nil"/>
                    <w:tr2bl w:val="nil"/>
                  </w:tcBorders>
                  <w:vAlign w:val="center"/>
                </w:tcPr>
                <w:p w14:paraId="54137D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涂层厚度</w:t>
                  </w:r>
                  <w:r>
                    <w:rPr>
                      <w:rFonts w:hint="default" w:ascii="Times New Roman" w:hAnsi="Times New Roman" w:eastAsia="TimesNewRomanPSMT" w:cs="Times New Roman"/>
                      <w:b/>
                      <w:bCs/>
                      <w:color w:val="000000" w:themeColor="text1"/>
                      <w:sz w:val="15"/>
                      <w:szCs w:val="15"/>
                      <w14:textFill>
                        <w14:solidFill>
                          <w14:schemeClr w14:val="tx1"/>
                        </w14:solidFill>
                      </w14:textFill>
                    </w:rPr>
                    <w:t>μm</w:t>
                  </w:r>
                </w:p>
              </w:tc>
              <w:tc>
                <w:tcPr>
                  <w:tcW w:w="460" w:type="pct"/>
                  <w:tcBorders>
                    <w:tl2br w:val="nil"/>
                    <w:tr2bl w:val="nil"/>
                  </w:tcBorders>
                  <w:vAlign w:val="center"/>
                </w:tcPr>
                <w:p w14:paraId="7BAB36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油漆密度g/cm</w:t>
                  </w:r>
                  <w:r>
                    <w:rPr>
                      <w:rFonts w:hint="default" w:ascii="Times New Roman" w:hAnsi="Times New Roman" w:eastAsia="宋体" w:cs="Times New Roman"/>
                      <w:b/>
                      <w:bCs/>
                      <w:color w:val="000000" w:themeColor="text1"/>
                      <w:sz w:val="15"/>
                      <w:szCs w:val="15"/>
                      <w:highlight w:val="none"/>
                      <w:vertAlign w:val="superscript"/>
                      <w:lang w:val="en-US" w:eastAsia="zh-CN"/>
                      <w14:textFill>
                        <w14:solidFill>
                          <w14:schemeClr w14:val="tx1"/>
                        </w14:solidFill>
                      </w14:textFill>
                    </w:rPr>
                    <w:t>3</w:t>
                  </w:r>
                </w:p>
              </w:tc>
              <w:tc>
                <w:tcPr>
                  <w:tcW w:w="460" w:type="pct"/>
                  <w:tcBorders>
                    <w:tl2br w:val="nil"/>
                    <w:tr2bl w:val="nil"/>
                  </w:tcBorders>
                  <w:vAlign w:val="center"/>
                </w:tcPr>
                <w:p w14:paraId="556D67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理论干膜总量t/a</w:t>
                  </w:r>
                </w:p>
              </w:tc>
              <w:tc>
                <w:tcPr>
                  <w:tcW w:w="460" w:type="pct"/>
                  <w:tcBorders>
                    <w:tl2br w:val="nil"/>
                    <w:tr2bl w:val="nil"/>
                  </w:tcBorders>
                  <w:vAlign w:val="center"/>
                </w:tcPr>
                <w:p w14:paraId="75ACA0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vertAlign w:val="superscript"/>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固含量%</w:t>
                  </w:r>
                </w:p>
              </w:tc>
              <w:tc>
                <w:tcPr>
                  <w:tcW w:w="460" w:type="pct"/>
                  <w:tcBorders>
                    <w:tl2br w:val="nil"/>
                    <w:tr2bl w:val="nil"/>
                  </w:tcBorders>
                  <w:vAlign w:val="center"/>
                </w:tcPr>
                <w:p w14:paraId="0E9530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vertAlign w:val="superscript"/>
                      <w:lang w:val="en-US" w:eastAsia="zh-CN"/>
                      <w14:textFill>
                        <w14:solidFill>
                          <w14:schemeClr w14:val="tx1"/>
                        </w14:solidFill>
                      </w14:textFill>
                    </w:rPr>
                  </w:pPr>
                  <w:r>
                    <w:rPr>
                      <w:rFonts w:hint="eastAsia" w:ascii="Times New Roman" w:hAnsi="Times New Roman" w:eastAsia="宋体" w:cs="Times New Roman"/>
                      <w:b/>
                      <w:bCs/>
                      <w:color w:val="000000" w:themeColor="text1"/>
                      <w:sz w:val="15"/>
                      <w:szCs w:val="15"/>
                      <w:highlight w:val="none"/>
                      <w:lang w:val="en-US" w:eastAsia="zh-CN"/>
                      <w14:textFill>
                        <w14:solidFill>
                          <w14:schemeClr w14:val="tx1"/>
                        </w14:solidFill>
                      </w14:textFill>
                    </w:rPr>
                    <w:t>附着</w:t>
                  </w: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率%</w:t>
                  </w:r>
                </w:p>
              </w:tc>
              <w:tc>
                <w:tcPr>
                  <w:tcW w:w="460" w:type="pct"/>
                  <w:tcBorders>
                    <w:tl2br w:val="nil"/>
                    <w:tr2bl w:val="nil"/>
                  </w:tcBorders>
                  <w:vAlign w:val="center"/>
                </w:tcPr>
                <w:p w14:paraId="75AC3A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vertAlign w:val="superscript"/>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理论用漆量t/a</w:t>
                  </w:r>
                </w:p>
              </w:tc>
              <w:tc>
                <w:tcPr>
                  <w:tcW w:w="460" w:type="pct"/>
                  <w:tcBorders>
                    <w:tl2br w:val="nil"/>
                    <w:tr2bl w:val="nil"/>
                  </w:tcBorders>
                  <w:vAlign w:val="center"/>
                </w:tcPr>
                <w:p w14:paraId="1AD326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vertAlign w:val="superscript"/>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实际用漆量t/a</w:t>
                  </w:r>
                </w:p>
              </w:tc>
              <w:tc>
                <w:tcPr>
                  <w:tcW w:w="463" w:type="pct"/>
                  <w:tcBorders>
                    <w:tl2br w:val="nil"/>
                    <w:tr2bl w:val="nil"/>
                  </w:tcBorders>
                  <w:vAlign w:val="center"/>
                </w:tcPr>
                <w:p w14:paraId="69FB7D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00" w:themeColor="text1"/>
                      <w:sz w:val="15"/>
                      <w:szCs w:val="15"/>
                      <w:vertAlign w:val="superscript"/>
                      <w:lang w:val="en-US" w:eastAsia="zh-CN"/>
                      <w14:textFill>
                        <w14:solidFill>
                          <w14:schemeClr w14:val="tx1"/>
                        </w14:solidFill>
                      </w14:textFill>
                    </w:rPr>
                  </w:pPr>
                  <w:r>
                    <w:rPr>
                      <w:rFonts w:hint="default" w:ascii="Times New Roman" w:hAnsi="Times New Roman" w:eastAsia="宋体" w:cs="Times New Roman"/>
                      <w:b/>
                      <w:bCs/>
                      <w:color w:val="000000" w:themeColor="text1"/>
                      <w:sz w:val="15"/>
                      <w:szCs w:val="15"/>
                      <w:highlight w:val="none"/>
                      <w:lang w:val="en-US" w:eastAsia="zh-CN"/>
                      <w14:textFill>
                        <w14:solidFill>
                          <w14:schemeClr w14:val="tx1"/>
                        </w14:solidFill>
                      </w14:textFill>
                    </w:rPr>
                    <w:t>匹配性</w:t>
                  </w:r>
                </w:p>
              </w:tc>
            </w:tr>
            <w:tr w14:paraId="54051DD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64" w:hRule="atLeast"/>
                <w:jc w:val="center"/>
              </w:trPr>
              <w:tc>
                <w:tcPr>
                  <w:tcW w:w="464" w:type="pct"/>
                  <w:vMerge w:val="restart"/>
                  <w:tcBorders>
                    <w:tl2br w:val="nil"/>
                    <w:tr2bl w:val="nil"/>
                  </w:tcBorders>
                  <w:vAlign w:val="center"/>
                </w:tcPr>
                <w:p w14:paraId="11C1B6B6">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水性漆</w:t>
                  </w:r>
                </w:p>
              </w:tc>
              <w:tc>
                <w:tcPr>
                  <w:tcW w:w="415" w:type="pct"/>
                  <w:tcBorders>
                    <w:right w:val="single" w:color="auto" w:sz="4" w:space="0"/>
                    <w:tl2br w:val="nil"/>
                    <w:tr2bl w:val="nil"/>
                  </w:tcBorders>
                  <w:vAlign w:val="center"/>
                </w:tcPr>
                <w:p w14:paraId="5E8BFA59">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喷涂</w:t>
                  </w:r>
                </w:p>
              </w:tc>
              <w:tc>
                <w:tcPr>
                  <w:tcW w:w="433" w:type="pct"/>
                  <w:tcBorders>
                    <w:left w:val="single" w:color="auto" w:sz="4" w:space="0"/>
                    <w:tl2br w:val="nil"/>
                    <w:tr2bl w:val="nil"/>
                  </w:tcBorders>
                  <w:vAlign w:val="center"/>
                </w:tcPr>
                <w:p w14:paraId="117606CD">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63000</w:t>
                  </w:r>
                </w:p>
              </w:tc>
              <w:tc>
                <w:tcPr>
                  <w:tcW w:w="460" w:type="pct"/>
                  <w:tcBorders>
                    <w:tl2br w:val="nil"/>
                    <w:tr2bl w:val="nil"/>
                  </w:tcBorders>
                  <w:vAlign w:val="center"/>
                </w:tcPr>
                <w:p w14:paraId="3AEEB6D9">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20</w:t>
                  </w:r>
                </w:p>
              </w:tc>
              <w:tc>
                <w:tcPr>
                  <w:tcW w:w="460" w:type="pct"/>
                  <w:tcBorders>
                    <w:tl2br w:val="nil"/>
                    <w:tr2bl w:val="nil"/>
                  </w:tcBorders>
                  <w:vAlign w:val="center"/>
                </w:tcPr>
                <w:p w14:paraId="1C2450DE">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1.06</w:t>
                  </w:r>
                </w:p>
              </w:tc>
              <w:tc>
                <w:tcPr>
                  <w:tcW w:w="460" w:type="pct"/>
                  <w:tcBorders>
                    <w:tl2br w:val="nil"/>
                    <w:tr2bl w:val="nil"/>
                  </w:tcBorders>
                  <w:vAlign w:val="center"/>
                </w:tcPr>
                <w:p w14:paraId="5822F5BE">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1.336</w:t>
                  </w:r>
                </w:p>
              </w:tc>
              <w:tc>
                <w:tcPr>
                  <w:tcW w:w="460" w:type="pct"/>
                  <w:tcBorders>
                    <w:tl2br w:val="nil"/>
                    <w:tr2bl w:val="nil"/>
                  </w:tcBorders>
                  <w:vAlign w:val="center"/>
                </w:tcPr>
                <w:p w14:paraId="4C0A2BBA">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53.33</w:t>
                  </w:r>
                </w:p>
              </w:tc>
              <w:tc>
                <w:tcPr>
                  <w:tcW w:w="460" w:type="pct"/>
                  <w:tcBorders>
                    <w:tl2br w:val="nil"/>
                    <w:tr2bl w:val="nil"/>
                  </w:tcBorders>
                  <w:vAlign w:val="center"/>
                </w:tcPr>
                <w:p w14:paraId="6E3E9D01">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70</w:t>
                  </w:r>
                </w:p>
              </w:tc>
              <w:tc>
                <w:tcPr>
                  <w:tcW w:w="460" w:type="pct"/>
                  <w:tcBorders>
                    <w:tl2br w:val="nil"/>
                    <w:tr2bl w:val="nil"/>
                  </w:tcBorders>
                  <w:vAlign w:val="center"/>
                </w:tcPr>
                <w:p w14:paraId="754FA303">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3.579</w:t>
                  </w:r>
                </w:p>
              </w:tc>
              <w:tc>
                <w:tcPr>
                  <w:tcW w:w="460" w:type="pct"/>
                  <w:tcBorders>
                    <w:tl2br w:val="nil"/>
                    <w:tr2bl w:val="nil"/>
                  </w:tcBorders>
                  <w:vAlign w:val="center"/>
                </w:tcPr>
                <w:p w14:paraId="76E22EF9">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3.700</w:t>
                  </w:r>
                </w:p>
              </w:tc>
              <w:tc>
                <w:tcPr>
                  <w:tcW w:w="463" w:type="pct"/>
                  <w:tcBorders>
                    <w:tl2br w:val="nil"/>
                    <w:tr2bl w:val="nil"/>
                  </w:tcBorders>
                  <w:vAlign w:val="center"/>
                </w:tcPr>
                <w:p w14:paraId="2C2DD648">
                  <w:pPr>
                    <w:widowControl/>
                    <w:adjustRightInd/>
                    <w:snapToGrid/>
                    <w:spacing w:line="240" w:lineRule="auto"/>
                    <w:ind w:firstLine="0" w:firstLineChars="0"/>
                    <w:jc w:val="center"/>
                    <w:rPr>
                      <w:rFonts w:hint="eastAsia"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匹配</w:t>
                  </w:r>
                </w:p>
              </w:tc>
            </w:tr>
            <w:tr w14:paraId="72F9E21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jc w:val="center"/>
              </w:trPr>
              <w:tc>
                <w:tcPr>
                  <w:tcW w:w="464" w:type="pct"/>
                  <w:vMerge w:val="continue"/>
                  <w:tcBorders>
                    <w:tl2br w:val="nil"/>
                    <w:tr2bl w:val="nil"/>
                  </w:tcBorders>
                  <w:vAlign w:val="center"/>
                </w:tcPr>
                <w:p w14:paraId="6EEA7B96">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p>
              </w:tc>
              <w:tc>
                <w:tcPr>
                  <w:tcW w:w="415" w:type="pct"/>
                  <w:tcBorders>
                    <w:right w:val="single" w:color="auto" w:sz="4" w:space="0"/>
                    <w:tl2br w:val="nil"/>
                    <w:tr2bl w:val="nil"/>
                  </w:tcBorders>
                  <w:vAlign w:val="center"/>
                </w:tcPr>
                <w:p w14:paraId="1F0F45B8">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彩绘</w:t>
                  </w:r>
                </w:p>
              </w:tc>
              <w:tc>
                <w:tcPr>
                  <w:tcW w:w="433" w:type="pct"/>
                  <w:tcBorders>
                    <w:left w:val="single" w:color="auto" w:sz="4" w:space="0"/>
                    <w:tl2br w:val="nil"/>
                    <w:tr2bl w:val="nil"/>
                  </w:tcBorders>
                  <w:vAlign w:val="center"/>
                </w:tcPr>
                <w:p w14:paraId="7E2F1F4E">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60000</w:t>
                  </w:r>
                </w:p>
              </w:tc>
              <w:tc>
                <w:tcPr>
                  <w:tcW w:w="460" w:type="pct"/>
                  <w:tcBorders>
                    <w:tl2br w:val="nil"/>
                    <w:tr2bl w:val="nil"/>
                  </w:tcBorders>
                  <w:vAlign w:val="center"/>
                </w:tcPr>
                <w:p w14:paraId="1FD96449">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30</w:t>
                  </w:r>
                </w:p>
              </w:tc>
              <w:tc>
                <w:tcPr>
                  <w:tcW w:w="460" w:type="pct"/>
                  <w:tcBorders>
                    <w:tl2br w:val="nil"/>
                    <w:tr2bl w:val="nil"/>
                  </w:tcBorders>
                  <w:vAlign w:val="center"/>
                </w:tcPr>
                <w:p w14:paraId="0A571212">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1.06</w:t>
                  </w:r>
                </w:p>
              </w:tc>
              <w:tc>
                <w:tcPr>
                  <w:tcW w:w="460" w:type="pct"/>
                  <w:tcBorders>
                    <w:tl2br w:val="nil"/>
                    <w:tr2bl w:val="nil"/>
                  </w:tcBorders>
                  <w:vAlign w:val="center"/>
                </w:tcPr>
                <w:p w14:paraId="1D15A015">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1.908</w:t>
                  </w:r>
                </w:p>
              </w:tc>
              <w:tc>
                <w:tcPr>
                  <w:tcW w:w="460" w:type="pct"/>
                  <w:tcBorders>
                    <w:tl2br w:val="nil"/>
                    <w:tr2bl w:val="nil"/>
                  </w:tcBorders>
                  <w:vAlign w:val="center"/>
                </w:tcPr>
                <w:p w14:paraId="7E7A1BE8">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53.33</w:t>
                  </w:r>
                </w:p>
              </w:tc>
              <w:tc>
                <w:tcPr>
                  <w:tcW w:w="460" w:type="pct"/>
                  <w:tcBorders>
                    <w:tl2br w:val="nil"/>
                    <w:tr2bl w:val="nil"/>
                  </w:tcBorders>
                  <w:vAlign w:val="center"/>
                </w:tcPr>
                <w:p w14:paraId="2223E7F0">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98</w:t>
                  </w:r>
                </w:p>
              </w:tc>
              <w:tc>
                <w:tcPr>
                  <w:tcW w:w="460" w:type="pct"/>
                  <w:tcBorders>
                    <w:tl2br w:val="nil"/>
                    <w:tr2bl w:val="nil"/>
                  </w:tcBorders>
                  <w:vAlign w:val="center"/>
                </w:tcPr>
                <w:p w14:paraId="48F2DB3E">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3.651</w:t>
                  </w:r>
                </w:p>
              </w:tc>
              <w:tc>
                <w:tcPr>
                  <w:tcW w:w="460" w:type="pct"/>
                  <w:tcBorders>
                    <w:tl2br w:val="nil"/>
                    <w:tr2bl w:val="nil"/>
                  </w:tcBorders>
                  <w:vAlign w:val="center"/>
                </w:tcPr>
                <w:p w14:paraId="04A08B93">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3.800</w:t>
                  </w:r>
                </w:p>
              </w:tc>
              <w:tc>
                <w:tcPr>
                  <w:tcW w:w="463" w:type="pct"/>
                  <w:tcBorders>
                    <w:tl2br w:val="nil"/>
                    <w:tr2bl w:val="nil"/>
                  </w:tcBorders>
                  <w:vAlign w:val="center"/>
                </w:tcPr>
                <w:p w14:paraId="00E23FD1">
                  <w:pPr>
                    <w:widowControl/>
                    <w:adjustRightInd/>
                    <w:snapToGrid/>
                    <w:spacing w:line="240" w:lineRule="auto"/>
                    <w:ind w:firstLine="0" w:firstLineChars="0"/>
                    <w:jc w:val="center"/>
                    <w:rPr>
                      <w:rFonts w:hint="default"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匹配</w:t>
                  </w:r>
                </w:p>
              </w:tc>
            </w:tr>
            <w:tr w14:paraId="2C4CED0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jc w:val="center"/>
              </w:trPr>
              <w:tc>
                <w:tcPr>
                  <w:tcW w:w="464" w:type="pct"/>
                  <w:vMerge w:val="continue"/>
                  <w:tcBorders>
                    <w:tl2br w:val="nil"/>
                    <w:tr2bl w:val="nil"/>
                  </w:tcBorders>
                  <w:vAlign w:val="center"/>
                </w:tcPr>
                <w:p w14:paraId="3850A062">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p>
              </w:tc>
              <w:tc>
                <w:tcPr>
                  <w:tcW w:w="415" w:type="pct"/>
                  <w:tcBorders>
                    <w:right w:val="single" w:color="auto" w:sz="4" w:space="0"/>
                    <w:tl2br w:val="nil"/>
                    <w:tr2bl w:val="nil"/>
                  </w:tcBorders>
                  <w:vAlign w:val="center"/>
                </w:tcPr>
                <w:p w14:paraId="0CFCC612">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合计</w:t>
                  </w:r>
                </w:p>
              </w:tc>
              <w:tc>
                <w:tcPr>
                  <w:tcW w:w="433" w:type="pct"/>
                  <w:tcBorders>
                    <w:left w:val="single" w:color="auto" w:sz="4" w:space="0"/>
                    <w:tl2br w:val="nil"/>
                    <w:tr2bl w:val="nil"/>
                  </w:tcBorders>
                  <w:vAlign w:val="center"/>
                </w:tcPr>
                <w:p w14:paraId="671D32F7">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78EC4F28">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6E56958B">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3FACEBA4">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55A6C56C">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2FB3910A">
                  <w:pPr>
                    <w:widowControl/>
                    <w:adjustRightInd/>
                    <w:snapToGrid/>
                    <w:spacing w:line="240" w:lineRule="auto"/>
                    <w:ind w:firstLine="0" w:firstLineChars="0"/>
                    <w:jc w:val="center"/>
                    <w:rPr>
                      <w:rFonts w:hint="default" w:ascii="Times New Roman" w:hAnsi="Times New Roman"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15B2D1F6">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7.23</w:t>
                  </w:r>
                </w:p>
              </w:tc>
              <w:tc>
                <w:tcPr>
                  <w:tcW w:w="460" w:type="pct"/>
                  <w:tcBorders>
                    <w:tl2br w:val="nil"/>
                    <w:tr2bl w:val="nil"/>
                  </w:tcBorders>
                  <w:vAlign w:val="center"/>
                </w:tcPr>
                <w:p w14:paraId="18B7C724">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7.500</w:t>
                  </w:r>
                </w:p>
              </w:tc>
              <w:tc>
                <w:tcPr>
                  <w:tcW w:w="463" w:type="pct"/>
                  <w:tcBorders>
                    <w:tl2br w:val="nil"/>
                    <w:tr2bl w:val="nil"/>
                  </w:tcBorders>
                  <w:vAlign w:val="center"/>
                </w:tcPr>
                <w:p w14:paraId="4DEEAE7F">
                  <w:pPr>
                    <w:widowControl/>
                    <w:adjustRightInd/>
                    <w:snapToGrid/>
                    <w:spacing w:line="240" w:lineRule="auto"/>
                    <w:ind w:firstLine="0" w:firstLineChars="0"/>
                    <w:jc w:val="center"/>
                    <w:rPr>
                      <w:rFonts w:hint="default" w:ascii="Times New Roman" w:hAnsi="Times New Roman" w:cs="Times New Roman"/>
                      <w:color w:val="000000" w:themeColor="text1"/>
                      <w:sz w:val="15"/>
                      <w:szCs w:val="15"/>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匹配</w:t>
                  </w:r>
                </w:p>
              </w:tc>
            </w:tr>
            <w:tr w14:paraId="64EADFB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jc w:val="center"/>
              </w:trPr>
              <w:tc>
                <w:tcPr>
                  <w:tcW w:w="464" w:type="pct"/>
                  <w:vMerge w:val="restart"/>
                  <w:tcBorders>
                    <w:tl2br w:val="nil"/>
                    <w:tr2bl w:val="nil"/>
                  </w:tcBorders>
                  <w:vAlign w:val="center"/>
                </w:tcPr>
                <w:p w14:paraId="5954E2BD">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油漆</w:t>
                  </w:r>
                </w:p>
              </w:tc>
              <w:tc>
                <w:tcPr>
                  <w:tcW w:w="415" w:type="pct"/>
                  <w:tcBorders>
                    <w:right w:val="single" w:color="auto" w:sz="4" w:space="0"/>
                    <w:tl2br w:val="nil"/>
                    <w:tr2bl w:val="nil"/>
                  </w:tcBorders>
                  <w:vAlign w:val="center"/>
                </w:tcPr>
                <w:p w14:paraId="23308DD9">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喷涂</w:t>
                  </w:r>
                </w:p>
              </w:tc>
              <w:tc>
                <w:tcPr>
                  <w:tcW w:w="433" w:type="pct"/>
                  <w:tcBorders>
                    <w:left w:val="single" w:color="auto" w:sz="4" w:space="0"/>
                    <w:tl2br w:val="nil"/>
                    <w:tr2bl w:val="nil"/>
                  </w:tcBorders>
                  <w:vAlign w:val="center"/>
                </w:tcPr>
                <w:p w14:paraId="58E8F3D6">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18</w:t>
                  </w:r>
                  <w:r>
                    <w:rPr>
                      <w:rFonts w:hint="default" w:ascii="Times New Roman" w:hAnsi="Times New Roman" w:eastAsia="宋体" w:cs="Times New Roman"/>
                      <w:color w:val="000000" w:themeColor="text1"/>
                      <w:sz w:val="15"/>
                      <w:szCs w:val="15"/>
                      <w:lang w:val="en-US" w:eastAsia="zh-CN"/>
                      <w14:textFill>
                        <w14:solidFill>
                          <w14:schemeClr w14:val="tx1"/>
                        </w14:solidFill>
                      </w14:textFill>
                    </w:rPr>
                    <w:t>000</w:t>
                  </w:r>
                </w:p>
              </w:tc>
              <w:tc>
                <w:tcPr>
                  <w:tcW w:w="460" w:type="pct"/>
                  <w:tcBorders>
                    <w:tl2br w:val="nil"/>
                    <w:tr2bl w:val="nil"/>
                  </w:tcBorders>
                  <w:vAlign w:val="center"/>
                </w:tcPr>
                <w:p w14:paraId="231BA257">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20</w:t>
                  </w:r>
                </w:p>
              </w:tc>
              <w:tc>
                <w:tcPr>
                  <w:tcW w:w="460" w:type="pct"/>
                  <w:tcBorders>
                    <w:tl2br w:val="nil"/>
                    <w:tr2bl w:val="nil"/>
                  </w:tcBorders>
                  <w:vAlign w:val="center"/>
                </w:tcPr>
                <w:p w14:paraId="17040EB0">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1.07</w:t>
                  </w:r>
                </w:p>
              </w:tc>
              <w:tc>
                <w:tcPr>
                  <w:tcW w:w="460" w:type="pct"/>
                  <w:tcBorders>
                    <w:tl2br w:val="nil"/>
                    <w:tr2bl w:val="nil"/>
                  </w:tcBorders>
                  <w:vAlign w:val="center"/>
                </w:tcPr>
                <w:p w14:paraId="04945771">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0.385</w:t>
                  </w:r>
                </w:p>
              </w:tc>
              <w:tc>
                <w:tcPr>
                  <w:tcW w:w="460" w:type="pct"/>
                  <w:tcBorders>
                    <w:tl2br w:val="nil"/>
                    <w:tr2bl w:val="nil"/>
                  </w:tcBorders>
                  <w:vAlign w:val="center"/>
                </w:tcPr>
                <w:p w14:paraId="7721C5E6">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56.01</w:t>
                  </w:r>
                </w:p>
              </w:tc>
              <w:tc>
                <w:tcPr>
                  <w:tcW w:w="460" w:type="pct"/>
                  <w:tcBorders>
                    <w:tl2br w:val="nil"/>
                    <w:tr2bl w:val="nil"/>
                  </w:tcBorders>
                  <w:vAlign w:val="center"/>
                </w:tcPr>
                <w:p w14:paraId="4BEFD44F">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70</w:t>
                  </w:r>
                </w:p>
              </w:tc>
              <w:tc>
                <w:tcPr>
                  <w:tcW w:w="460" w:type="pct"/>
                  <w:tcBorders>
                    <w:tl2br w:val="nil"/>
                    <w:tr2bl w:val="nil"/>
                  </w:tcBorders>
                  <w:vAlign w:val="center"/>
                </w:tcPr>
                <w:p w14:paraId="3C763300">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0.982</w:t>
                  </w:r>
                </w:p>
              </w:tc>
              <w:tc>
                <w:tcPr>
                  <w:tcW w:w="460" w:type="pct"/>
                  <w:tcBorders>
                    <w:tl2br w:val="nil"/>
                    <w:tr2bl w:val="nil"/>
                  </w:tcBorders>
                  <w:vAlign w:val="center"/>
                </w:tcPr>
                <w:p w14:paraId="388221FB">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1.050</w:t>
                  </w:r>
                </w:p>
              </w:tc>
              <w:tc>
                <w:tcPr>
                  <w:tcW w:w="463" w:type="pct"/>
                  <w:tcBorders>
                    <w:tl2br w:val="nil"/>
                    <w:tr2bl w:val="nil"/>
                  </w:tcBorders>
                  <w:vAlign w:val="center"/>
                </w:tcPr>
                <w:p w14:paraId="65BA5B38">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匹配</w:t>
                  </w:r>
                </w:p>
              </w:tc>
            </w:tr>
            <w:tr w14:paraId="3D063EA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jc w:val="center"/>
              </w:trPr>
              <w:tc>
                <w:tcPr>
                  <w:tcW w:w="464" w:type="pct"/>
                  <w:vMerge w:val="continue"/>
                  <w:tcBorders>
                    <w:tl2br w:val="nil"/>
                    <w:tr2bl w:val="nil"/>
                  </w:tcBorders>
                  <w:vAlign w:val="center"/>
                </w:tcPr>
                <w:p w14:paraId="65E4E0AC">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p>
              </w:tc>
              <w:tc>
                <w:tcPr>
                  <w:tcW w:w="415" w:type="pct"/>
                  <w:tcBorders>
                    <w:right w:val="single" w:color="auto" w:sz="4" w:space="0"/>
                    <w:tl2br w:val="nil"/>
                    <w:tr2bl w:val="nil"/>
                  </w:tcBorders>
                  <w:vAlign w:val="center"/>
                </w:tcPr>
                <w:p w14:paraId="72908BC6">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彩绘</w:t>
                  </w:r>
                </w:p>
              </w:tc>
              <w:tc>
                <w:tcPr>
                  <w:tcW w:w="433" w:type="pct"/>
                  <w:tcBorders>
                    <w:left w:val="single" w:color="auto" w:sz="4" w:space="0"/>
                    <w:tl2br w:val="nil"/>
                    <w:tr2bl w:val="nil"/>
                  </w:tcBorders>
                  <w:vAlign w:val="center"/>
                </w:tcPr>
                <w:p w14:paraId="6563E258">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2</w:t>
                  </w:r>
                  <w:r>
                    <w:rPr>
                      <w:rFonts w:hint="default" w:ascii="Times New Roman" w:hAnsi="Times New Roman" w:eastAsia="宋体" w:cs="Times New Roman"/>
                      <w:color w:val="000000" w:themeColor="text1"/>
                      <w:sz w:val="15"/>
                      <w:szCs w:val="15"/>
                      <w:lang w:val="en-US" w:eastAsia="zh-CN"/>
                      <w14:textFill>
                        <w14:solidFill>
                          <w14:schemeClr w14:val="tx1"/>
                        </w14:solidFill>
                      </w14:textFill>
                    </w:rPr>
                    <w:t>0000</w:t>
                  </w:r>
                </w:p>
              </w:tc>
              <w:tc>
                <w:tcPr>
                  <w:tcW w:w="460" w:type="pct"/>
                  <w:tcBorders>
                    <w:tl2br w:val="nil"/>
                    <w:tr2bl w:val="nil"/>
                  </w:tcBorders>
                  <w:vAlign w:val="center"/>
                </w:tcPr>
                <w:p w14:paraId="2C297F0B">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30</w:t>
                  </w:r>
                </w:p>
              </w:tc>
              <w:tc>
                <w:tcPr>
                  <w:tcW w:w="460" w:type="pct"/>
                  <w:tcBorders>
                    <w:tl2br w:val="nil"/>
                    <w:tr2bl w:val="nil"/>
                  </w:tcBorders>
                  <w:vAlign w:val="center"/>
                </w:tcPr>
                <w:p w14:paraId="01324B9B">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1.07</w:t>
                  </w:r>
                </w:p>
              </w:tc>
              <w:tc>
                <w:tcPr>
                  <w:tcW w:w="460" w:type="pct"/>
                  <w:tcBorders>
                    <w:tl2br w:val="nil"/>
                    <w:tr2bl w:val="nil"/>
                  </w:tcBorders>
                  <w:vAlign w:val="center"/>
                </w:tcPr>
                <w:p w14:paraId="21398BCE">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cs="Times New Roman"/>
                      <w:color w:val="000000" w:themeColor="text1"/>
                      <w:sz w:val="15"/>
                      <w:szCs w:val="15"/>
                      <w:lang w:val="en-US" w:eastAsia="zh-CN"/>
                      <w14:textFill>
                        <w14:solidFill>
                          <w14:schemeClr w14:val="tx1"/>
                        </w14:solidFill>
                      </w14:textFill>
                    </w:rPr>
                    <w:t>0.642</w:t>
                  </w:r>
                </w:p>
              </w:tc>
              <w:tc>
                <w:tcPr>
                  <w:tcW w:w="460" w:type="pct"/>
                  <w:tcBorders>
                    <w:tl2br w:val="nil"/>
                    <w:tr2bl w:val="nil"/>
                  </w:tcBorders>
                  <w:vAlign w:val="center"/>
                </w:tcPr>
                <w:p w14:paraId="27D8BA40">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56.01</w:t>
                  </w:r>
                </w:p>
              </w:tc>
              <w:tc>
                <w:tcPr>
                  <w:tcW w:w="460" w:type="pct"/>
                  <w:tcBorders>
                    <w:tl2br w:val="nil"/>
                    <w:tr2bl w:val="nil"/>
                  </w:tcBorders>
                  <w:vAlign w:val="center"/>
                </w:tcPr>
                <w:p w14:paraId="4DA1B935">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98</w:t>
                  </w:r>
                </w:p>
              </w:tc>
              <w:tc>
                <w:tcPr>
                  <w:tcW w:w="460" w:type="pct"/>
                  <w:tcBorders>
                    <w:tl2br w:val="nil"/>
                    <w:tr2bl w:val="nil"/>
                  </w:tcBorders>
                  <w:vAlign w:val="center"/>
                </w:tcPr>
                <w:p w14:paraId="2E6907E4">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1.169</w:t>
                  </w:r>
                </w:p>
              </w:tc>
              <w:tc>
                <w:tcPr>
                  <w:tcW w:w="460" w:type="pct"/>
                  <w:tcBorders>
                    <w:tl2br w:val="nil"/>
                    <w:tr2bl w:val="nil"/>
                  </w:tcBorders>
                  <w:vAlign w:val="center"/>
                </w:tcPr>
                <w:p w14:paraId="7C71FD84">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1.200</w:t>
                  </w:r>
                </w:p>
              </w:tc>
              <w:tc>
                <w:tcPr>
                  <w:tcW w:w="463" w:type="pct"/>
                  <w:tcBorders>
                    <w:tl2br w:val="nil"/>
                    <w:tr2bl w:val="nil"/>
                  </w:tcBorders>
                  <w:vAlign w:val="center"/>
                </w:tcPr>
                <w:p w14:paraId="08B317FC">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匹配</w:t>
                  </w:r>
                </w:p>
              </w:tc>
            </w:tr>
            <w:tr w14:paraId="2AC702B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8" w:hRule="atLeast"/>
                <w:jc w:val="center"/>
              </w:trPr>
              <w:tc>
                <w:tcPr>
                  <w:tcW w:w="464" w:type="pct"/>
                  <w:vMerge w:val="continue"/>
                  <w:tcBorders>
                    <w:tl2br w:val="nil"/>
                    <w:tr2bl w:val="nil"/>
                  </w:tcBorders>
                  <w:vAlign w:val="center"/>
                </w:tcPr>
                <w:p w14:paraId="40D4B15A">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p>
              </w:tc>
              <w:tc>
                <w:tcPr>
                  <w:tcW w:w="415" w:type="pct"/>
                  <w:tcBorders>
                    <w:right w:val="single" w:color="auto" w:sz="4" w:space="0"/>
                    <w:tl2br w:val="nil"/>
                    <w:tr2bl w:val="nil"/>
                  </w:tcBorders>
                  <w:vAlign w:val="center"/>
                </w:tcPr>
                <w:p w14:paraId="19903D6B">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合计</w:t>
                  </w:r>
                </w:p>
              </w:tc>
              <w:tc>
                <w:tcPr>
                  <w:tcW w:w="433" w:type="pct"/>
                  <w:tcBorders>
                    <w:left w:val="single" w:color="auto" w:sz="4" w:space="0"/>
                    <w:tl2br w:val="nil"/>
                    <w:tr2bl w:val="nil"/>
                  </w:tcBorders>
                  <w:vAlign w:val="center"/>
                </w:tcPr>
                <w:p w14:paraId="785A0649">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7A44AF96">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33FB5D20">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4D6BA274">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6C4BF549">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lang w:val="en-US" w:eastAsia="zh-CN"/>
                      <w14:textFill>
                        <w14:solidFill>
                          <w14:schemeClr w14:val="tx1"/>
                        </w14:solidFill>
                      </w14:textFill>
                    </w:rPr>
                    <w:t>/</w:t>
                  </w:r>
                </w:p>
              </w:tc>
              <w:tc>
                <w:tcPr>
                  <w:tcW w:w="460" w:type="pct"/>
                  <w:tcBorders>
                    <w:tl2br w:val="nil"/>
                    <w:tr2bl w:val="nil"/>
                  </w:tcBorders>
                  <w:vAlign w:val="center"/>
                </w:tcPr>
                <w:p w14:paraId="6A1D3930">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p>
              </w:tc>
              <w:tc>
                <w:tcPr>
                  <w:tcW w:w="460" w:type="pct"/>
                  <w:tcBorders>
                    <w:tl2br w:val="nil"/>
                    <w:tr2bl w:val="nil"/>
                  </w:tcBorders>
                  <w:vAlign w:val="center"/>
                </w:tcPr>
                <w:p w14:paraId="08C973FF">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2.151</w:t>
                  </w:r>
                </w:p>
              </w:tc>
              <w:tc>
                <w:tcPr>
                  <w:tcW w:w="460" w:type="pct"/>
                  <w:tcBorders>
                    <w:tl2br w:val="nil"/>
                    <w:tr2bl w:val="nil"/>
                  </w:tcBorders>
                  <w:vAlign w:val="center"/>
                </w:tcPr>
                <w:p w14:paraId="1DC6F5C8">
                  <w:pPr>
                    <w:widowControl/>
                    <w:adjustRightInd/>
                    <w:snapToGrid/>
                    <w:spacing w:line="240" w:lineRule="auto"/>
                    <w:ind w:firstLine="0" w:firstLineChars="0"/>
                    <w:jc w:val="center"/>
                    <w:rPr>
                      <w:rFonts w:hint="default" w:ascii="Times New Roman" w:hAnsi="Times New Roman" w:eastAsia="宋体" w:cs="Times New Roman"/>
                      <w:color w:val="000000" w:themeColor="text1"/>
                      <w:sz w:val="15"/>
                      <w:szCs w:val="15"/>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2.250</w:t>
                  </w:r>
                </w:p>
              </w:tc>
              <w:tc>
                <w:tcPr>
                  <w:tcW w:w="463" w:type="pct"/>
                  <w:tcBorders>
                    <w:tl2br w:val="nil"/>
                    <w:tr2bl w:val="nil"/>
                  </w:tcBorders>
                  <w:vAlign w:val="center"/>
                </w:tcPr>
                <w:p w14:paraId="6961CD9D">
                  <w:pPr>
                    <w:widowControl/>
                    <w:adjustRightInd/>
                    <w:snapToGrid/>
                    <w:spacing w:line="240" w:lineRule="auto"/>
                    <w:ind w:firstLine="0" w:firstLineChars="0"/>
                    <w:jc w:val="center"/>
                    <w:rPr>
                      <w:rFonts w:hint="default" w:ascii="Times New Roman" w:hAnsi="Times New Roman" w:eastAsia="Times New Roman" w:cs="Times New Roman"/>
                      <w:color w:val="000000" w:themeColor="text1"/>
                      <w:sz w:val="15"/>
                      <w:szCs w:val="15"/>
                      <w14:textFill>
                        <w14:solidFill>
                          <w14:schemeClr w14:val="tx1"/>
                        </w14:solidFill>
                      </w14:textFill>
                    </w:rPr>
                  </w:pPr>
                  <w:r>
                    <w:rPr>
                      <w:rFonts w:hint="eastAsia" w:ascii="Times New Roman" w:hAnsi="Times New Roman" w:eastAsia="宋体" w:cs="Times New Roman"/>
                      <w:color w:val="000000" w:themeColor="text1"/>
                      <w:sz w:val="15"/>
                      <w:szCs w:val="15"/>
                      <w:lang w:val="en-US" w:eastAsia="zh-CN"/>
                      <w14:textFill>
                        <w14:solidFill>
                          <w14:schemeClr w14:val="tx1"/>
                        </w14:solidFill>
                      </w14:textFill>
                    </w:rPr>
                    <w:t>匹配</w:t>
                  </w:r>
                </w:p>
              </w:tc>
            </w:tr>
          </w:tbl>
          <w:p w14:paraId="2538A4F9">
            <w:pPr>
              <w:keepNext w:val="0"/>
              <w:keepLines w:val="0"/>
              <w:pageBreakBefore w:val="0"/>
              <w:widowControl w:val="0"/>
              <w:kinsoku/>
              <w:wordWrap/>
              <w:overflowPunct/>
              <w:topLinePunct w:val="0"/>
              <w:autoSpaceDE/>
              <w:autoSpaceDN/>
              <w:bidi w:val="0"/>
              <w:adjustRightInd w:val="0"/>
              <w:snapToGrid w:val="0"/>
              <w:spacing w:before="157" w:beforeLines="50"/>
              <w:ind w:left="0" w:leftChars="0" w:firstLine="0" w:firstLineChars="0"/>
              <w:jc w:val="left"/>
              <w:textAlignment w:val="auto"/>
              <w:rPr>
                <w:b/>
                <w:bCs/>
                <w:color w:val="000000" w:themeColor="text1"/>
                <w:sz w:val="24"/>
                <w:szCs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8</w:t>
            </w:r>
            <w:r>
              <w:rPr>
                <w:rFonts w:hint="eastAsia"/>
                <w:b/>
                <w:bCs/>
                <w:color w:val="000000" w:themeColor="text1"/>
                <w:sz w:val="24"/>
                <w:szCs w:val="24"/>
                <w14:textFill>
                  <w14:solidFill>
                    <w14:schemeClr w14:val="tx1"/>
                  </w14:solidFill>
                </w14:textFill>
              </w:rPr>
              <w:t>、公用工程</w:t>
            </w:r>
          </w:p>
          <w:p w14:paraId="4E7989B9">
            <w:pPr>
              <w:pStyle w:val="29"/>
              <w:spacing w:after="0" w:line="360" w:lineRule="auto"/>
              <w:ind w:firstLine="480"/>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（1）供电</w:t>
            </w:r>
          </w:p>
          <w:p w14:paraId="091D9E01">
            <w:pPr>
              <w:pStyle w:val="29"/>
              <w:spacing w:after="0" w:line="360" w:lineRule="auto"/>
              <w:ind w:firstLine="48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项目用电由</w:t>
            </w:r>
            <w:r>
              <w:rPr>
                <w:rFonts w:hint="eastAsia"/>
                <w:color w:val="000000" w:themeColor="text1"/>
                <w:sz w:val="24"/>
                <w:szCs w:val="24"/>
                <w:lang w:val="en-US" w:eastAsia="zh-CN"/>
                <w14:textFill>
                  <w14:solidFill>
                    <w14:schemeClr w14:val="tx1"/>
                  </w14:solidFill>
                </w14:textFill>
              </w:rPr>
              <w:t>园区</w:t>
            </w:r>
            <w:r>
              <w:rPr>
                <w:color w:val="000000" w:themeColor="text1"/>
                <w:sz w:val="24"/>
                <w:szCs w:val="24"/>
                <w14:textFill>
                  <w14:solidFill>
                    <w14:schemeClr w14:val="tx1"/>
                  </w14:solidFill>
                </w14:textFill>
              </w:rPr>
              <w:t>市政电网供应。</w:t>
            </w:r>
          </w:p>
          <w:p w14:paraId="2BF3AE98">
            <w:pPr>
              <w:pStyle w:val="29"/>
              <w:spacing w:after="0" w:line="360" w:lineRule="auto"/>
              <w:ind w:firstLine="480"/>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（2）给</w:t>
            </w:r>
            <w:r>
              <w:rPr>
                <w:rFonts w:hint="eastAsia"/>
                <w:b/>
                <w:bCs/>
                <w:color w:val="000000" w:themeColor="text1"/>
                <w:sz w:val="24"/>
                <w:szCs w:val="24"/>
                <w:lang w:val="en-US" w:eastAsia="zh-CN"/>
                <w14:textFill>
                  <w14:solidFill>
                    <w14:schemeClr w14:val="tx1"/>
                  </w14:solidFill>
                </w14:textFill>
              </w:rPr>
              <w:t>排水</w:t>
            </w:r>
          </w:p>
          <w:p w14:paraId="50435305">
            <w:pPr>
              <w:pStyle w:val="29"/>
              <w:spacing w:after="0" w:line="360" w:lineRule="auto"/>
              <w:ind w:firstLine="480"/>
              <w:rPr>
                <w:rFonts w:hint="default" w:cs="Times New Roman"/>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项目用水由</w:t>
            </w:r>
            <w:r>
              <w:rPr>
                <w:rFonts w:hint="eastAsia"/>
                <w:color w:val="000000" w:themeColor="text1"/>
                <w:sz w:val="24"/>
                <w:szCs w:val="24"/>
                <w:lang w:val="en-US" w:eastAsia="zh-CN"/>
                <w14:textFill>
                  <w14:solidFill>
                    <w14:schemeClr w14:val="tx1"/>
                  </w14:solidFill>
                </w14:textFill>
              </w:rPr>
              <w:t>园区</w:t>
            </w:r>
            <w:r>
              <w:rPr>
                <w:rFonts w:hint="eastAsia"/>
                <w:color w:val="000000" w:themeColor="text1"/>
                <w:sz w:val="24"/>
                <w:szCs w:val="24"/>
                <w14:textFill>
                  <w14:solidFill>
                    <w14:schemeClr w14:val="tx1"/>
                  </w14:solidFill>
                </w14:textFill>
              </w:rPr>
              <w:t>市政管网供给，通过供水管网接入。</w:t>
            </w:r>
            <w:r>
              <w:rPr>
                <w:rFonts w:hint="eastAsia" w:ascii="Times New Roman" w:hAnsi="Times New Roman" w:cs="Times New Roman"/>
                <w:color w:val="000000" w:themeColor="text1"/>
                <w:sz w:val="24"/>
                <w:szCs w:val="24"/>
                <w:lang w:val="en-US" w:eastAsia="zh-CN"/>
                <w14:textFill>
                  <w14:solidFill>
                    <w14:schemeClr w14:val="tx1"/>
                  </w14:solidFill>
                </w14:textFill>
              </w:rPr>
              <w:t>项目无生产废水产生，</w:t>
            </w:r>
            <w:r>
              <w:rPr>
                <w:rFonts w:hint="default" w:ascii="Times New Roman" w:hAnsi="Times New Roman" w:cs="Times New Roman"/>
                <w:color w:val="000000" w:themeColor="text1"/>
                <w:sz w:val="24"/>
                <w:szCs w:val="24"/>
                <w14:textFill>
                  <w14:solidFill>
                    <w14:schemeClr w14:val="tx1"/>
                  </w14:solidFill>
                </w14:textFill>
              </w:rPr>
              <w:t>生活污水经化粪池处理后</w:t>
            </w:r>
            <w:r>
              <w:rPr>
                <w:rFonts w:hint="eastAsia" w:ascii="Times New Roman" w:hAnsi="Times New Roman" w:cs="Times New Roman"/>
                <w:color w:val="000000" w:themeColor="text1"/>
                <w:sz w:val="24"/>
                <w:szCs w:val="24"/>
                <w:lang w:val="en-US" w:eastAsia="zh-CN"/>
                <w14:textFill>
                  <w14:solidFill>
                    <w14:schemeClr w14:val="tx1"/>
                  </w14:solidFill>
                </w14:textFill>
              </w:rPr>
              <w:t>由园区</w:t>
            </w:r>
            <w:r>
              <w:rPr>
                <w:rFonts w:hint="default" w:ascii="Times New Roman" w:hAnsi="Times New Roman" w:cs="Times New Roman"/>
                <w:color w:val="000000" w:themeColor="text1"/>
                <w:sz w:val="24"/>
                <w:szCs w:val="24"/>
                <w14:textFill>
                  <w14:solidFill>
                    <w14:schemeClr w14:val="tx1"/>
                  </w14:solidFill>
                </w14:textFill>
              </w:rPr>
              <w:t>污水管网进入高安市</w:t>
            </w:r>
            <w:r>
              <w:rPr>
                <w:rFonts w:hint="eastAsia" w:ascii="Times New Roman" w:hAnsi="Times New Roman" w:cs="Times New Roman"/>
                <w:color w:val="000000" w:themeColor="text1"/>
                <w:sz w:val="24"/>
                <w:szCs w:val="24"/>
                <w:lang w:val="en-US" w:eastAsia="zh-CN"/>
                <w14:textFill>
                  <w14:solidFill>
                    <w14:schemeClr w14:val="tx1"/>
                  </w14:solidFill>
                </w14:textFill>
              </w:rPr>
              <w:t>工业园</w:t>
            </w:r>
            <w:r>
              <w:rPr>
                <w:rFonts w:hint="default" w:ascii="Times New Roman" w:hAnsi="Times New Roman" w:cs="Times New Roman"/>
                <w:color w:val="000000" w:themeColor="text1"/>
                <w:sz w:val="24"/>
                <w:szCs w:val="24"/>
                <w14:textFill>
                  <w14:solidFill>
                    <w14:schemeClr w14:val="tx1"/>
                  </w14:solidFill>
                </w14:textFill>
              </w:rPr>
              <w:t>污水处理厂处理</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尾水排入锦江</w:t>
            </w:r>
            <w:r>
              <w:rPr>
                <w:rFonts w:hint="eastAsia" w:cs="Times New Roman"/>
                <w:color w:val="000000" w:themeColor="text1"/>
                <w:sz w:val="24"/>
                <w:szCs w:val="24"/>
                <w:lang w:val="en-US" w:eastAsia="zh-CN"/>
                <w14:textFill>
                  <w14:solidFill>
                    <w14:schemeClr w14:val="tx1"/>
                  </w14:solidFill>
                </w14:textFill>
              </w:rPr>
              <w:t>。园区沿着内部道路敷设了污水管网和雨水管网（见附图十四、附图十五）。</w:t>
            </w:r>
          </w:p>
          <w:p w14:paraId="68803460">
            <w:pPr>
              <w:pStyle w:val="29"/>
              <w:spacing w:after="0" w:line="360" w:lineRule="auto"/>
              <w:ind w:left="0" w:leftChars="0" w:firstLine="0" w:firstLineChars="0"/>
              <w:rPr>
                <w:rFonts w:hint="default" w:cs="Times New Roman"/>
                <w:b/>
                <w:bCs/>
                <w:color w:val="000000" w:themeColor="text1"/>
                <w:sz w:val="24"/>
                <w:szCs w:val="24"/>
                <w:lang w:val="en-US" w:eastAsia="zh-CN"/>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9、水平衡</w:t>
            </w:r>
          </w:p>
          <w:p w14:paraId="494EF7FC">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生产用水：项目水性漆与水按2：1进行调配，年用水量为2.5m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/a；石膏与水按1：1进行混合，年用水量为1.5m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/a。项目生产用水量合计4.0m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/a。项目不涉及设备清洗用水、地面冲洗用水、脱模用水。</w:t>
            </w:r>
          </w:p>
          <w:p w14:paraId="726DBD91">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）生活用水：项目员工91人（均不</w:t>
            </w:r>
            <w:r>
              <w:rPr>
                <w:rFonts w:hint="eastAsia"/>
                <w:color w:val="000000" w:themeColor="text1"/>
                <w:lang w:val="en-US" w:eastAsia="zh-CN"/>
                <w14:textFill>
                  <w14:solidFill>
                    <w14:schemeClr w14:val="tx1"/>
                  </w14:solidFill>
                </w14:textFill>
              </w:rPr>
              <w:t>在厂内住宿</w:t>
            </w:r>
            <w:r>
              <w:rPr>
                <w:rFonts w:hint="eastAsia"/>
                <w:color w:val="000000" w:themeColor="text1"/>
                <w14:textFill>
                  <w14:solidFill>
                    <w14:schemeClr w14:val="tx1"/>
                  </w14:solidFill>
                </w14:textFill>
              </w:rPr>
              <w:t>），</w:t>
            </w:r>
            <w:r>
              <w:rPr>
                <w:rFonts w:hint="eastAsia" w:ascii="Times New Roman" w:hAnsi="Times New Roman" w:eastAsia="宋体" w:cs="宋体"/>
                <w:b w:val="0"/>
                <w:bCs w:val="0"/>
                <w:color w:val="000000" w:themeColor="text1"/>
                <w:kern w:val="0"/>
                <w:sz w:val="24"/>
                <w:szCs w:val="24"/>
                <w:highlight w:val="none"/>
                <w:lang w:val="zh-CN" w:eastAsia="zh-CN"/>
                <w14:textFill>
                  <w14:solidFill>
                    <w14:schemeClr w14:val="tx1"/>
                  </w14:solidFill>
                </w14:textFill>
              </w:rPr>
              <w:t>参照</w:t>
            </w:r>
            <w:r>
              <w:rPr>
                <w:rFonts w:hint="eastAsia"/>
                <w:color w:val="000000" w:themeColor="text1"/>
                <w:lang w:val="en-US" w:eastAsia="zh-CN"/>
                <w14:textFill>
                  <w14:solidFill>
                    <w14:schemeClr w14:val="tx1"/>
                  </w14:solidFill>
                </w14:textFill>
              </w:rPr>
              <w:t>《生活及服务业用水定额 第1部分：公共机构》(DB36/T1827.1-2023)表4</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中“</w:t>
            </w:r>
            <w:r>
              <w:rPr>
                <w:rFonts w:hint="eastAsia" w:cs="宋体"/>
                <w:b w:val="0"/>
                <w:bCs w:val="0"/>
                <w:color w:val="000000" w:themeColor="text1"/>
                <w:kern w:val="0"/>
                <w:sz w:val="24"/>
                <w:szCs w:val="24"/>
                <w:highlight w:val="none"/>
                <w:lang w:val="en-US" w:eastAsia="zh-CN"/>
                <w14:textFill>
                  <w14:solidFill>
                    <w14:schemeClr w14:val="tx1"/>
                  </w14:solidFill>
                </w14:textFill>
              </w:rPr>
              <w:t>党政机关</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用水定额</w:t>
            </w:r>
            <w:r>
              <w:rPr>
                <w:rFonts w:hint="eastAsia" w:cs="宋体"/>
                <w:b w:val="0"/>
                <w:bCs w:val="0"/>
                <w:color w:val="000000" w:themeColor="text1"/>
                <w:kern w:val="0"/>
                <w:sz w:val="24"/>
                <w:szCs w:val="24"/>
                <w:highlight w:val="none"/>
                <w:lang w:val="en-US" w:eastAsia="zh-CN"/>
                <w14:textFill>
                  <w14:solidFill>
                    <w14:schemeClr w14:val="tx1"/>
                  </w14:solidFill>
                </w14:textFill>
              </w:rPr>
              <w:t>（无食堂）</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1</w:t>
            </w:r>
            <w:r>
              <w:rPr>
                <w:rFonts w:hint="eastAsia" w:cs="宋体"/>
                <w:b w:val="0"/>
                <w:bCs w:val="0"/>
                <w:color w:val="000000" w:themeColor="text1"/>
                <w:kern w:val="0"/>
                <w:sz w:val="24"/>
                <w:szCs w:val="24"/>
                <w:highlight w:val="none"/>
                <w:lang w:val="en-US" w:eastAsia="zh-CN"/>
                <w14:textFill>
                  <w14:solidFill>
                    <w14:schemeClr w14:val="tx1"/>
                  </w14:solidFill>
                </w14:textFill>
              </w:rPr>
              <w:t>0</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0L/人</w:t>
            </w:r>
            <w:r>
              <w:rPr>
                <w:rFonts w:hint="eastAsia" w:ascii="Times New Roman" w:hAnsi="Times New Roman" w:eastAsia="宋体" w:cs="宋体"/>
                <w:color w:val="000000" w:themeColor="text1"/>
                <w:kern w:val="0"/>
                <w:sz w:val="24"/>
                <w:szCs w:val="24"/>
                <w:highlight w:val="none"/>
                <w:lang w:val="zh-CN" w:eastAsia="zh-CN" w:bidi="ar-SA"/>
                <w14:textFill>
                  <w14:solidFill>
                    <w14:schemeClr w14:val="tx1"/>
                  </w14:solidFill>
                </w14:textFill>
              </w:rPr>
              <w:t>·</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d”</w:t>
            </w:r>
            <w:r>
              <w:rPr>
                <w:rFonts w:hint="eastAsia" w:ascii="Times New Roman" w:hAnsi="Times New Roman" w:eastAsia="宋体" w:cs="宋体"/>
                <w:b w:val="0"/>
                <w:bCs w:val="0"/>
                <w:color w:val="000000" w:themeColor="text1"/>
                <w:kern w:val="0"/>
                <w:sz w:val="24"/>
                <w:szCs w:val="24"/>
                <w:highlight w:val="none"/>
                <w:lang w:val="zh-CN" w:eastAsia="zh-CN"/>
                <w14:textFill>
                  <w14:solidFill>
                    <w14:schemeClr w14:val="tx1"/>
                  </w14:solidFill>
                </w14:textFill>
              </w:rPr>
              <w:t>，</w:t>
            </w:r>
            <w:r>
              <w:rPr>
                <w:rFonts w:hint="eastAsia" w:cs="宋体"/>
                <w:b w:val="0"/>
                <w:bCs w:val="0"/>
                <w:color w:val="000000" w:themeColor="text1"/>
                <w:kern w:val="0"/>
                <w:sz w:val="24"/>
                <w:szCs w:val="24"/>
                <w:highlight w:val="none"/>
                <w:lang w:val="en-US" w:eastAsia="zh-CN"/>
                <w14:textFill>
                  <w14:solidFill>
                    <w14:schemeClr w14:val="tx1"/>
                  </w14:solidFill>
                </w14:textFill>
              </w:rPr>
              <w:t>本项目员工生活用水定额取</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0L/(人·d)，则生活用水量为</w:t>
            </w:r>
            <w:r>
              <w:rPr>
                <w:rFonts w:hint="eastAsia"/>
                <w:color w:val="000000" w:themeColor="text1"/>
                <w:lang w:val="en-US" w:eastAsia="zh-CN"/>
                <w14:textFill>
                  <w14:solidFill>
                    <w14:schemeClr w14:val="tx1"/>
                  </w14:solidFill>
                </w14:textFill>
              </w:rPr>
              <w:t>9.1</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w:t>
            </w:r>
            <w:r>
              <w:rPr>
                <w:rFonts w:hint="eastAsia"/>
                <w:color w:val="000000" w:themeColor="text1"/>
                <w:lang w:val="en-US" w:eastAsia="zh-CN"/>
                <w14:textFill>
                  <w14:solidFill>
                    <w14:schemeClr w14:val="tx1"/>
                  </w14:solidFill>
                </w14:textFill>
              </w:rPr>
              <w:t>2730</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/a）。生活污水</w:t>
            </w:r>
            <w:r>
              <w:rPr>
                <w:rFonts w:hint="eastAsia"/>
                <w:color w:val="000000" w:themeColor="text1"/>
                <w:lang w:val="en-US" w:eastAsia="zh-CN"/>
                <w14:textFill>
                  <w14:solidFill>
                    <w14:schemeClr w14:val="tx1"/>
                  </w14:solidFill>
                </w14:textFill>
              </w:rPr>
              <w:t>产生系数按</w:t>
            </w:r>
            <w:r>
              <w:rPr>
                <w:rFonts w:hint="eastAsia"/>
                <w:color w:val="000000" w:themeColor="text1"/>
                <w14:textFill>
                  <w14:solidFill>
                    <w14:schemeClr w14:val="tx1"/>
                  </w14:solidFill>
                </w14:textFill>
              </w:rPr>
              <w:t>80%计，则生活污水量为</w:t>
            </w:r>
            <w:r>
              <w:rPr>
                <w:rFonts w:hint="eastAsia"/>
                <w:color w:val="000000" w:themeColor="text1"/>
                <w:lang w:val="en-US" w:eastAsia="zh-CN"/>
                <w14:textFill>
                  <w14:solidFill>
                    <w14:schemeClr w14:val="tx1"/>
                  </w14:solidFill>
                </w14:textFill>
              </w:rPr>
              <w:t>7.28</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w:t>
            </w:r>
            <w:r>
              <w:rPr>
                <w:rFonts w:hint="eastAsia"/>
                <w:color w:val="000000" w:themeColor="text1"/>
                <w:lang w:val="en-US" w:eastAsia="zh-CN"/>
                <w14:textFill>
                  <w14:solidFill>
                    <w14:schemeClr w14:val="tx1"/>
                  </w14:solidFill>
                </w14:textFill>
              </w:rPr>
              <w:t>2184</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w:t>
            </w:r>
          </w:p>
          <w:p w14:paraId="159DC5A9">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51D9A446">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3E65176E">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1805109D">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3BC2E455">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629F27E8">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35DAC3EC">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16A27CE2">
            <w:pPr>
              <w:pStyle w:val="29"/>
              <w:keepNext w:val="0"/>
              <w:keepLines w:val="0"/>
              <w:pageBreakBefore w:val="0"/>
              <w:widowControl w:val="0"/>
              <w:kinsoku/>
              <w:wordWrap/>
              <w:overflowPunct/>
              <w:topLinePunct w:val="0"/>
              <w:autoSpaceDE/>
              <w:autoSpaceDN/>
              <w:bidi w:val="0"/>
              <w:adjustRightInd w:val="0"/>
              <w:snapToGrid w:val="0"/>
              <w:spacing w:after="0" w:line="360" w:lineRule="auto"/>
              <w:ind w:firstLine="480"/>
              <w:textAlignment w:val="auto"/>
              <w:rPr>
                <w:rFonts w:hint="eastAsia"/>
                <w:color w:val="000000" w:themeColor="text1"/>
                <w14:textFill>
                  <w14:solidFill>
                    <w14:schemeClr w14:val="tx1"/>
                  </w14:solidFill>
                </w14:textFill>
              </w:rPr>
            </w:pPr>
          </w:p>
          <w:p w14:paraId="391C36F9">
            <w:pPr>
              <w:spacing w:line="240" w:lineRule="auto"/>
              <w:ind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object>
                <v:shape id="_x0000_i1025" o:spt="75" type="#_x0000_t75" style="height:237.6pt;width:369.1pt;" o:ole="t" filled="f" o:preferrelative="t" stroked="f" coordsize="21600,21600">
                  <v:path/>
                  <v:fill on="f" focussize="0,0"/>
                  <v:stroke on="f"/>
                  <v:imagedata r:id="rId24" o:title=""/>
                  <o:lock v:ext="edit" aspectratio="f"/>
                  <w10:wrap type="none"/>
                  <w10:anchorlock/>
                </v:shape>
                <o:OLEObject Type="Embed" ProgID="Visio.Drawing.15" ShapeID="_x0000_i1025" DrawAspect="Content" ObjectID="_1468075725" r:id="rId23">
                  <o:LockedField>false</o:LockedField>
                </o:OLEObject>
              </w:object>
            </w:r>
          </w:p>
          <w:p w14:paraId="6FE2A6B4">
            <w:pPr>
              <w:pStyle w:val="58"/>
              <w:numPr>
                <w:ilvl w:val="4"/>
                <w:numId w:val="19"/>
              </w:numPr>
              <w:spacing w:before="120" w:beforeLines="50" w:after="120"/>
              <w:ind w:firstLine="422" w:firstLineChars="20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项目水平衡图（m</w:t>
            </w:r>
            <w:r>
              <w:rPr>
                <w:rFonts w:hint="eastAsia"/>
                <w:color w:val="000000" w:themeColor="text1"/>
                <w:vertAlign w:val="superscript"/>
                <w:lang w:eastAsia="zh-CN"/>
                <w14:textFill>
                  <w14:solidFill>
                    <w14:schemeClr w14:val="tx1"/>
                  </w14:solidFill>
                </w14:textFill>
              </w:rPr>
              <w:t>3</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d</w:t>
            </w:r>
            <w:r>
              <w:rPr>
                <w:rFonts w:hint="eastAsia"/>
                <w:color w:val="000000" w:themeColor="text1"/>
                <w:lang w:eastAsia="zh-CN"/>
                <w14:textFill>
                  <w14:solidFill>
                    <w14:schemeClr w14:val="tx1"/>
                  </w14:solidFill>
                </w14:textFill>
              </w:rPr>
              <w:t>）</w:t>
            </w:r>
          </w:p>
          <w:p w14:paraId="36015C4A">
            <w:pPr>
              <w:ind w:left="0" w:leftChars="0" w:firstLine="0" w:firstLineChars="0"/>
              <w:jc w:val="left"/>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10</w:t>
            </w:r>
            <w:r>
              <w:rPr>
                <w:rFonts w:hint="eastAsia"/>
                <w:b/>
                <w:bCs/>
                <w:color w:val="000000" w:themeColor="text1"/>
                <w14:textFill>
                  <w14:solidFill>
                    <w14:schemeClr w14:val="tx1"/>
                  </w14:solidFill>
                </w14:textFill>
              </w:rPr>
              <w:t>、项目总平面布置</w:t>
            </w:r>
          </w:p>
          <w:p w14:paraId="3D620042">
            <w:pPr>
              <w:snapToGrid/>
              <w:ind w:firstLine="48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项目</w:t>
            </w:r>
            <w:r>
              <w:rPr>
                <w:rFonts w:hint="eastAsia"/>
                <w:color w:val="000000" w:themeColor="text1"/>
                <w:lang w:val="en-US" w:eastAsia="zh-CN"/>
                <w14:textFill>
                  <w14:solidFill>
                    <w14:schemeClr w14:val="tx1"/>
                  </w14:solidFill>
                </w14:textFill>
              </w:rPr>
              <w:t>租赁江西高安高新技术产业园区新世纪产业园1栋4层标准厂房进行建设。</w:t>
            </w:r>
          </w:p>
          <w:p w14:paraId="1DE9CA0A">
            <w:pPr>
              <w:snapToGrid/>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项目将原料仓库和成品仓库布置1层，包装车间和组装车间布置在2层，彩绘车间和调漆室布置在3层，成型坯体车间和喷漆房布置在4层。</w:t>
            </w:r>
          </w:p>
          <w:p w14:paraId="293086B9">
            <w:pPr>
              <w:snapToGrid/>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项目总平面布置合理顺畅、车间功能分区明确。生产区布置比较紧凑、物料流程短；车间总体布置有利于生产操作和管理，出入口位于</w:t>
            </w:r>
            <w:r>
              <w:rPr>
                <w:rFonts w:hint="eastAsia"/>
                <w:color w:val="000000" w:themeColor="text1"/>
                <w:lang w:val="en-US" w:eastAsia="zh-CN"/>
                <w14:textFill>
                  <w14:solidFill>
                    <w14:schemeClr w14:val="tx1"/>
                  </w14:solidFill>
                </w14:textFill>
              </w:rPr>
              <w:t>标准厂房西侧</w:t>
            </w:r>
            <w:r>
              <w:rPr>
                <w:rFonts w:hint="eastAsia"/>
                <w:color w:val="000000" w:themeColor="text1"/>
                <w14:textFill>
                  <w14:solidFill>
                    <w14:schemeClr w14:val="tx1"/>
                  </w14:solidFill>
                </w14:textFill>
              </w:rPr>
              <w:t>，靠近道路，方便进出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主要生产设备等均位于生产车间内部，噪声源强较低，均采取基础减震和墙体隔声，可以有效降低噪声对外环境的影响。</w:t>
            </w:r>
          </w:p>
          <w:p w14:paraId="6D3E4AE3">
            <w:pPr>
              <w:snapToGrid/>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综上所述，项目车间平面布置考虑了建筑物布置紧凑性、节能等因素，功能分区</w:t>
            </w:r>
            <w:r>
              <w:rPr>
                <w:color w:val="000000" w:themeColor="text1"/>
                <w14:textFill>
                  <w14:solidFill>
                    <w14:schemeClr w14:val="tx1"/>
                  </w14:solidFill>
                </w14:textFill>
              </w:rPr>
              <w:t>明确，总图布置基本合理。</w:t>
            </w:r>
          </w:p>
          <w:p w14:paraId="65C9EFC0">
            <w:pPr>
              <w:snapToGrid/>
              <w:ind w:firstLine="480"/>
              <w:rPr>
                <w:color w:val="000000" w:themeColor="text1"/>
                <w14:textFill>
                  <w14:solidFill>
                    <w14:schemeClr w14:val="tx1"/>
                  </w14:solidFill>
                </w14:textFill>
              </w:rPr>
            </w:pPr>
          </w:p>
          <w:p w14:paraId="660C33AC">
            <w:pPr>
              <w:snapToGrid/>
              <w:ind w:left="0" w:leftChars="0" w:firstLine="0" w:firstLineChars="0"/>
              <w:rPr>
                <w:color w:val="000000" w:themeColor="text1"/>
                <w14:textFill>
                  <w14:solidFill>
                    <w14:schemeClr w14:val="tx1"/>
                  </w14:solidFill>
                </w14:textFill>
              </w:rPr>
            </w:pPr>
          </w:p>
          <w:p w14:paraId="1A0692F6">
            <w:pPr>
              <w:snapToGrid/>
              <w:ind w:left="0" w:leftChars="0" w:firstLine="0" w:firstLineChars="0"/>
              <w:rPr>
                <w:color w:val="000000" w:themeColor="text1"/>
                <w14:textFill>
                  <w14:solidFill>
                    <w14:schemeClr w14:val="tx1"/>
                  </w14:solidFill>
                </w14:textFill>
              </w:rPr>
            </w:pPr>
          </w:p>
          <w:p w14:paraId="1FCDBD2F">
            <w:pPr>
              <w:snapToGrid/>
              <w:ind w:left="0" w:leftChars="0" w:firstLine="0" w:firstLineChars="0"/>
              <w:rPr>
                <w:color w:val="000000" w:themeColor="text1"/>
                <w14:textFill>
                  <w14:solidFill>
                    <w14:schemeClr w14:val="tx1"/>
                  </w14:solidFill>
                </w14:textFill>
              </w:rPr>
            </w:pPr>
          </w:p>
          <w:p w14:paraId="2EC878F9">
            <w:pPr>
              <w:snapToGrid/>
              <w:ind w:left="0" w:leftChars="0" w:firstLine="0" w:firstLineChars="0"/>
              <w:rPr>
                <w:color w:val="000000" w:themeColor="text1"/>
                <w14:textFill>
                  <w14:solidFill>
                    <w14:schemeClr w14:val="tx1"/>
                  </w14:solidFill>
                </w14:textFill>
              </w:rPr>
            </w:pPr>
          </w:p>
          <w:p w14:paraId="5A6CE55F">
            <w:pPr>
              <w:snapToGrid/>
              <w:ind w:left="0" w:leftChars="0" w:firstLine="0" w:firstLineChars="0"/>
              <w:rPr>
                <w:color w:val="000000" w:themeColor="text1"/>
                <w14:textFill>
                  <w14:solidFill>
                    <w14:schemeClr w14:val="tx1"/>
                  </w14:solidFill>
                </w14:textFill>
              </w:rPr>
            </w:pPr>
          </w:p>
        </w:tc>
      </w:tr>
      <w:tr w14:paraId="4A30B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5" w:hRule="atLeast"/>
          <w:jc w:val="center"/>
        </w:trPr>
        <w:tc>
          <w:tcPr>
            <w:tcW w:w="727" w:type="dxa"/>
            <w:tcBorders>
              <w:tl2br w:val="nil"/>
              <w:tr2bl w:val="nil"/>
            </w:tcBorders>
            <w:vAlign w:val="center"/>
          </w:tcPr>
          <w:p w14:paraId="6BD07D26">
            <w:pPr>
              <w:spacing w:line="240" w:lineRule="auto"/>
              <w:ind w:firstLine="0" w:firstLineChars="0"/>
              <w:jc w:val="center"/>
              <w:rPr>
                <w:rFonts w:cs="宋体"/>
                <w:color w:val="000000" w:themeColor="text1"/>
                <w:szCs w:val="21"/>
                <w14:textFill>
                  <w14:solidFill>
                    <w14:schemeClr w14:val="tx1"/>
                  </w14:solidFill>
                </w14:textFill>
              </w:rPr>
            </w:pPr>
            <w:r>
              <w:rPr>
                <w:rFonts w:hint="eastAsia"/>
                <w:color w:val="000000" w:themeColor="text1"/>
                <w14:textFill>
                  <w14:solidFill>
                    <w14:schemeClr w14:val="tx1"/>
                  </w14:solidFill>
                </w14:textFill>
              </w:rPr>
              <w:t>工艺流程和产排污环节</w:t>
            </w:r>
          </w:p>
        </w:tc>
        <w:tc>
          <w:tcPr>
            <w:tcW w:w="8515" w:type="dxa"/>
            <w:tcBorders>
              <w:tl2br w:val="nil"/>
              <w:tr2bl w:val="nil"/>
            </w:tcBorders>
          </w:tcPr>
          <w:p w14:paraId="385E02F5">
            <w:pPr>
              <w:spacing w:before="120" w:beforeLines="50"/>
              <w:ind w:left="0" w:leftChars="0" w:firstLine="0" w:firstLineChars="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、施工期</w:t>
            </w:r>
          </w:p>
          <w:p w14:paraId="09A43711">
            <w:pPr>
              <w:ind w:firstLine="480"/>
              <w:rPr>
                <w:color w:val="000000" w:themeColor="text1"/>
                <w14:textFill>
                  <w14:solidFill>
                    <w14:schemeClr w14:val="tx1"/>
                  </w14:solidFill>
                </w14:textFill>
              </w:rPr>
            </w:pPr>
            <w:r>
              <w:rPr>
                <w:color w:val="000000" w:themeColor="text1"/>
                <w14:textFill>
                  <w14:solidFill>
                    <w14:schemeClr w14:val="tx1"/>
                  </w14:solidFill>
                </w14:textFill>
              </w:rPr>
              <w:t>本项目</w:t>
            </w:r>
            <w:r>
              <w:rPr>
                <w:rFonts w:hint="eastAsia"/>
                <w:color w:val="000000" w:themeColor="text1"/>
                <w14:textFill>
                  <w14:solidFill>
                    <w14:schemeClr w14:val="tx1"/>
                  </w14:solidFill>
                </w14:textFill>
              </w:rPr>
              <w:t>租赁</w:t>
            </w:r>
            <w:r>
              <w:rPr>
                <w:rFonts w:hint="eastAsia"/>
                <w:color w:val="000000" w:themeColor="text1"/>
                <w:lang w:val="en-US" w:eastAsia="zh-CN"/>
                <w14:textFill>
                  <w14:solidFill>
                    <w14:schemeClr w14:val="tx1"/>
                  </w14:solidFill>
                </w14:textFill>
              </w:rPr>
              <w:t>江西高安高新技术产业园区新世纪产业园1栋4层标准厂房</w:t>
            </w:r>
            <w:r>
              <w:rPr>
                <w:color w:val="000000" w:themeColor="text1"/>
                <w14:textFill>
                  <w14:solidFill>
                    <w14:schemeClr w14:val="tx1"/>
                  </w14:solidFill>
                </w14:textFill>
              </w:rPr>
              <w:t>，不涉及土建工程，施工期</w:t>
            </w:r>
            <w:r>
              <w:rPr>
                <w:rFonts w:hint="eastAsia"/>
                <w:color w:val="000000" w:themeColor="text1"/>
                <w:lang w:val="en-US" w:eastAsia="zh-CN"/>
                <w14:textFill>
                  <w14:solidFill>
                    <w14:schemeClr w14:val="tx1"/>
                  </w14:solidFill>
                </w14:textFill>
              </w:rPr>
              <w:t>主要进行设备的安装、调试等，对周边环境影响较小</w:t>
            </w:r>
            <w:r>
              <w:rPr>
                <w:rFonts w:hint="eastAsia"/>
                <w:color w:val="000000" w:themeColor="text1"/>
                <w14:textFill>
                  <w14:solidFill>
                    <w14:schemeClr w14:val="tx1"/>
                  </w14:solidFill>
                </w14:textFill>
              </w:rPr>
              <w:t>。</w:t>
            </w:r>
          </w:p>
          <w:p w14:paraId="7BE13447">
            <w:pPr>
              <w:numPr>
                <w:ilvl w:val="0"/>
                <w:numId w:val="0"/>
              </w:numPr>
              <w:spacing w:before="120" w:beforeLines="50"/>
              <w:rPr>
                <w:rFonts w:hint="eastAsia"/>
                <w:b/>
                <w:bCs/>
                <w:color w:val="000000" w:themeColor="text1"/>
                <w:lang w:val="zh-CN"/>
                <w14:textFill>
                  <w14:solidFill>
                    <w14:schemeClr w14:val="tx1"/>
                  </w14:solidFill>
                </w14:textFill>
              </w:rPr>
            </w:pPr>
            <w:r>
              <w:rPr>
                <w:rFonts w:hint="eastAsia"/>
                <w:b/>
                <w:bCs/>
                <w:color w:val="000000" w:themeColor="text1"/>
                <w:lang w:val="en-US" w:eastAsia="zh-CN"/>
                <w14:textFill>
                  <w14:solidFill>
                    <w14:schemeClr w14:val="tx1"/>
                  </w14:solidFill>
                </w14:textFill>
              </w:rPr>
              <w:t>2、</w:t>
            </w:r>
            <w:r>
              <w:rPr>
                <w:rFonts w:hint="eastAsia"/>
                <w:b/>
                <w:bCs/>
                <w:color w:val="000000" w:themeColor="text1"/>
                <w:lang w:val="zh-CN"/>
                <w14:textFill>
                  <w14:solidFill>
                    <w14:schemeClr w14:val="tx1"/>
                  </w14:solidFill>
                </w14:textFill>
              </w:rPr>
              <w:t>营运期</w:t>
            </w:r>
          </w:p>
          <w:p w14:paraId="3A8E3507">
            <w:pPr>
              <w:spacing w:line="336" w:lineRule="auto"/>
              <w:ind w:left="0" w:lef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object>
                <v:shape id="_x0000_i1026" o:spt="75" type="#_x0000_t75" style="height:510.05pt;width:328.45pt;" o:ole="t" filled="f" o:preferrelative="t" stroked="f" coordsize="21600,21600">
                  <v:path/>
                  <v:fill on="f" focussize="0,0"/>
                  <v:stroke on="f"/>
                  <v:imagedata r:id="rId26" o:title=""/>
                  <o:lock v:ext="edit" aspectratio="f"/>
                  <w10:wrap type="none"/>
                  <w10:anchorlock/>
                </v:shape>
                <o:OLEObject Type="Embed" ProgID="Visio.Drawing.15" ShapeID="_x0000_i1026" DrawAspect="Content" ObjectID="_1468075726" r:id="rId25">
                  <o:LockedField>false</o:LockedField>
                </o:OLEObject>
              </w:object>
            </w:r>
          </w:p>
          <w:p w14:paraId="7EB7C720">
            <w:pPr>
              <w:pStyle w:val="58"/>
              <w:numPr>
                <w:ilvl w:val="4"/>
                <w:numId w:val="19"/>
              </w:numPr>
              <w:spacing w:before="120" w:beforeLines="50" w:after="120"/>
              <w:ind w:firstLine="422" w:firstLineChars="200"/>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项目生产工艺流程及污染物产生环节</w:t>
            </w:r>
          </w:p>
        </w:tc>
      </w:tr>
    </w:tbl>
    <w:p w14:paraId="4AB7177F">
      <w:pPr>
        <w:ind w:firstLine="0" w:firstLineChars="0"/>
        <w:rPr>
          <w:color w:val="000000" w:themeColor="text1"/>
          <w14:textFill>
            <w14:solidFill>
              <w14:schemeClr w14:val="tx1"/>
            </w14:solidFill>
          </w14:textFill>
        </w:rPr>
        <w:sectPr>
          <w:pgSz w:w="11906" w:h="16838"/>
          <w:pgMar w:top="1797" w:right="1440" w:bottom="1797" w:left="1440" w:header="851" w:footer="1191" w:gutter="0"/>
          <w:pgBorders>
            <w:top w:val="none" w:sz="0" w:space="0"/>
            <w:left w:val="none" w:sz="0" w:space="0"/>
            <w:bottom w:val="none" w:sz="0" w:space="0"/>
            <w:right w:val="none" w:sz="0" w:space="0"/>
          </w:pgBorders>
          <w:cols w:space="0" w:num="1"/>
          <w:docGrid w:linePitch="312" w:charSpace="0"/>
        </w:sectPr>
      </w:pP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789"/>
      </w:tblGrid>
      <w:tr w14:paraId="752EE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7" w:hRule="atLeast"/>
          <w:jc w:val="center"/>
        </w:trPr>
        <w:tc>
          <w:tcPr>
            <w:tcW w:w="748" w:type="dxa"/>
            <w:tcBorders>
              <w:tl2br w:val="nil"/>
              <w:tr2bl w:val="nil"/>
            </w:tcBorders>
            <w:vAlign w:val="center"/>
          </w:tcPr>
          <w:p w14:paraId="30CC5F1B">
            <w:pPr>
              <w:pStyle w:val="31"/>
              <w:spacing w:before="0" w:beforeAutospacing="0" w:after="0" w:afterAutospacing="0" w:line="240" w:lineRule="auto"/>
              <w:ind w:firstLine="0" w:firstLineChars="0"/>
              <w:jc w:val="center"/>
              <w:rPr>
                <w:rFonts w:hint="eastAsia" w:cs="宋体"/>
                <w:bCs/>
                <w:color w:val="000000" w:themeColor="text1"/>
                <w:kern w:val="2"/>
                <w:szCs w:val="24"/>
                <w14:textFill>
                  <w14:solidFill>
                    <w14:schemeClr w14:val="tx1"/>
                  </w14:solidFill>
                </w14:textFill>
              </w:rPr>
            </w:pPr>
            <w:r>
              <w:rPr>
                <w:rFonts w:hint="eastAsia"/>
                <w:color w:val="000000" w:themeColor="text1"/>
                <w14:textFill>
                  <w14:solidFill>
                    <w14:schemeClr w14:val="tx1"/>
                  </w14:solidFill>
                </w14:textFill>
              </w:rPr>
              <w:t>工艺流程和产排污环节</w:t>
            </w:r>
          </w:p>
        </w:tc>
        <w:tc>
          <w:tcPr>
            <w:tcW w:w="8494" w:type="dxa"/>
            <w:tcBorders>
              <w:tl2br w:val="nil"/>
              <w:tr2bl w:val="nil"/>
            </w:tcBorders>
            <w:vAlign w:val="center"/>
          </w:tcPr>
          <w:p w14:paraId="2B696670">
            <w:pPr>
              <w:ind w:firstLine="482"/>
              <w:rPr>
                <w:b/>
                <w:bCs/>
                <w:color w:val="000000" w:themeColor="text1"/>
                <w:lang w:val="zh-CN"/>
                <w14:textFill>
                  <w14:solidFill>
                    <w14:schemeClr w14:val="tx1"/>
                  </w14:solidFill>
                </w14:textFill>
              </w:rPr>
            </w:pPr>
            <w:r>
              <w:rPr>
                <w:rFonts w:hint="eastAsia"/>
                <w:b/>
                <w:bCs/>
                <w:color w:val="000000" w:themeColor="text1"/>
                <w14:textFill>
                  <w14:solidFill>
                    <w14:schemeClr w14:val="tx1"/>
                  </w14:solidFill>
                </w14:textFill>
              </w:rPr>
              <w:t>生产工艺</w:t>
            </w:r>
            <w:r>
              <w:rPr>
                <w:rFonts w:hint="eastAsia"/>
                <w:b/>
                <w:bCs/>
                <w:color w:val="000000" w:themeColor="text1"/>
                <w:lang w:val="en-US" w:eastAsia="zh-CN"/>
                <w14:textFill>
                  <w14:solidFill>
                    <w14:schemeClr w14:val="tx1"/>
                  </w14:solidFill>
                </w14:textFill>
              </w:rPr>
              <w:t>说明</w:t>
            </w:r>
            <w:r>
              <w:rPr>
                <w:rFonts w:hint="eastAsia"/>
                <w:b/>
                <w:bCs/>
                <w:color w:val="000000" w:themeColor="text1"/>
                <w:lang w:val="zh-CN"/>
                <w14:textFill>
                  <w14:solidFill>
                    <w14:schemeClr w14:val="tx1"/>
                  </w14:solidFill>
                </w14:textFill>
              </w:rPr>
              <w:t>：</w:t>
            </w:r>
          </w:p>
          <w:p w14:paraId="7B9A53C4">
            <w:pPr>
              <w:ind w:firstLine="480"/>
              <w:rPr>
                <w:color w:val="000000" w:themeColor="text1"/>
                <w14:textFill>
                  <w14:solidFill>
                    <w14:schemeClr w14:val="tx1"/>
                  </w14:solidFill>
                </w14:textFill>
              </w:rPr>
            </w:pPr>
            <w:r>
              <w:rPr>
                <w:rFonts w:hint="eastAsia"/>
                <w:b/>
                <w:bCs/>
                <w:color w:val="000000" w:themeColor="text1"/>
                <w14:textFill>
                  <w14:solidFill>
                    <w14:schemeClr w14:val="tx1"/>
                  </w14:solidFill>
                </w14:textFill>
              </w:rPr>
              <w:t>（1）制模</w:t>
            </w:r>
            <w:r>
              <w:rPr>
                <w:rFonts w:hint="eastAsia"/>
                <w:b/>
                <w:bCs/>
                <w:color w:val="000000" w:themeColor="text1"/>
                <w:lang w:eastAsia="zh-CN"/>
                <w14:textFill>
                  <w14:solidFill>
                    <w14:schemeClr w14:val="tx1"/>
                  </w14:solidFill>
                </w14:textFill>
              </w:rPr>
              <w:t>、</w:t>
            </w:r>
            <w:r>
              <w:rPr>
                <w:rFonts w:hint="eastAsia"/>
                <w:b/>
                <w:bCs/>
                <w:color w:val="000000" w:themeColor="text1"/>
                <w14:textFill>
                  <w14:solidFill>
                    <w14:schemeClr w14:val="tx1"/>
                  </w14:solidFill>
                </w14:textFill>
              </w:rPr>
              <w:t>开模：</w:t>
            </w:r>
            <w:r>
              <w:rPr>
                <w:rFonts w:hint="eastAsia"/>
                <w:color w:val="000000" w:themeColor="text1"/>
                <w14:textFill>
                  <w14:solidFill>
                    <w14:schemeClr w14:val="tx1"/>
                  </w14:solidFill>
                </w14:textFill>
              </w:rPr>
              <w:t>将硅胶分次均匀地涂于模种上面，待硅胶固化后</w:t>
            </w:r>
            <w:r>
              <w:rPr>
                <w:rFonts w:hint="eastAsia"/>
                <w:color w:val="000000" w:themeColor="text1"/>
                <w:lang w:val="en-US" w:eastAsia="zh-CN"/>
                <w14:textFill>
                  <w14:solidFill>
                    <w14:schemeClr w14:val="tx1"/>
                  </w14:solidFill>
                </w14:textFill>
              </w:rPr>
              <w:t>得到硅胶模具；</w:t>
            </w:r>
            <w:r>
              <w:rPr>
                <w:rFonts w:hint="eastAsia"/>
                <w:color w:val="000000" w:themeColor="text1"/>
                <w14:textFill>
                  <w14:solidFill>
                    <w14:schemeClr w14:val="tx1"/>
                  </w14:solidFill>
                </w14:textFill>
              </w:rPr>
              <w:t>画上分模线，再将石膏与水按1</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搅拌均匀，按分模线分两次均匀地涂于硅胶</w:t>
            </w:r>
            <w:r>
              <w:rPr>
                <w:rFonts w:hint="eastAsia"/>
                <w:color w:val="000000" w:themeColor="text1"/>
                <w:lang w:val="en-US" w:eastAsia="zh-CN"/>
                <w14:textFill>
                  <w14:solidFill>
                    <w14:schemeClr w14:val="tx1"/>
                  </w14:solidFill>
                </w14:textFill>
              </w:rPr>
              <w:t>模具</w:t>
            </w:r>
            <w:r>
              <w:rPr>
                <w:rFonts w:hint="eastAsia"/>
                <w:color w:val="000000" w:themeColor="text1"/>
                <w14:textFill>
                  <w14:solidFill>
                    <w14:schemeClr w14:val="tx1"/>
                  </w14:solidFill>
                </w14:textFill>
              </w:rPr>
              <w:t>表面，待石膏固化后拆开石膏外模，得到</w:t>
            </w:r>
            <w:r>
              <w:rPr>
                <w:rFonts w:hint="eastAsia"/>
                <w:color w:val="000000" w:themeColor="text1"/>
                <w:lang w:val="en-US" w:eastAsia="zh-CN"/>
                <w14:textFill>
                  <w14:solidFill>
                    <w14:schemeClr w14:val="tx1"/>
                  </w14:solidFill>
                </w14:textFill>
              </w:rPr>
              <w:t>石膏</w:t>
            </w:r>
            <w:r>
              <w:rPr>
                <w:rFonts w:hint="eastAsia"/>
                <w:color w:val="000000" w:themeColor="text1"/>
                <w14:textFill>
                  <w14:solidFill>
                    <w14:schemeClr w14:val="tx1"/>
                  </w14:solidFill>
                </w14:textFill>
              </w:rPr>
              <w:t>模具</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石膏为粉状材料，投料方式为人工投料，投料过程会产生石膏投料粉尘G1（主要污染物为颗粒物），以及原料拆包过程中</w:t>
            </w:r>
            <w:r>
              <w:rPr>
                <w:rFonts w:hint="eastAsia"/>
                <w:color w:val="000000" w:themeColor="text1"/>
                <w14:textFill>
                  <w14:solidFill>
                    <w14:schemeClr w14:val="tx1"/>
                  </w14:solidFill>
                </w14:textFill>
              </w:rPr>
              <w:t>会产生废包装</w:t>
            </w:r>
            <w:r>
              <w:rPr>
                <w:rFonts w:hint="eastAsia"/>
                <w:color w:val="000000" w:themeColor="text1"/>
                <w:lang w:val="en-US" w:eastAsia="zh-CN"/>
                <w14:textFill>
                  <w14:solidFill>
                    <w14:schemeClr w14:val="tx1"/>
                  </w14:solidFill>
                </w14:textFill>
              </w:rPr>
              <w:t>袋S1</w:t>
            </w:r>
            <w:r>
              <w:rPr>
                <w:rFonts w:hint="eastAsia"/>
                <w:color w:val="000000" w:themeColor="text1"/>
                <w14:textFill>
                  <w14:solidFill>
                    <w14:schemeClr w14:val="tx1"/>
                  </w14:solidFill>
                </w14:textFill>
              </w:rPr>
              <w:t>。</w:t>
            </w:r>
          </w:p>
          <w:p w14:paraId="6A8C89ED">
            <w:pPr>
              <w:ind w:firstLine="480"/>
              <w:rPr>
                <w:color w:val="000000" w:themeColor="text1"/>
                <w:highlight w:val="none"/>
                <w14:textFill>
                  <w14:solidFill>
                    <w14:schemeClr w14:val="tx1"/>
                  </w14:solidFill>
                </w14:textFill>
              </w:rPr>
            </w:pPr>
            <w:r>
              <w:rPr>
                <w:rFonts w:hint="eastAsia"/>
                <w:b/>
                <w:bCs/>
                <w:color w:val="000000" w:themeColor="text1"/>
                <w14:textFill>
                  <w14:solidFill>
                    <w14:schemeClr w14:val="tx1"/>
                  </w14:solidFill>
                </w14:textFill>
              </w:rPr>
              <w:t>（2）搅浆</w:t>
            </w:r>
            <w:r>
              <w:rPr>
                <w:rFonts w:hint="eastAsia"/>
                <w:b/>
                <w:bCs/>
                <w:color w:val="000000" w:themeColor="text1"/>
                <w:highlight w:val="none"/>
                <w14:textFill>
                  <w14:solidFill>
                    <w14:schemeClr w14:val="tx1"/>
                  </w14:solidFill>
                </w14:textFill>
              </w:rPr>
              <w:t>：</w:t>
            </w:r>
            <w:r>
              <w:rPr>
                <w:rFonts w:hint="eastAsia"/>
                <w:color w:val="000000" w:themeColor="text1"/>
                <w:highlight w:val="none"/>
                <w14:textFill>
                  <w14:solidFill>
                    <w14:schemeClr w14:val="tx1"/>
                  </w14:solidFill>
                </w14:textFill>
              </w:rPr>
              <w:t>将</w:t>
            </w:r>
            <w:r>
              <w:rPr>
                <w:rFonts w:hint="eastAsia"/>
                <w:color w:val="000000" w:themeColor="text1"/>
                <w:highlight w:val="none"/>
                <w:lang w:val="en-US" w:eastAsia="zh-CN"/>
                <w14:textFill>
                  <w14:solidFill>
                    <w14:schemeClr w14:val="tx1"/>
                  </w14:solidFill>
                </w14:textFill>
              </w:rPr>
              <w:t>不饱和聚酯</w:t>
            </w:r>
            <w:r>
              <w:rPr>
                <w:rFonts w:hint="eastAsia"/>
                <w:color w:val="000000" w:themeColor="text1"/>
                <w:highlight w:val="none"/>
                <w14:textFill>
                  <w14:solidFill>
                    <w14:schemeClr w14:val="tx1"/>
                  </w14:solidFill>
                </w14:textFill>
              </w:rPr>
              <w:t>树脂</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淡黄色透明油状液体</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和石粉按</w:t>
            </w:r>
            <w:r>
              <w:rPr>
                <w:rFonts w:hint="eastAsia"/>
                <w:color w:val="000000" w:themeColor="text1"/>
                <w:highlight w:val="none"/>
                <w:lang w:val="en-US" w:eastAsia="zh-CN"/>
                <w14:textFill>
                  <w14:solidFill>
                    <w14:schemeClr w14:val="tx1"/>
                  </w14:solidFill>
                </w14:textFill>
              </w:rPr>
              <w:t>1.25：1</w:t>
            </w:r>
            <w:r>
              <w:rPr>
                <w:rFonts w:hint="eastAsia"/>
                <w:color w:val="000000" w:themeColor="text1"/>
                <w:highlight w:val="none"/>
                <w14:textFill>
                  <w14:solidFill>
                    <w14:schemeClr w14:val="tx1"/>
                  </w14:solidFill>
                </w14:textFill>
              </w:rPr>
              <w:t>比例调配后，在搅浆机内常温下搅拌</w:t>
            </w:r>
            <w:r>
              <w:rPr>
                <w:rFonts w:hint="eastAsia"/>
                <w:color w:val="000000" w:themeColor="text1"/>
                <w:highlight w:val="none"/>
                <w:lang w:val="en-US" w:eastAsia="zh-CN"/>
                <w14:textFill>
                  <w14:solidFill>
                    <w14:schemeClr w14:val="tx1"/>
                  </w14:solidFill>
                </w14:textFill>
              </w:rPr>
              <w:t>1h左右</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石粉为粉状材料，投料方式为人工投料，投料过程会产生石粉投料粉尘G2（主要污染物为颗粒物）。搅桨过程会产生搅桨废气G3，主要污染物为苯乙烯、TVOC、臭气浓度（异味）。搅桨工序还会产生废包装袋S2</w:t>
            </w:r>
            <w:r>
              <w:rPr>
                <w:rFonts w:hint="eastAsia"/>
                <w:color w:val="000000" w:themeColor="text1"/>
                <w:highlight w:val="none"/>
                <w14:textFill>
                  <w14:solidFill>
                    <w14:schemeClr w14:val="tx1"/>
                  </w14:solidFill>
                </w14:textFill>
              </w:rPr>
              <w:t>和</w:t>
            </w:r>
            <w:r>
              <w:rPr>
                <w:rFonts w:hint="eastAsia"/>
                <w:color w:val="000000" w:themeColor="text1"/>
                <w:highlight w:val="none"/>
                <w:lang w:val="en-US" w:eastAsia="zh-CN"/>
                <w14:textFill>
                  <w14:solidFill>
                    <w14:schemeClr w14:val="tx1"/>
                  </w14:solidFill>
                </w14:textFill>
              </w:rPr>
              <w:t>设备</w:t>
            </w:r>
            <w:r>
              <w:rPr>
                <w:rFonts w:hint="eastAsia"/>
                <w:color w:val="000000" w:themeColor="text1"/>
                <w:highlight w:val="none"/>
                <w14:textFill>
                  <w14:solidFill>
                    <w14:schemeClr w14:val="tx1"/>
                  </w14:solidFill>
                </w14:textFill>
              </w:rPr>
              <w:t>噪声</w:t>
            </w:r>
            <w:r>
              <w:rPr>
                <w:rFonts w:hint="eastAsia"/>
                <w:color w:val="000000" w:themeColor="text1"/>
                <w:highlight w:val="none"/>
                <w:lang w:val="en-US" w:eastAsia="zh-CN"/>
                <w14:textFill>
                  <w14:solidFill>
                    <w14:schemeClr w14:val="tx1"/>
                  </w14:solidFill>
                </w14:textFill>
              </w:rPr>
              <w:t>N1</w:t>
            </w:r>
            <w:r>
              <w:rPr>
                <w:rFonts w:hint="eastAsia"/>
                <w:color w:val="000000" w:themeColor="text1"/>
                <w:highlight w:val="none"/>
                <w14:textFill>
                  <w14:solidFill>
                    <w14:schemeClr w14:val="tx1"/>
                  </w14:solidFill>
                </w14:textFill>
              </w:rPr>
              <w:t>。</w:t>
            </w:r>
          </w:p>
          <w:p w14:paraId="4997EA4E">
            <w:pPr>
              <w:keepNext w:val="0"/>
              <w:keepLines w:val="0"/>
              <w:widowControl/>
              <w:suppressLineNumbers w:val="0"/>
              <w:jc w:val="left"/>
              <w:rPr>
                <w:color w:val="000000" w:themeColor="text1"/>
                <w14:textFill>
                  <w14:solidFill>
                    <w14:schemeClr w14:val="tx1"/>
                  </w14:solidFill>
                </w14:textFill>
              </w:rPr>
            </w:pPr>
            <w:r>
              <w:rPr>
                <w:rFonts w:hint="eastAsia"/>
                <w:b/>
                <w:bCs/>
                <w:color w:val="000000" w:themeColor="text1"/>
                <w14:textFill>
                  <w14:solidFill>
                    <w14:schemeClr w14:val="tx1"/>
                  </w14:solidFill>
                </w14:textFill>
              </w:rPr>
              <w:t>（3）注浆、成型</w:t>
            </w: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脱模</w:t>
            </w:r>
            <w:r>
              <w:rPr>
                <w:rFonts w:hint="eastAsia"/>
                <w:b/>
                <w:bCs/>
                <w:color w:val="000000" w:themeColor="text1"/>
                <w14:textFill>
                  <w14:solidFill>
                    <w14:schemeClr w14:val="tx1"/>
                  </w14:solidFill>
                </w14:textFill>
              </w:rPr>
              <w:t>：</w:t>
            </w:r>
            <w:r>
              <w:rPr>
                <w:rFonts w:hint="eastAsia"/>
                <w:color w:val="000000" w:themeColor="text1"/>
                <w14:textFill>
                  <w14:solidFill>
                    <w14:schemeClr w14:val="tx1"/>
                  </w14:solidFill>
                </w14:textFill>
              </w:rPr>
              <w:t>取一定量的调配好的浆料缓慢注入模具中（浇注前向调配好的浆料加入适量的固化剂和促进剂），利用真空泵抽真空，使浆料与模具紧密贴合，等待</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5分钟树脂固化后，无需脱模剂，直接人工剥离模具，得到固化后的树脂工艺品粗坯</w:t>
            </w:r>
            <w:r>
              <w:rPr>
                <w:rFonts w:hint="eastAsia"/>
                <w:color w:val="000000" w:themeColor="text1"/>
                <w:lang w:eastAsia="zh-CN"/>
                <w14:textFill>
                  <w14:solidFill>
                    <w14:schemeClr w14:val="tx1"/>
                  </w14:solidFill>
                </w14:textFill>
              </w:rPr>
              <w:t>。</w:t>
            </w:r>
          </w:p>
          <w:p w14:paraId="2C942F87">
            <w:pPr>
              <w:ind w:firstLine="48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成型过程会产生注浆、成型废气G4，主要污染物为苯乙烯、TVOC、臭气浓度（异味）。该工序会产生废包装桶S3、废硅胶模具S4、废石膏模具S5和设备噪声N2</w:t>
            </w:r>
            <w:r>
              <w:rPr>
                <w:rFonts w:hint="eastAsia"/>
                <w:color w:val="000000" w:themeColor="text1"/>
                <w14:textFill>
                  <w14:solidFill>
                    <w14:schemeClr w14:val="tx1"/>
                  </w14:solidFill>
                </w14:textFill>
              </w:rPr>
              <w:t>。</w:t>
            </w:r>
          </w:p>
          <w:p w14:paraId="4BF00D22">
            <w:pPr>
              <w:ind w:firstLine="480"/>
              <w:rPr>
                <w:color w:val="000000" w:themeColor="text1"/>
                <w14:textFill>
                  <w14:solidFill>
                    <w14:schemeClr w14:val="tx1"/>
                  </w14:solidFill>
                </w14:textFill>
              </w:rPr>
            </w:pPr>
            <w:r>
              <w:rPr>
                <w:rFonts w:hint="eastAsia"/>
                <w:b/>
                <w:bCs/>
                <w:color w:val="000000" w:themeColor="text1"/>
                <w14:textFill>
                  <w14:solidFill>
                    <w14:schemeClr w14:val="tx1"/>
                  </w14:solidFill>
                </w14:textFill>
              </w:rPr>
              <w:t>（4）打磨、修边：</w:t>
            </w:r>
            <w:r>
              <w:rPr>
                <w:rFonts w:hint="eastAsia"/>
                <w:color w:val="000000" w:themeColor="text1"/>
                <w14:textFill>
                  <w14:solidFill>
                    <w14:schemeClr w14:val="tx1"/>
                  </w14:solidFill>
                </w14:textFill>
              </w:rPr>
              <w:t>利用</w:t>
            </w:r>
            <w:r>
              <w:rPr>
                <w:rFonts w:hint="eastAsia"/>
                <w:color w:val="000000" w:themeColor="text1"/>
                <w:lang w:val="en-US" w:eastAsia="zh-CN"/>
                <w14:textFill>
                  <w14:solidFill>
                    <w14:schemeClr w14:val="tx1"/>
                  </w14:solidFill>
                </w14:textFill>
              </w:rPr>
              <w:t>打磨机、</w:t>
            </w:r>
            <w:r>
              <w:rPr>
                <w:rFonts w:hint="eastAsia"/>
                <w:color w:val="000000" w:themeColor="text1"/>
                <w14:textFill>
                  <w14:solidFill>
                    <w14:schemeClr w14:val="tx1"/>
                  </w14:solidFill>
                </w14:textFill>
              </w:rPr>
              <w:t>磨底机、修边刀等设备对粗坯表面进行磨底及修边</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此工序会产生</w:t>
            </w:r>
            <w:r>
              <w:rPr>
                <w:rFonts w:hint="eastAsia"/>
                <w:color w:val="000000" w:themeColor="text1"/>
                <w:lang w:val="en-US" w:eastAsia="zh-CN"/>
                <w14:textFill>
                  <w14:solidFill>
                    <w14:schemeClr w14:val="tx1"/>
                  </w14:solidFill>
                </w14:textFill>
              </w:rPr>
              <w:t>打磨粉尘G5（主要污染物为颗粒物）</w:t>
            </w:r>
            <w:r>
              <w:rPr>
                <w:rFonts w:hint="eastAsia"/>
                <w:color w:val="000000" w:themeColor="text1"/>
                <w14:textFill>
                  <w14:solidFill>
                    <w14:schemeClr w14:val="tx1"/>
                  </w14:solidFill>
                </w14:textFill>
              </w:rPr>
              <w:t>、边角料</w:t>
            </w:r>
            <w:r>
              <w:rPr>
                <w:rFonts w:hint="eastAsia"/>
                <w:color w:val="000000" w:themeColor="text1"/>
                <w:lang w:val="en-US" w:eastAsia="zh-CN"/>
                <w14:textFill>
                  <w14:solidFill>
                    <w14:schemeClr w14:val="tx1"/>
                  </w14:solidFill>
                </w14:textFill>
              </w:rPr>
              <w:t>S6</w:t>
            </w:r>
            <w:r>
              <w:rPr>
                <w:rFonts w:hint="eastAsia"/>
                <w:color w:val="000000" w:themeColor="text1"/>
                <w14:textFill>
                  <w14:solidFill>
                    <w14:schemeClr w14:val="tx1"/>
                  </w14:solidFill>
                </w14:textFill>
              </w:rPr>
              <w:t>和噪声</w:t>
            </w:r>
            <w:r>
              <w:rPr>
                <w:rFonts w:hint="eastAsia"/>
                <w:color w:val="000000" w:themeColor="text1"/>
                <w:lang w:val="en-US" w:eastAsia="zh-CN"/>
                <w14:textFill>
                  <w14:solidFill>
                    <w14:schemeClr w14:val="tx1"/>
                  </w14:solidFill>
                </w14:textFill>
              </w:rPr>
              <w:t>N3</w:t>
            </w:r>
            <w:r>
              <w:rPr>
                <w:rFonts w:hint="eastAsia"/>
                <w:color w:val="000000" w:themeColor="text1"/>
                <w14:textFill>
                  <w14:solidFill>
                    <w14:schemeClr w14:val="tx1"/>
                  </w14:solidFill>
                </w14:textFill>
              </w:rPr>
              <w:t>。</w:t>
            </w:r>
          </w:p>
          <w:p w14:paraId="5334A8F1">
            <w:pPr>
              <w:ind w:firstLine="480"/>
              <w:rPr>
                <w:color w:val="000000" w:themeColor="text1"/>
                <w14:textFill>
                  <w14:solidFill>
                    <w14:schemeClr w14:val="tx1"/>
                  </w14:solidFill>
                </w14:textFill>
              </w:rPr>
            </w:pPr>
            <w:r>
              <w:rPr>
                <w:rFonts w:hint="eastAsia"/>
                <w:b/>
                <w:bCs/>
                <w:color w:val="000000" w:themeColor="text1"/>
                <w14:textFill>
                  <w14:solidFill>
                    <w14:schemeClr w14:val="tx1"/>
                  </w14:solidFill>
                </w14:textFill>
              </w:rPr>
              <w:t>（5）调漆：</w:t>
            </w:r>
            <w:r>
              <w:rPr>
                <w:rFonts w:hint="eastAsia"/>
                <w:color w:val="000000" w:themeColor="text1"/>
                <w14:textFill>
                  <w14:solidFill>
                    <w14:schemeClr w14:val="tx1"/>
                  </w14:solidFill>
                </w14:textFill>
              </w:rPr>
              <w:t>将油性漆和稀释剂</w:t>
            </w:r>
            <w:r>
              <w:rPr>
                <w:rFonts w:hint="eastAsia"/>
                <w:color w:val="000000" w:themeColor="text1"/>
                <w:lang w:val="en-US" w:eastAsia="zh-CN"/>
                <w14:textFill>
                  <w14:solidFill>
                    <w14:schemeClr w14:val="tx1"/>
                  </w14:solidFill>
                </w14:textFill>
              </w:rPr>
              <w:t>按2：1比例，水性漆和水</w:t>
            </w:r>
            <w:r>
              <w:rPr>
                <w:rFonts w:hint="eastAsia"/>
                <w:color w:val="000000" w:themeColor="text1"/>
                <w14:textFill>
                  <w14:solidFill>
                    <w14:schemeClr w14:val="tx1"/>
                  </w14:solidFill>
                </w14:textFill>
              </w:rPr>
              <w:t>按2</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的比例在调漆房进行调配</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调好的水性漆和油性漆用于喷漆和彩绘工序</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此工序会产生</w:t>
            </w:r>
            <w:r>
              <w:rPr>
                <w:rFonts w:hint="eastAsia"/>
                <w:color w:val="000000" w:themeColor="text1"/>
                <w:lang w:val="en-US" w:eastAsia="zh-CN"/>
                <w14:textFill>
                  <w14:solidFill>
                    <w14:schemeClr w14:val="tx1"/>
                  </w14:solidFill>
                </w14:textFill>
              </w:rPr>
              <w:t>调漆废气G6（主要污染物包括二甲苯、TVOC、臭气浓度等）以及废包装桶S7</w:t>
            </w:r>
            <w:r>
              <w:rPr>
                <w:rFonts w:hint="eastAsia"/>
                <w:color w:val="000000" w:themeColor="text1"/>
                <w14:textFill>
                  <w14:solidFill>
                    <w14:schemeClr w14:val="tx1"/>
                  </w14:solidFill>
                </w14:textFill>
              </w:rPr>
              <w:t>。</w:t>
            </w:r>
          </w:p>
          <w:p w14:paraId="26420C5B">
            <w:pPr>
              <w:ind w:firstLine="480"/>
              <w:rPr>
                <w:rFonts w:ascii="Calibri" w:hAnsi="Calibri"/>
                <w:color w:val="000000" w:themeColor="text1"/>
                <w14:textFill>
                  <w14:solidFill>
                    <w14:schemeClr w14:val="tx1"/>
                  </w14:solidFill>
                </w14:textFill>
              </w:rPr>
            </w:pPr>
            <w:r>
              <w:rPr>
                <w:rFonts w:hint="eastAsia"/>
                <w:b/>
                <w:bCs/>
                <w:color w:val="000000" w:themeColor="text1"/>
                <w14:textFill>
                  <w14:solidFill>
                    <w14:schemeClr w14:val="tx1"/>
                  </w14:solidFill>
                </w14:textFill>
              </w:rPr>
              <w:t>（6）喷漆</w:t>
            </w: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流平、</w:t>
            </w:r>
            <w:r>
              <w:rPr>
                <w:rFonts w:hint="eastAsia"/>
                <w:b/>
                <w:bCs/>
                <w:color w:val="000000" w:themeColor="text1"/>
                <w14:textFill>
                  <w14:solidFill>
                    <w14:schemeClr w14:val="tx1"/>
                  </w14:solidFill>
                </w14:textFill>
              </w:rPr>
              <w:t>晾干：</w:t>
            </w:r>
            <w:r>
              <w:rPr>
                <w:rFonts w:hint="eastAsia"/>
                <w:b w:val="0"/>
                <w:bCs w:val="0"/>
                <w:color w:val="000000" w:themeColor="text1"/>
                <w:lang w:val="en-US" w:eastAsia="zh-CN"/>
                <w14:textFill>
                  <w14:solidFill>
                    <w14:schemeClr w14:val="tx1"/>
                  </w14:solidFill>
                </w14:textFill>
              </w:rPr>
              <w:t>根据各产品工艺要求（</w:t>
            </w:r>
            <w:r>
              <w:rPr>
                <w:rFonts w:hint="eastAsia"/>
                <w:color w:val="000000" w:themeColor="text1"/>
                <w:lang w:val="en-US" w:eastAsia="zh-CN"/>
                <w14:textFill>
                  <w14:solidFill>
                    <w14:schemeClr w14:val="tx1"/>
                  </w14:solidFill>
                </w14:textFill>
              </w:rPr>
              <w:t>部分坯体只喷水性漆或油性漆，部分坯体则需要喷水性漆和油性漆</w:t>
            </w:r>
            <w:r>
              <w:rPr>
                <w:rFonts w:hint="eastAsia"/>
                <w:b w:val="0"/>
                <w:bCs w:val="0"/>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在喷漆房内使用喷漆枪对</w:t>
            </w:r>
            <w:r>
              <w:rPr>
                <w:rFonts w:hint="eastAsia"/>
                <w:color w:val="000000" w:themeColor="text1"/>
                <w:lang w:val="en-US" w:eastAsia="zh-CN"/>
                <w14:textFill>
                  <w14:solidFill>
                    <w14:schemeClr w14:val="tx1"/>
                  </w14:solidFill>
                </w14:textFill>
              </w:rPr>
              <w:t>坯体</w:t>
            </w:r>
            <w:r>
              <w:rPr>
                <w:rFonts w:ascii="宋体" w:hAnsi="宋体"/>
                <w:color w:val="000000" w:themeColor="text1"/>
                <w14:textFill>
                  <w14:solidFill>
                    <w14:schemeClr w14:val="tx1"/>
                  </w14:solidFill>
                </w14:textFill>
              </w:rPr>
              <w:t>进行</w:t>
            </w:r>
            <w:r>
              <w:rPr>
                <w:rFonts w:hint="eastAsia"/>
                <w:color w:val="000000" w:themeColor="text1"/>
                <w14:textFill>
                  <w14:solidFill>
                    <w14:schemeClr w14:val="tx1"/>
                  </w14:solidFill>
                </w14:textFill>
              </w:rPr>
              <w:t>喷漆，喷漆后置于喷漆房内自然晾干</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该过程会产生喷漆、流平、晾干废气G7（主要污染物为颗粒物、二甲苯、TVOC、臭气浓度等）</w:t>
            </w:r>
            <w:r>
              <w:rPr>
                <w:rFonts w:hint="eastAsia"/>
                <w:color w:val="000000" w:themeColor="text1"/>
                <w14:textFill>
                  <w14:solidFill>
                    <w14:schemeClr w14:val="tx1"/>
                  </w14:solidFill>
                </w14:textFill>
              </w:rPr>
              <w:t>。喷漆枪每天工作结束后使用稀释剂在喷漆房进行擦拭清洗</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水性漆喷枪和油漆喷枪均使用稀释剂进行擦拭清洗</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清洗过程会产生喷枪清洗废气G8（主要污染物为TVOC、臭气浓度）和漆渣S9（按最不利情况考虑，假定稀释剂在擦拭清洗过程中全部挥发）</w:t>
            </w:r>
            <w:r>
              <w:rPr>
                <w:rFonts w:hint="eastAsia"/>
                <w:color w:val="000000" w:themeColor="text1"/>
                <w14:textFill>
                  <w14:solidFill>
                    <w14:schemeClr w14:val="tx1"/>
                  </w14:solidFill>
                </w14:textFill>
              </w:rPr>
              <w:t>。</w:t>
            </w:r>
          </w:p>
          <w:p w14:paraId="10164763">
            <w:pPr>
              <w:ind w:firstLine="480"/>
              <w:rPr>
                <w:color w:val="000000" w:themeColor="text1"/>
                <w14:textFill>
                  <w14:solidFill>
                    <w14:schemeClr w14:val="tx1"/>
                  </w14:solidFill>
                </w14:textFill>
              </w:rPr>
            </w:pPr>
            <w:r>
              <w:rPr>
                <w:rFonts w:hint="eastAsia"/>
                <w:b/>
                <w:bCs/>
                <w:color w:val="000000" w:themeColor="text1"/>
                <w14:textFill>
                  <w14:solidFill>
                    <w14:schemeClr w14:val="tx1"/>
                  </w14:solidFill>
                </w14:textFill>
              </w:rPr>
              <w:t>（7）彩绘</w:t>
            </w:r>
            <w:r>
              <w:rPr>
                <w:rFonts w:hint="eastAsia"/>
                <w:b/>
                <w:bCs/>
                <w:color w:val="000000" w:themeColor="text1"/>
                <w:lang w:eastAsia="zh-CN"/>
                <w14:textFill>
                  <w14:solidFill>
                    <w14:schemeClr w14:val="tx1"/>
                  </w14:solidFill>
                </w14:textFill>
              </w:rPr>
              <w:t>、</w:t>
            </w:r>
            <w:r>
              <w:rPr>
                <w:rFonts w:hint="eastAsia"/>
                <w:b/>
                <w:bCs/>
                <w:color w:val="000000" w:themeColor="text1"/>
                <w14:textFill>
                  <w14:solidFill>
                    <w14:schemeClr w14:val="tx1"/>
                  </w14:solidFill>
                </w14:textFill>
              </w:rPr>
              <w:t>晾干：</w:t>
            </w:r>
            <w:r>
              <w:rPr>
                <w:rFonts w:hint="eastAsia"/>
                <w:b w:val="0"/>
                <w:bCs w:val="0"/>
                <w:color w:val="000000" w:themeColor="text1"/>
                <w:lang w:val="en-US" w:eastAsia="zh-CN"/>
                <w14:textFill>
                  <w14:solidFill>
                    <w14:schemeClr w14:val="tx1"/>
                  </w14:solidFill>
                </w14:textFill>
              </w:rPr>
              <w:t>根据各产品需求，以水性漆、油性漆作为颜料，</w:t>
            </w:r>
            <w:r>
              <w:rPr>
                <w:rFonts w:hint="eastAsia"/>
                <w:color w:val="000000" w:themeColor="text1"/>
                <w14:textFill>
                  <w14:solidFill>
                    <w14:schemeClr w14:val="tx1"/>
                  </w14:solidFill>
                </w14:textFill>
              </w:rPr>
              <w:t>在彩绘桌上</w:t>
            </w:r>
            <w:r>
              <w:rPr>
                <w:rFonts w:hint="eastAsia"/>
                <w:color w:val="000000" w:themeColor="text1"/>
                <w:lang w:val="en-US" w:eastAsia="zh-CN"/>
                <w14:textFill>
                  <w14:solidFill>
                    <w14:schemeClr w14:val="tx1"/>
                  </w14:solidFill>
                </w14:textFill>
              </w:rPr>
              <w:t>以彩绘笔对坯体</w:t>
            </w:r>
            <w:r>
              <w:rPr>
                <w:rFonts w:hint="eastAsia"/>
                <w:color w:val="000000" w:themeColor="text1"/>
                <w14:textFill>
                  <w14:solidFill>
                    <w14:schemeClr w14:val="tx1"/>
                  </w14:solidFill>
                </w14:textFill>
              </w:rPr>
              <w:t>进行彩绘</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从而得到所需的图案</w:t>
            </w:r>
            <w:r>
              <w:rPr>
                <w:color w:val="000000" w:themeColor="text1"/>
                <w14:textFill>
                  <w14:solidFill>
                    <w14:schemeClr w14:val="tx1"/>
                  </w14:solidFill>
                </w14:textFill>
              </w:rPr>
              <w:t>（如窗户线条</w:t>
            </w:r>
            <w:r>
              <w:rPr>
                <w:rFonts w:hint="eastAsia"/>
                <w:color w:val="000000" w:themeColor="text1"/>
                <w14:textFill>
                  <w14:solidFill>
                    <w14:schemeClr w14:val="tx1"/>
                  </w14:solidFill>
                </w14:textFill>
              </w:rPr>
              <w:t>、圣诞树条</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，彩绘后置于彩绘区内自然</w:t>
            </w:r>
            <w:r>
              <w:rPr>
                <w:rFonts w:hint="eastAsia"/>
                <w:color w:val="000000" w:themeColor="text1"/>
                <w:lang w:val="en-US" w:eastAsia="zh-CN"/>
                <w14:textFill>
                  <w14:solidFill>
                    <w14:schemeClr w14:val="tx1"/>
                  </w14:solidFill>
                </w14:textFill>
              </w:rPr>
              <w:t>晾干</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此工序会产生</w:t>
            </w:r>
            <w:r>
              <w:rPr>
                <w:rFonts w:hint="eastAsia"/>
                <w:color w:val="000000" w:themeColor="text1"/>
                <w:lang w:val="en-US" w:eastAsia="zh-CN"/>
                <w14:textFill>
                  <w14:solidFill>
                    <w14:schemeClr w14:val="tx1"/>
                  </w14:solidFill>
                </w14:textFill>
              </w:rPr>
              <w:t>彩绘、晾干废气G9（主要污染物包括二甲苯、TVOC、臭气浓度等）以及废彩绘笔S10（彩绘笔不进行清洗，更换的废彩绘笔作为危废）</w:t>
            </w:r>
            <w:r>
              <w:rPr>
                <w:rFonts w:hint="eastAsia"/>
                <w:color w:val="000000" w:themeColor="text1"/>
                <w14:textFill>
                  <w14:solidFill>
                    <w14:schemeClr w14:val="tx1"/>
                  </w14:solidFill>
                </w14:textFill>
              </w:rPr>
              <w:t>。</w:t>
            </w:r>
          </w:p>
          <w:p w14:paraId="4EE0BAA0">
            <w:pPr>
              <w:ind w:firstLine="480"/>
              <w:rPr>
                <w:rFonts w:hint="default" w:eastAsia="宋体"/>
                <w:color w:val="000000" w:themeColor="text1"/>
                <w:sz w:val="24"/>
                <w:szCs w:val="24"/>
                <w:lang w:val="en-US" w:eastAsia="zh-CN"/>
                <w14:textFill>
                  <w14:solidFill>
                    <w14:schemeClr w14:val="tx1"/>
                  </w14:solidFill>
                </w14:textFill>
              </w:rPr>
            </w:pPr>
            <w:r>
              <w:rPr>
                <w:rFonts w:hint="eastAsia"/>
                <w:b/>
                <w:bCs/>
                <w:color w:val="000000" w:themeColor="text1"/>
                <w14:textFill>
                  <w14:solidFill>
                    <w14:schemeClr w14:val="tx1"/>
                  </w14:solidFill>
                </w14:textFill>
              </w:rPr>
              <w:t>（8）</w:t>
            </w:r>
            <w:r>
              <w:rPr>
                <w:rFonts w:hint="eastAsia"/>
                <w:b/>
                <w:bCs/>
                <w:color w:val="000000" w:themeColor="text1"/>
                <w:lang w:val="en-US" w:eastAsia="zh-CN"/>
                <w14:textFill>
                  <w14:solidFill>
                    <w14:schemeClr w14:val="tx1"/>
                  </w14:solidFill>
                </w14:textFill>
              </w:rPr>
              <w:t>焊接、</w:t>
            </w:r>
            <w:r>
              <w:rPr>
                <w:rFonts w:hint="eastAsia"/>
                <w:b/>
                <w:bCs/>
                <w:color w:val="000000" w:themeColor="text1"/>
                <w14:textFill>
                  <w14:solidFill>
                    <w14:schemeClr w14:val="tx1"/>
                  </w14:solidFill>
                </w14:textFill>
              </w:rPr>
              <w:t>组装：</w:t>
            </w:r>
            <w:r>
              <w:rPr>
                <w:rFonts w:hint="eastAsia"/>
                <w:color w:val="000000" w:themeColor="text1"/>
                <w:sz w:val="24"/>
                <w:szCs w:val="24"/>
                <w:lang w:val="en-US" w:eastAsia="zh-CN"/>
                <w14:textFill>
                  <w14:solidFill>
                    <w14:schemeClr w14:val="tx1"/>
                  </w14:solidFill>
                </w14:textFill>
              </w:rPr>
              <w:t>利用手工锡焊枪，以锡焊丝作为焊条，将</w:t>
            </w:r>
            <w:r>
              <w:rPr>
                <w:rFonts w:hint="eastAsia"/>
                <w:color w:val="000000" w:themeColor="text1"/>
                <w:sz w:val="24"/>
                <w:szCs w:val="24"/>
                <w14:textFill>
                  <w14:solidFill>
                    <w14:schemeClr w14:val="tx1"/>
                  </w14:solidFill>
                </w14:textFill>
              </w:rPr>
              <w:t>电子元件</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电路板等</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与树脂工艺品</w:t>
            </w:r>
            <w:r>
              <w:rPr>
                <w:rFonts w:hint="eastAsia"/>
                <w:color w:val="000000" w:themeColor="text1"/>
                <w:sz w:val="24"/>
                <w:szCs w:val="24"/>
                <w:lang w:val="en-US" w:eastAsia="zh-CN"/>
                <w14:textFill>
                  <w14:solidFill>
                    <w14:schemeClr w14:val="tx1"/>
                  </w14:solidFill>
                </w14:textFill>
              </w:rPr>
              <w:t>进行</w:t>
            </w:r>
            <w:r>
              <w:rPr>
                <w:rFonts w:hint="eastAsia"/>
                <w:color w:val="000000" w:themeColor="text1"/>
                <w:sz w:val="24"/>
                <w:szCs w:val="24"/>
                <w14:textFill>
                  <w14:solidFill>
                    <w14:schemeClr w14:val="tx1"/>
                  </w14:solidFill>
                </w14:textFill>
              </w:rPr>
              <w:t>组装</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用胶棒将电子元件LED灯粘黏在工艺品上</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该</w:t>
            </w:r>
            <w:r>
              <w:rPr>
                <w:rStyle w:val="44"/>
                <w:rFonts w:hint="eastAsia"/>
                <w:color w:val="000000" w:themeColor="text1"/>
                <w:kern w:val="0"/>
                <w:sz w:val="24"/>
                <w:szCs w:val="24"/>
                <w:lang w:val="en-US" w:eastAsia="zh-CN"/>
                <w14:textFill>
                  <w14:solidFill>
                    <w14:schemeClr w14:val="tx1"/>
                  </w14:solidFill>
                </w14:textFill>
              </w:rPr>
              <w:t>过程会产生焊接烟尘G10（主要污染物为颗粒物）和粘胶废气G11（主要污染物为TVOC、臭气浓度）。</w:t>
            </w:r>
          </w:p>
          <w:p w14:paraId="6424722C">
            <w:pPr>
              <w:ind w:firstLine="480"/>
              <w:rPr>
                <w:rFonts w:hint="default" w:eastAsia="宋体"/>
                <w:color w:val="000000" w:themeColor="text1"/>
                <w:lang w:val="en-US" w:eastAsia="zh-CN"/>
                <w14:textFill>
                  <w14:solidFill>
                    <w14:schemeClr w14:val="tx1"/>
                  </w14:solidFill>
                </w14:textFill>
              </w:rPr>
            </w:pPr>
            <w:r>
              <w:rPr>
                <w:rFonts w:hint="eastAsia"/>
                <w:b/>
                <w:bCs/>
                <w:color w:val="000000" w:themeColor="text1"/>
                <w14:textFill>
                  <w14:solidFill>
                    <w14:schemeClr w14:val="tx1"/>
                  </w14:solidFill>
                </w14:textFill>
              </w:rPr>
              <w:t>（9）检验</w:t>
            </w: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修复</w:t>
            </w:r>
            <w:r>
              <w:rPr>
                <w:rFonts w:hint="eastAsia"/>
                <w:b/>
                <w:bCs/>
                <w:color w:val="000000" w:themeColor="text1"/>
                <w14:textFill>
                  <w14:solidFill>
                    <w14:schemeClr w14:val="tx1"/>
                  </w14:solidFill>
                </w14:textFill>
              </w:rPr>
              <w:t>：</w:t>
            </w:r>
            <w:r>
              <w:rPr>
                <w:rFonts w:hint="eastAsia"/>
                <w:b w:val="0"/>
                <w:bCs w:val="0"/>
                <w:color w:val="000000" w:themeColor="text1"/>
                <w:lang w:val="en-US" w:eastAsia="zh-CN"/>
                <w14:textFill>
                  <w14:solidFill>
                    <w14:schemeClr w14:val="tx1"/>
                  </w14:solidFill>
                </w14:textFill>
              </w:rPr>
              <w:t>人工对组装好的工艺品</w:t>
            </w:r>
            <w:r>
              <w:rPr>
                <w:rFonts w:hint="eastAsia"/>
                <w:color w:val="000000" w:themeColor="text1"/>
                <w14:textFill>
                  <w14:solidFill>
                    <w14:schemeClr w14:val="tx1"/>
                  </w14:solidFill>
                </w14:textFill>
              </w:rPr>
              <w:t>进行检验，</w:t>
            </w:r>
            <w:r>
              <w:rPr>
                <w:rFonts w:hint="eastAsia"/>
                <w:color w:val="000000" w:themeColor="text1"/>
                <w:lang w:val="en-US" w:eastAsia="zh-CN"/>
                <w14:textFill>
                  <w14:solidFill>
                    <w14:schemeClr w14:val="tx1"/>
                  </w14:solidFill>
                </w14:textFill>
              </w:rPr>
              <w:t>检验过程产生的不合格品经修复后作为合格品经包装后外售</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修复主要是针对检验过程若发现产品颜色、尺寸、粗糙度等不符合产品质量要求，则对不合格品进行颜色、尺寸、粗糙度等修复处理，使其满足产品出产要求。</w:t>
            </w:r>
          </w:p>
          <w:p w14:paraId="704D35D9">
            <w:pPr>
              <w:pStyle w:val="35"/>
              <w:ind w:left="0" w:leftChars="0"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    </w:t>
            </w:r>
            <w:r>
              <w:rPr>
                <w:rFonts w:hint="eastAsia"/>
                <w:b/>
                <w:bCs/>
                <w:color w:val="000000" w:themeColor="text1"/>
                <w:lang w:val="en-US" w:eastAsia="zh-CN"/>
                <w14:textFill>
                  <w14:solidFill>
                    <w14:schemeClr w14:val="tx1"/>
                  </w14:solidFill>
                </w14:textFill>
              </w:rPr>
              <w:t>（10）包装：</w:t>
            </w:r>
            <w:r>
              <w:rPr>
                <w:rFonts w:hint="eastAsia"/>
                <w:color w:val="000000" w:themeColor="text1"/>
                <w:lang w:val="en-US" w:eastAsia="zh-CN"/>
                <w14:textFill>
                  <w14:solidFill>
                    <w14:schemeClr w14:val="tx1"/>
                  </w14:solidFill>
                </w14:textFill>
              </w:rPr>
              <w:t>对检验后的成品进行包装入库。</w:t>
            </w:r>
          </w:p>
          <w:p w14:paraId="01C5BABC">
            <w:pPr>
              <w:pStyle w:val="57"/>
              <w:numPr>
                <w:ilvl w:val="3"/>
                <w:numId w:val="19"/>
              </w:numPr>
              <w:rPr>
                <w:color w:val="000000" w:themeColor="text1"/>
                <w:kern w:val="0"/>
                <w:sz w:val="21"/>
                <w:szCs w:val="21"/>
                <w:lang w:eastAsia="zh-CN" w:bidi="en-US"/>
                <w14:textFill>
                  <w14:solidFill>
                    <w14:schemeClr w14:val="tx1"/>
                  </w14:solidFill>
                </w14:textFill>
              </w:rPr>
            </w:pPr>
            <w:r>
              <w:rPr>
                <w:rFonts w:hint="eastAsia"/>
                <w:color w:val="000000" w:themeColor="text1"/>
                <w:kern w:val="0"/>
                <w:sz w:val="21"/>
                <w:szCs w:val="21"/>
                <w:lang w:eastAsia="zh-CN" w:bidi="en-US"/>
                <w14:textFill>
                  <w14:solidFill>
                    <w14:schemeClr w14:val="tx1"/>
                  </w14:solidFill>
                </w14:textFill>
              </w:rPr>
              <w:t>项目污染物产生情况一览表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554"/>
              <w:gridCol w:w="883"/>
              <w:gridCol w:w="1794"/>
              <w:gridCol w:w="3309"/>
              <w:gridCol w:w="2033"/>
            </w:tblGrid>
            <w:tr w14:paraId="4EB8673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838" w:type="pct"/>
                  <w:gridSpan w:val="2"/>
                  <w:tcBorders>
                    <w:top w:val="single" w:color="auto" w:sz="12" w:space="0"/>
                    <w:left w:val="nil"/>
                    <w:bottom w:val="single" w:color="auto" w:sz="4" w:space="0"/>
                    <w:right w:val="single" w:color="auto" w:sz="6" w:space="0"/>
                  </w:tcBorders>
                  <w:vAlign w:val="center"/>
                </w:tcPr>
                <w:p w14:paraId="3AD9692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主要污染源</w:t>
                  </w:r>
                </w:p>
              </w:tc>
              <w:tc>
                <w:tcPr>
                  <w:tcW w:w="1046" w:type="pct"/>
                  <w:tcBorders>
                    <w:top w:val="single" w:color="auto" w:sz="12" w:space="0"/>
                    <w:left w:val="single" w:color="auto" w:sz="6" w:space="0"/>
                    <w:bottom w:val="single" w:color="auto" w:sz="4" w:space="0"/>
                    <w:right w:val="single" w:color="auto" w:sz="6" w:space="0"/>
                  </w:tcBorders>
                  <w:vAlign w:val="center"/>
                </w:tcPr>
                <w:p w14:paraId="41A2EDA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产污环节</w:t>
                  </w:r>
                </w:p>
              </w:tc>
              <w:tc>
                <w:tcPr>
                  <w:tcW w:w="1929" w:type="pct"/>
                  <w:tcBorders>
                    <w:top w:val="single" w:color="auto" w:sz="12" w:space="0"/>
                    <w:left w:val="single" w:color="auto" w:sz="6" w:space="0"/>
                    <w:bottom w:val="single" w:color="auto" w:sz="4" w:space="0"/>
                    <w:right w:val="single" w:color="auto" w:sz="6" w:space="0"/>
                  </w:tcBorders>
                  <w:vAlign w:val="center"/>
                </w:tcPr>
                <w:p w14:paraId="22850C1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污染物名称</w:t>
                  </w:r>
                </w:p>
              </w:tc>
              <w:tc>
                <w:tcPr>
                  <w:tcW w:w="1185" w:type="pct"/>
                  <w:tcBorders>
                    <w:top w:val="single" w:color="auto" w:sz="12" w:space="0"/>
                    <w:left w:val="single" w:color="auto" w:sz="6" w:space="0"/>
                    <w:bottom w:val="single" w:color="auto" w:sz="4" w:space="0"/>
                    <w:right w:val="nil"/>
                  </w:tcBorders>
                  <w:vAlign w:val="center"/>
                </w:tcPr>
                <w:p w14:paraId="652EC7E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color w:val="000000" w:themeColor="text1"/>
                      <w:sz w:val="21"/>
                      <w:szCs w:val="21"/>
                      <w14:textFill>
                        <w14:solidFill>
                          <w14:schemeClr w14:val="tx1"/>
                        </w14:solidFill>
                      </w14:textFill>
                    </w:rPr>
                  </w:pPr>
                  <w:r>
                    <w:rPr>
                      <w:rFonts w:ascii="宋体" w:hAnsi="宋体"/>
                      <w:b/>
                      <w:color w:val="000000" w:themeColor="text1"/>
                      <w:sz w:val="21"/>
                      <w:szCs w:val="21"/>
                      <w14:textFill>
                        <w14:solidFill>
                          <w14:schemeClr w14:val="tx1"/>
                        </w14:solidFill>
                      </w14:textFill>
                    </w:rPr>
                    <w:t>排放方式</w:t>
                  </w:r>
                </w:p>
              </w:tc>
            </w:tr>
            <w:tr w14:paraId="1A891E0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restart"/>
                  <w:tcBorders>
                    <w:top w:val="single" w:color="auto" w:sz="4" w:space="0"/>
                    <w:left w:val="nil"/>
                    <w:bottom w:val="single" w:color="auto" w:sz="4" w:space="0"/>
                    <w:right w:val="single" w:color="auto" w:sz="6" w:space="0"/>
                  </w:tcBorders>
                  <w:vAlign w:val="center"/>
                </w:tcPr>
                <w:p w14:paraId="5525467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运营期</w:t>
                  </w:r>
                </w:p>
              </w:tc>
              <w:tc>
                <w:tcPr>
                  <w:tcW w:w="514" w:type="pct"/>
                  <w:tcBorders>
                    <w:top w:val="single" w:color="auto" w:sz="4" w:space="0"/>
                    <w:left w:val="single" w:color="auto" w:sz="6" w:space="0"/>
                    <w:bottom w:val="single" w:color="auto" w:sz="4" w:space="0"/>
                    <w:right w:val="single" w:color="auto" w:sz="6" w:space="0"/>
                  </w:tcBorders>
                  <w:vAlign w:val="center"/>
                </w:tcPr>
                <w:p w14:paraId="120CFC1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废水</w:t>
                  </w:r>
                </w:p>
              </w:tc>
              <w:tc>
                <w:tcPr>
                  <w:tcW w:w="1046" w:type="pct"/>
                  <w:tcBorders>
                    <w:top w:val="single" w:color="auto" w:sz="4" w:space="0"/>
                    <w:left w:val="single" w:color="auto" w:sz="6" w:space="0"/>
                    <w:bottom w:val="single" w:color="auto" w:sz="4" w:space="0"/>
                    <w:right w:val="single" w:color="auto" w:sz="6" w:space="0"/>
                  </w:tcBorders>
                  <w:vAlign w:val="center"/>
                </w:tcPr>
                <w:p w14:paraId="1730461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生活污水</w:t>
                  </w:r>
                </w:p>
              </w:tc>
              <w:tc>
                <w:tcPr>
                  <w:tcW w:w="1929" w:type="pct"/>
                  <w:tcBorders>
                    <w:top w:val="single" w:color="auto" w:sz="4" w:space="0"/>
                    <w:left w:val="single" w:color="auto" w:sz="6" w:space="0"/>
                    <w:bottom w:val="single" w:color="auto" w:sz="4" w:space="0"/>
                    <w:right w:val="single" w:color="auto" w:sz="6" w:space="0"/>
                  </w:tcBorders>
                  <w:vAlign w:val="center"/>
                </w:tcPr>
                <w:p w14:paraId="31FEAA1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color w:val="000000" w:themeColor="text1"/>
                      <w:kern w:val="0"/>
                      <w:sz w:val="21"/>
                      <w:szCs w:val="21"/>
                      <w14:textFill>
                        <w14:solidFill>
                          <w14:schemeClr w14:val="tx1"/>
                        </w14:solidFill>
                      </w14:textFill>
                    </w:rPr>
                    <w:t>COD</w:t>
                  </w:r>
                  <w:r>
                    <w:rPr>
                      <w:rFonts w:ascii="宋体" w:hAnsi="宋体"/>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BOD</w:t>
                  </w:r>
                  <w:r>
                    <w:rPr>
                      <w:color w:val="000000" w:themeColor="text1"/>
                      <w:kern w:val="0"/>
                      <w:sz w:val="21"/>
                      <w:szCs w:val="21"/>
                      <w:vertAlign w:val="subscript"/>
                      <w14:textFill>
                        <w14:solidFill>
                          <w14:schemeClr w14:val="tx1"/>
                        </w14:solidFill>
                      </w14:textFill>
                    </w:rPr>
                    <w:t>5</w:t>
                  </w:r>
                  <w:r>
                    <w:rPr>
                      <w:rFonts w:ascii="宋体" w:hAnsi="宋体"/>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SS</w:t>
                  </w:r>
                  <w:r>
                    <w:rPr>
                      <w:rFonts w:ascii="宋体" w:hAnsi="宋体"/>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NH</w:t>
                  </w:r>
                  <w:r>
                    <w:rPr>
                      <w:color w:val="000000" w:themeColor="text1"/>
                      <w:kern w:val="0"/>
                      <w:sz w:val="21"/>
                      <w:szCs w:val="21"/>
                      <w:vertAlign w:val="subscript"/>
                      <w14:textFill>
                        <w14:solidFill>
                          <w14:schemeClr w14:val="tx1"/>
                        </w14:solidFill>
                      </w14:textFill>
                    </w:rPr>
                    <w:t>3</w:t>
                  </w:r>
                  <w:r>
                    <w:rPr>
                      <w:color w:val="000000" w:themeColor="text1"/>
                      <w:kern w:val="0"/>
                      <w:sz w:val="21"/>
                      <w:szCs w:val="21"/>
                      <w14:textFill>
                        <w14:solidFill>
                          <w14:schemeClr w14:val="tx1"/>
                        </w14:solidFill>
                      </w14:textFill>
                    </w:rPr>
                    <w:t>-N</w:t>
                  </w:r>
                  <w:r>
                    <w:rPr>
                      <w:rFonts w:hint="eastAsia" w:ascii="宋体" w:hAnsi="宋体"/>
                      <w:color w:val="000000" w:themeColor="text1"/>
                      <w:kern w:val="0"/>
                      <w:sz w:val="21"/>
                      <w:szCs w:val="21"/>
                      <w14:textFill>
                        <w14:solidFill>
                          <w14:schemeClr w14:val="tx1"/>
                        </w14:solidFill>
                      </w14:textFill>
                    </w:rPr>
                    <w:t>、动植物油</w:t>
                  </w:r>
                  <w:r>
                    <w:rPr>
                      <w:rFonts w:hint="eastAsia" w:ascii="宋体" w:hAnsi="宋体"/>
                      <w:color w:val="000000" w:themeColor="text1"/>
                      <w:kern w:val="0"/>
                      <w:sz w:val="21"/>
                      <w:szCs w:val="21"/>
                      <w:lang w:eastAsia="zh-CN"/>
                      <w14:textFill>
                        <w14:solidFill>
                          <w14:schemeClr w14:val="tx1"/>
                        </w14:solidFill>
                      </w14:textFill>
                    </w:rPr>
                    <w:t>、</w:t>
                  </w:r>
                  <w:r>
                    <w:rPr>
                      <w:rFonts w:hint="eastAsia" w:ascii="宋体" w:hAnsi="宋体"/>
                      <w:color w:val="000000" w:themeColor="text1"/>
                      <w:kern w:val="0"/>
                      <w:sz w:val="21"/>
                      <w:szCs w:val="21"/>
                      <w:lang w:val="en-US" w:eastAsia="zh-CN"/>
                      <w14:textFill>
                        <w14:solidFill>
                          <w14:schemeClr w14:val="tx1"/>
                        </w14:solidFill>
                      </w14:textFill>
                    </w:rPr>
                    <w:t>总磷</w:t>
                  </w:r>
                </w:p>
              </w:tc>
              <w:tc>
                <w:tcPr>
                  <w:tcW w:w="1185" w:type="pct"/>
                  <w:tcBorders>
                    <w:top w:val="single" w:color="auto" w:sz="4" w:space="0"/>
                    <w:left w:val="single" w:color="auto" w:sz="6" w:space="0"/>
                    <w:bottom w:val="single" w:color="auto" w:sz="4" w:space="0"/>
                    <w:right w:val="nil"/>
                  </w:tcBorders>
                  <w:vAlign w:val="center"/>
                </w:tcPr>
                <w:p w14:paraId="11D103B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color w:val="000000" w:themeColor="text1"/>
                      <w:kern w:val="0"/>
                      <w:sz w:val="21"/>
                      <w:szCs w:val="21"/>
                      <w14:textFill>
                        <w14:solidFill>
                          <w14:schemeClr w14:val="tx1"/>
                        </w14:solidFill>
                      </w14:textFill>
                    </w:rPr>
                  </w:pPr>
                  <w:r>
                    <w:rPr>
                      <w:rFonts w:ascii="宋体" w:hAnsi="宋体"/>
                      <w:color w:val="000000" w:themeColor="text1"/>
                      <w:kern w:val="0"/>
                      <w:sz w:val="21"/>
                      <w:szCs w:val="21"/>
                      <w14:textFill>
                        <w14:solidFill>
                          <w14:schemeClr w14:val="tx1"/>
                        </w14:solidFill>
                      </w14:textFill>
                    </w:rPr>
                    <w:t>间断</w:t>
                  </w:r>
                </w:p>
              </w:tc>
            </w:tr>
            <w:tr w14:paraId="770B528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195217D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restart"/>
                  <w:tcBorders>
                    <w:top w:val="single" w:color="auto" w:sz="4" w:space="0"/>
                    <w:left w:val="single" w:color="auto" w:sz="6" w:space="0"/>
                    <w:bottom w:val="single" w:color="auto" w:sz="4" w:space="0"/>
                    <w:right w:val="single" w:color="auto" w:sz="6" w:space="0"/>
                  </w:tcBorders>
                  <w:vAlign w:val="center"/>
                </w:tcPr>
                <w:p w14:paraId="7D693B0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废气</w:t>
                  </w:r>
                </w:p>
              </w:tc>
              <w:tc>
                <w:tcPr>
                  <w:tcW w:w="1046" w:type="pct"/>
                  <w:tcBorders>
                    <w:top w:val="single" w:color="auto" w:sz="4" w:space="0"/>
                    <w:left w:val="single" w:color="auto" w:sz="6" w:space="0"/>
                    <w:bottom w:val="single" w:color="auto" w:sz="4" w:space="0"/>
                    <w:right w:val="single" w:color="auto" w:sz="6" w:space="0"/>
                  </w:tcBorders>
                  <w:vAlign w:val="center"/>
                </w:tcPr>
                <w:p w14:paraId="490AE7B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石膏投料粉尘</w:t>
                  </w:r>
                </w:p>
              </w:tc>
              <w:tc>
                <w:tcPr>
                  <w:tcW w:w="1929" w:type="pct"/>
                  <w:tcBorders>
                    <w:top w:val="single" w:color="auto" w:sz="4" w:space="0"/>
                    <w:left w:val="single" w:color="auto" w:sz="6" w:space="0"/>
                    <w:bottom w:val="single" w:color="auto" w:sz="4" w:space="0"/>
                    <w:right w:val="single" w:color="auto" w:sz="6" w:space="0"/>
                  </w:tcBorders>
                  <w:vAlign w:val="center"/>
                </w:tcPr>
                <w:p w14:paraId="426845B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颗粒物</w:t>
                  </w:r>
                </w:p>
              </w:tc>
              <w:tc>
                <w:tcPr>
                  <w:tcW w:w="1185" w:type="pct"/>
                  <w:tcBorders>
                    <w:top w:val="single" w:color="auto" w:sz="4" w:space="0"/>
                    <w:left w:val="single" w:color="auto" w:sz="6" w:space="0"/>
                    <w:bottom w:val="single" w:color="auto" w:sz="4" w:space="0"/>
                    <w:right w:val="nil"/>
                  </w:tcBorders>
                  <w:vAlign w:val="center"/>
                </w:tcPr>
                <w:p w14:paraId="3546C54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1165220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90"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0869795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5161650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206CEC7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石粉投料粉尘</w:t>
                  </w:r>
                </w:p>
              </w:tc>
              <w:tc>
                <w:tcPr>
                  <w:tcW w:w="1929" w:type="pct"/>
                  <w:tcBorders>
                    <w:top w:val="single" w:color="auto" w:sz="4" w:space="0"/>
                    <w:left w:val="single" w:color="auto" w:sz="6" w:space="0"/>
                    <w:bottom w:val="single" w:color="auto" w:sz="4" w:space="0"/>
                    <w:right w:val="single" w:color="auto" w:sz="6" w:space="0"/>
                  </w:tcBorders>
                  <w:vAlign w:val="center"/>
                </w:tcPr>
                <w:p w14:paraId="0DB8A34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颗粒物</w:t>
                  </w:r>
                </w:p>
              </w:tc>
              <w:tc>
                <w:tcPr>
                  <w:tcW w:w="1185" w:type="pct"/>
                  <w:tcBorders>
                    <w:top w:val="single" w:color="auto" w:sz="4" w:space="0"/>
                    <w:left w:val="single" w:color="auto" w:sz="6" w:space="0"/>
                    <w:bottom w:val="single" w:color="auto" w:sz="4" w:space="0"/>
                    <w:right w:val="nil"/>
                  </w:tcBorders>
                  <w:vAlign w:val="center"/>
                </w:tcPr>
                <w:p w14:paraId="7F5C423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3FC76A8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6FD65B1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0D71CD0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61D2BA8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搅浆废气、注浆成型废气</w:t>
                  </w:r>
                </w:p>
              </w:tc>
              <w:tc>
                <w:tcPr>
                  <w:tcW w:w="1929" w:type="pct"/>
                  <w:tcBorders>
                    <w:top w:val="single" w:color="auto" w:sz="4" w:space="0"/>
                    <w:left w:val="single" w:color="auto" w:sz="6" w:space="0"/>
                    <w:bottom w:val="single" w:color="auto" w:sz="4" w:space="0"/>
                    <w:right w:val="single" w:color="auto" w:sz="6" w:space="0"/>
                  </w:tcBorders>
                  <w:vAlign w:val="center"/>
                </w:tcPr>
                <w:p w14:paraId="6C4B20C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苯乙烯、TVOC、臭气浓度</w:t>
                  </w:r>
                </w:p>
              </w:tc>
              <w:tc>
                <w:tcPr>
                  <w:tcW w:w="1185" w:type="pct"/>
                  <w:tcBorders>
                    <w:top w:val="single" w:color="auto" w:sz="4" w:space="0"/>
                    <w:left w:val="single" w:color="auto" w:sz="6" w:space="0"/>
                    <w:bottom w:val="single" w:color="auto" w:sz="4" w:space="0"/>
                    <w:right w:val="nil"/>
                  </w:tcBorders>
                  <w:vAlign w:val="center"/>
                </w:tcPr>
                <w:p w14:paraId="1935CB5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39DBA1C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604DA7C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1E2AAA7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65D9F53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打磨粉尘</w:t>
                  </w:r>
                </w:p>
              </w:tc>
              <w:tc>
                <w:tcPr>
                  <w:tcW w:w="1929" w:type="pct"/>
                  <w:tcBorders>
                    <w:top w:val="single" w:color="auto" w:sz="4" w:space="0"/>
                    <w:left w:val="single" w:color="auto" w:sz="6" w:space="0"/>
                    <w:bottom w:val="single" w:color="auto" w:sz="4" w:space="0"/>
                    <w:right w:val="single" w:color="auto" w:sz="6" w:space="0"/>
                  </w:tcBorders>
                  <w:vAlign w:val="center"/>
                </w:tcPr>
                <w:p w14:paraId="75A106F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颗粒物</w:t>
                  </w:r>
                </w:p>
              </w:tc>
              <w:tc>
                <w:tcPr>
                  <w:tcW w:w="1185" w:type="pct"/>
                  <w:tcBorders>
                    <w:top w:val="single" w:color="auto" w:sz="4" w:space="0"/>
                    <w:left w:val="single" w:color="auto" w:sz="6" w:space="0"/>
                    <w:bottom w:val="single" w:color="auto" w:sz="4" w:space="0"/>
                    <w:right w:val="nil"/>
                  </w:tcBorders>
                  <w:vAlign w:val="center"/>
                </w:tcPr>
                <w:p w14:paraId="3D95E0B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3DF3CC7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39DA377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038DD65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7363F3A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调漆废气</w:t>
                  </w:r>
                </w:p>
              </w:tc>
              <w:tc>
                <w:tcPr>
                  <w:tcW w:w="1929" w:type="pct"/>
                  <w:tcBorders>
                    <w:top w:val="single" w:color="auto" w:sz="4" w:space="0"/>
                    <w:left w:val="single" w:color="auto" w:sz="6" w:space="0"/>
                    <w:bottom w:val="single" w:color="auto" w:sz="4" w:space="0"/>
                    <w:right w:val="single" w:color="auto" w:sz="6" w:space="0"/>
                  </w:tcBorders>
                  <w:vAlign w:val="center"/>
                </w:tcPr>
                <w:p w14:paraId="5C886FF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二甲苯、TVOC、臭气浓度</w:t>
                  </w:r>
                </w:p>
              </w:tc>
              <w:tc>
                <w:tcPr>
                  <w:tcW w:w="1185" w:type="pct"/>
                  <w:tcBorders>
                    <w:top w:val="single" w:color="auto" w:sz="4" w:space="0"/>
                    <w:left w:val="single" w:color="auto" w:sz="6" w:space="0"/>
                    <w:bottom w:val="single" w:color="auto" w:sz="4" w:space="0"/>
                    <w:right w:val="nil"/>
                  </w:tcBorders>
                  <w:vAlign w:val="center"/>
                </w:tcPr>
                <w:p w14:paraId="793D410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6EBF6FD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57F155D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5E872D3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405E13E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喷漆、流平、晾干废气</w:t>
                  </w:r>
                </w:p>
              </w:tc>
              <w:tc>
                <w:tcPr>
                  <w:tcW w:w="1929" w:type="pct"/>
                  <w:tcBorders>
                    <w:top w:val="single" w:color="auto" w:sz="4" w:space="0"/>
                    <w:left w:val="single" w:color="auto" w:sz="6" w:space="0"/>
                    <w:bottom w:val="single" w:color="auto" w:sz="4" w:space="0"/>
                    <w:right w:val="single" w:color="auto" w:sz="6" w:space="0"/>
                  </w:tcBorders>
                  <w:vAlign w:val="center"/>
                </w:tcPr>
                <w:p w14:paraId="19CC8EC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颗粒物、二甲苯、TVOC、臭气浓度</w:t>
                  </w:r>
                </w:p>
              </w:tc>
              <w:tc>
                <w:tcPr>
                  <w:tcW w:w="1185" w:type="pct"/>
                  <w:tcBorders>
                    <w:top w:val="single" w:color="auto" w:sz="4" w:space="0"/>
                    <w:left w:val="single" w:color="auto" w:sz="6" w:space="0"/>
                    <w:bottom w:val="single" w:color="auto" w:sz="4" w:space="0"/>
                    <w:right w:val="nil"/>
                  </w:tcBorders>
                  <w:vAlign w:val="center"/>
                </w:tcPr>
                <w:p w14:paraId="0E554C1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70E070D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03DF66E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79D849C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07B9D70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彩绘、晾干废气</w:t>
                  </w:r>
                </w:p>
              </w:tc>
              <w:tc>
                <w:tcPr>
                  <w:tcW w:w="1929" w:type="pct"/>
                  <w:tcBorders>
                    <w:top w:val="single" w:color="auto" w:sz="4" w:space="0"/>
                    <w:left w:val="single" w:color="auto" w:sz="6" w:space="0"/>
                    <w:bottom w:val="single" w:color="auto" w:sz="4" w:space="0"/>
                    <w:right w:val="single" w:color="auto" w:sz="6" w:space="0"/>
                  </w:tcBorders>
                  <w:vAlign w:val="center"/>
                </w:tcPr>
                <w:p w14:paraId="47E5A4A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二甲苯、TVOC、臭气浓度</w:t>
                  </w:r>
                </w:p>
              </w:tc>
              <w:tc>
                <w:tcPr>
                  <w:tcW w:w="1185" w:type="pct"/>
                  <w:tcBorders>
                    <w:top w:val="single" w:color="auto" w:sz="4" w:space="0"/>
                    <w:left w:val="single" w:color="auto" w:sz="6" w:space="0"/>
                    <w:bottom w:val="single" w:color="auto" w:sz="4" w:space="0"/>
                    <w:right w:val="nil"/>
                  </w:tcBorders>
                  <w:vAlign w:val="center"/>
                </w:tcPr>
                <w:p w14:paraId="3CD58DC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2394337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76C8B20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728B1F7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5E42715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焊接烟尘</w:t>
                  </w:r>
                </w:p>
              </w:tc>
              <w:tc>
                <w:tcPr>
                  <w:tcW w:w="1929" w:type="pct"/>
                  <w:tcBorders>
                    <w:top w:val="single" w:color="auto" w:sz="4" w:space="0"/>
                    <w:left w:val="single" w:color="auto" w:sz="6" w:space="0"/>
                    <w:bottom w:val="single" w:color="auto" w:sz="4" w:space="0"/>
                    <w:right w:val="single" w:color="auto" w:sz="6" w:space="0"/>
                  </w:tcBorders>
                  <w:vAlign w:val="center"/>
                </w:tcPr>
                <w:p w14:paraId="36030C7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颗粒物</w:t>
                  </w:r>
                </w:p>
              </w:tc>
              <w:tc>
                <w:tcPr>
                  <w:tcW w:w="1185" w:type="pct"/>
                  <w:tcBorders>
                    <w:top w:val="single" w:color="auto" w:sz="4" w:space="0"/>
                    <w:left w:val="single" w:color="auto" w:sz="6" w:space="0"/>
                    <w:bottom w:val="single" w:color="auto" w:sz="4" w:space="0"/>
                    <w:right w:val="nil"/>
                  </w:tcBorders>
                  <w:vAlign w:val="center"/>
                </w:tcPr>
                <w:p w14:paraId="2E0226B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kern w:val="0"/>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5E1DE48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078829A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0DB31DC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2B8A058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粘胶废气</w:t>
                  </w:r>
                </w:p>
              </w:tc>
              <w:tc>
                <w:tcPr>
                  <w:tcW w:w="1929" w:type="pct"/>
                  <w:tcBorders>
                    <w:top w:val="single" w:color="auto" w:sz="4" w:space="0"/>
                    <w:left w:val="single" w:color="auto" w:sz="6" w:space="0"/>
                    <w:bottom w:val="single" w:color="auto" w:sz="4" w:space="0"/>
                    <w:right w:val="single" w:color="auto" w:sz="6" w:space="0"/>
                  </w:tcBorders>
                  <w:vAlign w:val="center"/>
                </w:tcPr>
                <w:p w14:paraId="6903DD2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TVOC、臭气浓度</w:t>
                  </w:r>
                </w:p>
              </w:tc>
              <w:tc>
                <w:tcPr>
                  <w:tcW w:w="1185" w:type="pct"/>
                  <w:tcBorders>
                    <w:top w:val="single" w:color="auto" w:sz="4" w:space="0"/>
                    <w:left w:val="single" w:color="auto" w:sz="6" w:space="0"/>
                    <w:bottom w:val="single" w:color="auto" w:sz="4" w:space="0"/>
                    <w:right w:val="nil"/>
                  </w:tcBorders>
                  <w:vAlign w:val="center"/>
                </w:tcPr>
                <w:p w14:paraId="5447B5F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连续</w:t>
                  </w:r>
                </w:p>
              </w:tc>
            </w:tr>
            <w:tr w14:paraId="41E8446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3BD4262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tcBorders>
                    <w:top w:val="single" w:color="auto" w:sz="4" w:space="0"/>
                    <w:left w:val="single" w:color="auto" w:sz="6" w:space="0"/>
                    <w:bottom w:val="single" w:color="auto" w:sz="4" w:space="0"/>
                    <w:right w:val="single" w:color="auto" w:sz="6" w:space="0"/>
                  </w:tcBorders>
                  <w:vAlign w:val="center"/>
                </w:tcPr>
                <w:p w14:paraId="54C827E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噪声</w:t>
                  </w:r>
                </w:p>
              </w:tc>
              <w:tc>
                <w:tcPr>
                  <w:tcW w:w="1046" w:type="pct"/>
                  <w:tcBorders>
                    <w:top w:val="single" w:color="auto" w:sz="4" w:space="0"/>
                    <w:left w:val="single" w:color="auto" w:sz="6" w:space="0"/>
                    <w:bottom w:val="single" w:color="auto" w:sz="4" w:space="0"/>
                    <w:right w:val="single" w:color="auto" w:sz="6" w:space="0"/>
                  </w:tcBorders>
                  <w:vAlign w:val="center"/>
                </w:tcPr>
                <w:p w14:paraId="1DAF367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ascii="宋体" w:hAnsi="宋体"/>
                      <w:bCs/>
                      <w:color w:val="000000" w:themeColor="text1"/>
                      <w:sz w:val="21"/>
                      <w:szCs w:val="21"/>
                      <w:lang w:val="en-US" w:eastAsia="zh-CN"/>
                      <w14:textFill>
                        <w14:solidFill>
                          <w14:schemeClr w14:val="tx1"/>
                        </w14:solidFill>
                      </w14:textFill>
                    </w:rPr>
                    <w:t>生产设备噪声</w:t>
                  </w:r>
                </w:p>
              </w:tc>
              <w:tc>
                <w:tcPr>
                  <w:tcW w:w="1929" w:type="pct"/>
                  <w:tcBorders>
                    <w:top w:val="single" w:color="auto" w:sz="4" w:space="0"/>
                    <w:left w:val="single" w:color="auto" w:sz="6" w:space="0"/>
                    <w:bottom w:val="single" w:color="auto" w:sz="4" w:space="0"/>
                    <w:right w:val="single" w:color="auto" w:sz="6" w:space="0"/>
                  </w:tcBorders>
                  <w:vAlign w:val="center"/>
                </w:tcPr>
                <w:p w14:paraId="65CA19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L</w:t>
                  </w:r>
                  <w:r>
                    <w:rPr>
                      <w:rFonts w:hint="eastAsia"/>
                      <w:bCs/>
                      <w:color w:val="000000" w:themeColor="text1"/>
                      <w:sz w:val="21"/>
                      <w:szCs w:val="21"/>
                      <w:vertAlign w:val="subscript"/>
                      <w:lang w:val="en-US" w:eastAsia="zh-CN"/>
                      <w14:textFill>
                        <w14:solidFill>
                          <w14:schemeClr w14:val="tx1"/>
                        </w14:solidFill>
                      </w14:textFill>
                    </w:rPr>
                    <w:t>Aeq</w:t>
                  </w:r>
                </w:p>
              </w:tc>
              <w:tc>
                <w:tcPr>
                  <w:tcW w:w="1185" w:type="pct"/>
                  <w:tcBorders>
                    <w:top w:val="single" w:color="auto" w:sz="4" w:space="0"/>
                    <w:left w:val="single" w:color="auto" w:sz="6" w:space="0"/>
                    <w:bottom w:val="single" w:color="auto" w:sz="4" w:space="0"/>
                    <w:right w:val="nil"/>
                  </w:tcBorders>
                  <w:vAlign w:val="center"/>
                </w:tcPr>
                <w:p w14:paraId="152EDD3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连续</w:t>
                  </w:r>
                </w:p>
              </w:tc>
            </w:tr>
            <w:tr w14:paraId="4FB0D26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069494E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restart"/>
                  <w:tcBorders>
                    <w:top w:val="single" w:color="auto" w:sz="4" w:space="0"/>
                    <w:left w:val="single" w:color="auto" w:sz="6" w:space="0"/>
                    <w:bottom w:val="single" w:color="auto" w:sz="4" w:space="0"/>
                    <w:right w:val="single" w:color="auto" w:sz="6" w:space="0"/>
                  </w:tcBorders>
                  <w:vAlign w:val="center"/>
                </w:tcPr>
                <w:p w14:paraId="0D2072C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固体废物</w:t>
                  </w:r>
                </w:p>
              </w:tc>
              <w:tc>
                <w:tcPr>
                  <w:tcW w:w="1046" w:type="pct"/>
                  <w:tcBorders>
                    <w:top w:val="single" w:color="auto" w:sz="4" w:space="0"/>
                    <w:left w:val="single" w:color="auto" w:sz="6" w:space="0"/>
                    <w:bottom w:val="single" w:color="auto" w:sz="4" w:space="0"/>
                    <w:right w:val="single" w:color="auto" w:sz="6" w:space="0"/>
                  </w:tcBorders>
                  <w:vAlign w:val="center"/>
                </w:tcPr>
                <w:p w14:paraId="30E0EE0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办公生活</w:t>
                  </w:r>
                </w:p>
              </w:tc>
              <w:tc>
                <w:tcPr>
                  <w:tcW w:w="1929" w:type="pct"/>
                  <w:tcBorders>
                    <w:top w:val="single" w:color="auto" w:sz="4" w:space="0"/>
                    <w:left w:val="single" w:color="auto" w:sz="6" w:space="0"/>
                    <w:bottom w:val="single" w:color="auto" w:sz="4" w:space="0"/>
                    <w:right w:val="single" w:color="auto" w:sz="6" w:space="0"/>
                  </w:tcBorders>
                  <w:vAlign w:val="center"/>
                </w:tcPr>
                <w:p w14:paraId="4017537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color w:val="000000" w:themeColor="text1"/>
                      <w:kern w:val="0"/>
                      <w:sz w:val="21"/>
                      <w:szCs w:val="21"/>
                      <w14:textFill>
                        <w14:solidFill>
                          <w14:schemeClr w14:val="tx1"/>
                        </w14:solidFill>
                      </w14:textFill>
                    </w:rPr>
                    <w:t>生活垃圾</w:t>
                  </w:r>
                </w:p>
              </w:tc>
              <w:tc>
                <w:tcPr>
                  <w:tcW w:w="1185" w:type="pct"/>
                  <w:tcBorders>
                    <w:top w:val="single" w:color="auto" w:sz="4" w:space="0"/>
                    <w:left w:val="single" w:color="auto" w:sz="6" w:space="0"/>
                    <w:bottom w:val="single" w:color="auto" w:sz="4" w:space="0"/>
                    <w:right w:val="nil"/>
                  </w:tcBorders>
                  <w:vAlign w:val="center"/>
                </w:tcPr>
                <w:p w14:paraId="59E8B69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443B78E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4D85CC8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21045FF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3FE14E8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原料包装</w:t>
                  </w:r>
                </w:p>
              </w:tc>
              <w:tc>
                <w:tcPr>
                  <w:tcW w:w="1929" w:type="pct"/>
                  <w:tcBorders>
                    <w:top w:val="single" w:color="auto" w:sz="4" w:space="0"/>
                    <w:left w:val="single" w:color="auto" w:sz="6" w:space="0"/>
                    <w:bottom w:val="single" w:color="auto" w:sz="4" w:space="0"/>
                    <w:right w:val="single" w:color="auto" w:sz="6" w:space="0"/>
                  </w:tcBorders>
                  <w:vAlign w:val="center"/>
                </w:tcPr>
                <w:p w14:paraId="418F8BA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color w:val="000000" w:themeColor="text1"/>
                      <w:kern w:val="0"/>
                      <w:sz w:val="21"/>
                      <w:szCs w:val="21"/>
                      <w14:textFill>
                        <w14:solidFill>
                          <w14:schemeClr w14:val="tx1"/>
                        </w14:solidFill>
                      </w14:textFill>
                    </w:rPr>
                  </w:pPr>
                  <w:r>
                    <w:rPr>
                      <w:rFonts w:hint="eastAsia" w:ascii="宋体" w:hAnsi="宋体"/>
                      <w:color w:val="000000" w:themeColor="text1"/>
                      <w:kern w:val="0"/>
                      <w:sz w:val="21"/>
                      <w:szCs w:val="21"/>
                      <w:lang w:val="en-US" w:eastAsia="zh-CN"/>
                      <w14:textFill>
                        <w14:solidFill>
                          <w14:schemeClr w14:val="tx1"/>
                        </w14:solidFill>
                      </w14:textFill>
                    </w:rPr>
                    <w:t>废包装袋、废包装</w:t>
                  </w:r>
                  <w:r>
                    <w:rPr>
                      <w:rFonts w:hint="eastAsia" w:ascii="宋体" w:hAnsi="宋体"/>
                      <w:color w:val="000000" w:themeColor="text1"/>
                      <w:kern w:val="0"/>
                      <w:sz w:val="21"/>
                      <w:szCs w:val="21"/>
                      <w14:textFill>
                        <w14:solidFill>
                          <w14:schemeClr w14:val="tx1"/>
                        </w14:solidFill>
                      </w14:textFill>
                    </w:rPr>
                    <w:t>桶</w:t>
                  </w:r>
                </w:p>
              </w:tc>
              <w:tc>
                <w:tcPr>
                  <w:tcW w:w="1185" w:type="pct"/>
                  <w:tcBorders>
                    <w:top w:val="single" w:color="auto" w:sz="4" w:space="0"/>
                    <w:left w:val="single" w:color="auto" w:sz="6" w:space="0"/>
                    <w:bottom w:val="single" w:color="auto" w:sz="4" w:space="0"/>
                    <w:right w:val="nil"/>
                  </w:tcBorders>
                  <w:vAlign w:val="center"/>
                </w:tcPr>
                <w:p w14:paraId="3AED7F5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1FE8356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389B4F7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3944CF5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1FD221A8">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脱模</w:t>
                  </w:r>
                </w:p>
              </w:tc>
              <w:tc>
                <w:tcPr>
                  <w:tcW w:w="1929" w:type="pct"/>
                  <w:tcBorders>
                    <w:top w:val="single" w:color="auto" w:sz="4" w:space="0"/>
                    <w:left w:val="single" w:color="auto" w:sz="6" w:space="0"/>
                    <w:bottom w:val="single" w:color="auto" w:sz="4" w:space="0"/>
                    <w:right w:val="single" w:color="auto" w:sz="6" w:space="0"/>
                  </w:tcBorders>
                  <w:vAlign w:val="center"/>
                </w:tcPr>
                <w:p w14:paraId="5B61EB9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废模具</w:t>
                  </w:r>
                </w:p>
              </w:tc>
              <w:tc>
                <w:tcPr>
                  <w:tcW w:w="1185" w:type="pct"/>
                  <w:tcBorders>
                    <w:top w:val="single" w:color="auto" w:sz="4" w:space="0"/>
                    <w:left w:val="single" w:color="auto" w:sz="6" w:space="0"/>
                    <w:bottom w:val="single" w:color="auto" w:sz="4" w:space="0"/>
                    <w:right w:val="nil"/>
                  </w:tcBorders>
                  <w:vAlign w:val="center"/>
                </w:tcPr>
                <w:p w14:paraId="5697FD9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1DE7852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2A55054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1AB79D3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1116A0C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打磨</w:t>
                  </w:r>
                  <w:r>
                    <w:rPr>
                      <w:rFonts w:hint="eastAsia" w:ascii="宋体" w:hAnsi="宋体"/>
                      <w:color w:val="000000" w:themeColor="text1"/>
                      <w:sz w:val="21"/>
                      <w:szCs w:val="21"/>
                      <w14:textFill>
                        <w14:solidFill>
                          <w14:schemeClr w14:val="tx1"/>
                        </w14:solidFill>
                      </w14:textFill>
                    </w:rPr>
                    <w:t>、修边</w:t>
                  </w:r>
                </w:p>
              </w:tc>
              <w:tc>
                <w:tcPr>
                  <w:tcW w:w="1929" w:type="pct"/>
                  <w:tcBorders>
                    <w:top w:val="single" w:color="auto" w:sz="4" w:space="0"/>
                    <w:left w:val="single" w:color="auto" w:sz="6" w:space="0"/>
                    <w:bottom w:val="single" w:color="auto" w:sz="4" w:space="0"/>
                    <w:right w:val="single" w:color="auto" w:sz="6" w:space="0"/>
                  </w:tcBorders>
                  <w:vAlign w:val="center"/>
                </w:tcPr>
                <w:p w14:paraId="2C2266F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边角料</w:t>
                  </w:r>
                </w:p>
              </w:tc>
              <w:tc>
                <w:tcPr>
                  <w:tcW w:w="1185" w:type="pct"/>
                  <w:tcBorders>
                    <w:top w:val="single" w:color="auto" w:sz="4" w:space="0"/>
                    <w:left w:val="single" w:color="auto" w:sz="6" w:space="0"/>
                    <w:bottom w:val="single" w:color="auto" w:sz="4" w:space="0"/>
                    <w:right w:val="nil"/>
                  </w:tcBorders>
                  <w:vAlign w:val="center"/>
                </w:tcPr>
                <w:p w14:paraId="3ED5749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281802B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55ECD68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79EEE84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5D5314C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ascii="宋体" w:hAnsi="宋体"/>
                      <w:bCs/>
                      <w:color w:val="000000" w:themeColor="text1"/>
                      <w:sz w:val="21"/>
                      <w:szCs w:val="21"/>
                      <w14:textFill>
                        <w14:solidFill>
                          <w14:schemeClr w14:val="tx1"/>
                        </w14:solidFill>
                      </w14:textFill>
                    </w:rPr>
                    <w:t>喷漆</w:t>
                  </w:r>
                  <w:r>
                    <w:rPr>
                      <w:rFonts w:hint="eastAsia" w:ascii="宋体" w:hAnsi="宋体"/>
                      <w:bCs/>
                      <w:color w:val="000000" w:themeColor="text1"/>
                      <w:sz w:val="21"/>
                      <w:szCs w:val="21"/>
                      <w:lang w:eastAsia="zh-CN"/>
                      <w14:textFill>
                        <w14:solidFill>
                          <w14:schemeClr w14:val="tx1"/>
                        </w14:solidFill>
                      </w14:textFill>
                    </w:rPr>
                    <w:t>、</w:t>
                  </w:r>
                  <w:r>
                    <w:rPr>
                      <w:rFonts w:hint="eastAsia" w:ascii="宋体" w:hAnsi="宋体"/>
                      <w:bCs/>
                      <w:color w:val="000000" w:themeColor="text1"/>
                      <w:sz w:val="21"/>
                      <w:szCs w:val="21"/>
                      <w:lang w:val="en-US" w:eastAsia="zh-CN"/>
                      <w14:textFill>
                        <w14:solidFill>
                          <w14:schemeClr w14:val="tx1"/>
                        </w14:solidFill>
                      </w14:textFill>
                    </w:rPr>
                    <w:t>喷枪清洗</w:t>
                  </w:r>
                </w:p>
              </w:tc>
              <w:tc>
                <w:tcPr>
                  <w:tcW w:w="1929" w:type="pct"/>
                  <w:tcBorders>
                    <w:top w:val="single" w:color="auto" w:sz="4" w:space="0"/>
                    <w:left w:val="single" w:color="auto" w:sz="6" w:space="0"/>
                    <w:bottom w:val="single" w:color="auto" w:sz="4" w:space="0"/>
                    <w:right w:val="single" w:color="auto" w:sz="6" w:space="0"/>
                  </w:tcBorders>
                  <w:vAlign w:val="center"/>
                </w:tcPr>
                <w:p w14:paraId="5751470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漆渣</w:t>
                  </w:r>
                </w:p>
              </w:tc>
              <w:tc>
                <w:tcPr>
                  <w:tcW w:w="1185" w:type="pct"/>
                  <w:tcBorders>
                    <w:top w:val="single" w:color="auto" w:sz="4" w:space="0"/>
                    <w:left w:val="single" w:color="auto" w:sz="6" w:space="0"/>
                    <w:bottom w:val="single" w:color="auto" w:sz="4" w:space="0"/>
                    <w:right w:val="nil"/>
                  </w:tcBorders>
                  <w:vAlign w:val="center"/>
                </w:tcPr>
                <w:p w14:paraId="641F840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3811052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58244CC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03A15DE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609C664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彩绘</w:t>
                  </w:r>
                </w:p>
              </w:tc>
              <w:tc>
                <w:tcPr>
                  <w:tcW w:w="1929" w:type="pct"/>
                  <w:tcBorders>
                    <w:top w:val="single" w:color="auto" w:sz="4" w:space="0"/>
                    <w:left w:val="single" w:color="auto" w:sz="6" w:space="0"/>
                    <w:bottom w:val="single" w:color="auto" w:sz="4" w:space="0"/>
                    <w:right w:val="single" w:color="auto" w:sz="6" w:space="0"/>
                  </w:tcBorders>
                  <w:vAlign w:val="center"/>
                </w:tcPr>
                <w:p w14:paraId="6B0D435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废</w:t>
                  </w:r>
                  <w:r>
                    <w:rPr>
                      <w:rFonts w:hint="eastAsia" w:ascii="宋体" w:hAnsi="宋体"/>
                      <w:bCs/>
                      <w:color w:val="000000" w:themeColor="text1"/>
                      <w:sz w:val="21"/>
                      <w:szCs w:val="21"/>
                      <w:lang w:val="en-US" w:eastAsia="zh-CN"/>
                      <w14:textFill>
                        <w14:solidFill>
                          <w14:schemeClr w14:val="tx1"/>
                        </w14:solidFill>
                      </w14:textFill>
                    </w:rPr>
                    <w:t>彩绘</w:t>
                  </w:r>
                  <w:r>
                    <w:rPr>
                      <w:rFonts w:hint="eastAsia" w:ascii="宋体" w:hAnsi="宋体"/>
                      <w:bCs/>
                      <w:color w:val="000000" w:themeColor="text1"/>
                      <w:sz w:val="21"/>
                      <w:szCs w:val="21"/>
                      <w14:textFill>
                        <w14:solidFill>
                          <w14:schemeClr w14:val="tx1"/>
                        </w14:solidFill>
                      </w14:textFill>
                    </w:rPr>
                    <w:t>笔</w:t>
                  </w:r>
                </w:p>
              </w:tc>
              <w:tc>
                <w:tcPr>
                  <w:tcW w:w="1185" w:type="pct"/>
                  <w:tcBorders>
                    <w:top w:val="single" w:color="auto" w:sz="4" w:space="0"/>
                    <w:left w:val="single" w:color="auto" w:sz="6" w:space="0"/>
                    <w:bottom w:val="single" w:color="auto" w:sz="4" w:space="0"/>
                    <w:right w:val="nil"/>
                  </w:tcBorders>
                  <w:vAlign w:val="center"/>
                </w:tcPr>
                <w:p w14:paraId="76DDDA6A">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1F02B13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7FFE76C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601F046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20F813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布袋除尘</w:t>
                  </w:r>
                </w:p>
              </w:tc>
              <w:tc>
                <w:tcPr>
                  <w:tcW w:w="1929" w:type="pct"/>
                  <w:tcBorders>
                    <w:top w:val="single" w:color="auto" w:sz="4" w:space="0"/>
                    <w:left w:val="single" w:color="auto" w:sz="6" w:space="0"/>
                    <w:bottom w:val="single" w:color="auto" w:sz="4" w:space="0"/>
                    <w:right w:val="single" w:color="auto" w:sz="6" w:space="0"/>
                  </w:tcBorders>
                  <w:vAlign w:val="center"/>
                </w:tcPr>
                <w:p w14:paraId="67FE847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废布袋、布袋除尘收集尘</w:t>
                  </w:r>
                </w:p>
              </w:tc>
              <w:tc>
                <w:tcPr>
                  <w:tcW w:w="1185" w:type="pct"/>
                  <w:tcBorders>
                    <w:top w:val="single" w:color="auto" w:sz="4" w:space="0"/>
                    <w:left w:val="single" w:color="auto" w:sz="6" w:space="0"/>
                    <w:bottom w:val="single" w:color="auto" w:sz="4" w:space="0"/>
                    <w:right w:val="nil"/>
                  </w:tcBorders>
                  <w:vAlign w:val="center"/>
                </w:tcPr>
                <w:p w14:paraId="2A2D181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2F9145C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2955617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0C6FB60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35777A6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自然沉降</w:t>
                  </w:r>
                </w:p>
              </w:tc>
              <w:tc>
                <w:tcPr>
                  <w:tcW w:w="1929" w:type="pct"/>
                  <w:tcBorders>
                    <w:top w:val="single" w:color="auto" w:sz="4" w:space="0"/>
                    <w:left w:val="single" w:color="auto" w:sz="6" w:space="0"/>
                    <w:bottom w:val="single" w:color="auto" w:sz="4" w:space="0"/>
                    <w:right w:val="single" w:color="auto" w:sz="6" w:space="0"/>
                  </w:tcBorders>
                  <w:vAlign w:val="center"/>
                </w:tcPr>
                <w:p w14:paraId="2A55B80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车间沉降粉尘</w:t>
                  </w:r>
                </w:p>
              </w:tc>
              <w:tc>
                <w:tcPr>
                  <w:tcW w:w="1185" w:type="pct"/>
                  <w:tcBorders>
                    <w:top w:val="single" w:color="auto" w:sz="4" w:space="0"/>
                    <w:left w:val="single" w:color="auto" w:sz="6" w:space="0"/>
                    <w:bottom w:val="single" w:color="auto" w:sz="4" w:space="0"/>
                    <w:right w:val="nil"/>
                  </w:tcBorders>
                  <w:vAlign w:val="center"/>
                </w:tcPr>
                <w:p w14:paraId="30B1A77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r w14:paraId="03EE4CE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7FFCA33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13155598">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66C99F0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过滤棉吸附</w:t>
                  </w:r>
                </w:p>
              </w:tc>
              <w:tc>
                <w:tcPr>
                  <w:tcW w:w="1929" w:type="pct"/>
                  <w:tcBorders>
                    <w:top w:val="single" w:color="auto" w:sz="4" w:space="0"/>
                    <w:left w:val="single" w:color="auto" w:sz="6" w:space="0"/>
                    <w:bottom w:val="single" w:color="auto" w:sz="4" w:space="0"/>
                    <w:right w:val="single" w:color="auto" w:sz="6" w:space="0"/>
                  </w:tcBorders>
                  <w:vAlign w:val="center"/>
                </w:tcPr>
                <w:p w14:paraId="102137D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废过滤棉</w:t>
                  </w:r>
                </w:p>
              </w:tc>
              <w:tc>
                <w:tcPr>
                  <w:tcW w:w="1185" w:type="pct"/>
                  <w:tcBorders>
                    <w:top w:val="single" w:color="auto" w:sz="4" w:space="0"/>
                    <w:left w:val="single" w:color="auto" w:sz="6" w:space="0"/>
                    <w:bottom w:val="single" w:color="auto" w:sz="4" w:space="0"/>
                    <w:right w:val="nil"/>
                  </w:tcBorders>
                  <w:vAlign w:val="center"/>
                </w:tcPr>
                <w:p w14:paraId="4CE2EFD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Cs/>
                      <w:color w:val="000000" w:themeColor="text1"/>
                      <w:sz w:val="21"/>
                      <w:szCs w:val="21"/>
                      <w:lang w:val="en-US" w:eastAsia="zh-CN"/>
                      <w14:textFill>
                        <w14:solidFill>
                          <w14:schemeClr w14:val="tx1"/>
                        </w14:solidFill>
                      </w14:textFill>
                    </w:rPr>
                  </w:pPr>
                </w:p>
              </w:tc>
            </w:tr>
            <w:tr w14:paraId="006F0AB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67C552C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669FC8B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7A8305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二级活性炭吸附</w:t>
                  </w:r>
                </w:p>
              </w:tc>
              <w:tc>
                <w:tcPr>
                  <w:tcW w:w="1929" w:type="pct"/>
                  <w:tcBorders>
                    <w:top w:val="single" w:color="auto" w:sz="4" w:space="0"/>
                    <w:left w:val="single" w:color="auto" w:sz="6" w:space="0"/>
                    <w:bottom w:val="single" w:color="auto" w:sz="4" w:space="0"/>
                    <w:right w:val="single" w:color="auto" w:sz="6" w:space="0"/>
                  </w:tcBorders>
                  <w:vAlign w:val="center"/>
                </w:tcPr>
                <w:p w14:paraId="7A5B58B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废活性炭</w:t>
                  </w:r>
                </w:p>
              </w:tc>
              <w:tc>
                <w:tcPr>
                  <w:tcW w:w="1185" w:type="pct"/>
                  <w:tcBorders>
                    <w:top w:val="single" w:color="auto" w:sz="4" w:space="0"/>
                    <w:left w:val="single" w:color="auto" w:sz="6" w:space="0"/>
                    <w:bottom w:val="single" w:color="auto" w:sz="4" w:space="0"/>
                    <w:right w:val="nil"/>
                  </w:tcBorders>
                  <w:vAlign w:val="center"/>
                </w:tcPr>
                <w:p w14:paraId="7819CB4D">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bCs/>
                      <w:color w:val="000000" w:themeColor="text1"/>
                      <w:sz w:val="21"/>
                      <w:szCs w:val="21"/>
                      <w:lang w:val="en-US" w:eastAsia="zh-CN"/>
                      <w14:textFill>
                        <w14:solidFill>
                          <w14:schemeClr w14:val="tx1"/>
                        </w14:solidFill>
                      </w14:textFill>
                    </w:rPr>
                  </w:pPr>
                </w:p>
              </w:tc>
            </w:tr>
            <w:tr w14:paraId="7E9135C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3" w:hRule="atLeast"/>
                <w:jc w:val="center"/>
              </w:trPr>
              <w:tc>
                <w:tcPr>
                  <w:tcW w:w="323" w:type="pct"/>
                  <w:vMerge w:val="continue"/>
                  <w:tcBorders>
                    <w:top w:val="single" w:color="auto" w:sz="4" w:space="0"/>
                    <w:left w:val="nil"/>
                    <w:bottom w:val="single" w:color="auto" w:sz="4" w:space="0"/>
                    <w:right w:val="single" w:color="auto" w:sz="6" w:space="0"/>
                  </w:tcBorders>
                  <w:vAlign w:val="center"/>
                </w:tcPr>
                <w:p w14:paraId="6A83607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514" w:type="pct"/>
                  <w:vMerge w:val="continue"/>
                  <w:tcBorders>
                    <w:top w:val="single" w:color="auto" w:sz="4" w:space="0"/>
                    <w:left w:val="single" w:color="auto" w:sz="6" w:space="0"/>
                    <w:bottom w:val="single" w:color="auto" w:sz="4" w:space="0"/>
                    <w:right w:val="single" w:color="auto" w:sz="6" w:space="0"/>
                  </w:tcBorders>
                  <w:vAlign w:val="center"/>
                </w:tcPr>
                <w:p w14:paraId="67E9D7A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p>
              </w:tc>
              <w:tc>
                <w:tcPr>
                  <w:tcW w:w="1046" w:type="pct"/>
                  <w:tcBorders>
                    <w:top w:val="single" w:color="auto" w:sz="4" w:space="0"/>
                    <w:left w:val="single" w:color="auto" w:sz="6" w:space="0"/>
                    <w:bottom w:val="single" w:color="auto" w:sz="4" w:space="0"/>
                    <w:right w:val="single" w:color="auto" w:sz="6" w:space="0"/>
                  </w:tcBorders>
                  <w:vAlign w:val="center"/>
                </w:tcPr>
                <w:p w14:paraId="1103C4C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Cs/>
                      <w:color w:val="000000" w:themeColor="text1"/>
                      <w:sz w:val="21"/>
                      <w:szCs w:val="21"/>
                      <w14:textFill>
                        <w14:solidFill>
                          <w14:schemeClr w14:val="tx1"/>
                        </w14:solidFill>
                      </w14:textFill>
                    </w:rPr>
                  </w:pPr>
                  <w:r>
                    <w:rPr>
                      <w:rFonts w:ascii="宋体" w:hAnsi="宋体"/>
                      <w:bCs/>
                      <w:color w:val="000000" w:themeColor="text1"/>
                      <w:sz w:val="21"/>
                      <w:szCs w:val="21"/>
                      <w14:textFill>
                        <w14:solidFill>
                          <w14:schemeClr w14:val="tx1"/>
                        </w14:solidFill>
                      </w14:textFill>
                    </w:rPr>
                    <w:t>设备保养</w:t>
                  </w:r>
                </w:p>
              </w:tc>
              <w:tc>
                <w:tcPr>
                  <w:tcW w:w="1929" w:type="pct"/>
                  <w:tcBorders>
                    <w:top w:val="single" w:color="auto" w:sz="4" w:space="0"/>
                    <w:left w:val="single" w:color="auto" w:sz="6" w:space="0"/>
                    <w:bottom w:val="single" w:color="auto" w:sz="4" w:space="0"/>
                    <w:right w:val="single" w:color="auto" w:sz="6" w:space="0"/>
                  </w:tcBorders>
                  <w:vAlign w:val="center"/>
                </w:tcPr>
                <w:p w14:paraId="58A06087">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bCs/>
                      <w:color w:val="000000" w:themeColor="text1"/>
                      <w:sz w:val="21"/>
                      <w:szCs w:val="21"/>
                      <w:lang w:val="en-US" w:eastAsia="zh-CN"/>
                      <w14:textFill>
                        <w14:solidFill>
                          <w14:schemeClr w14:val="tx1"/>
                        </w14:solidFill>
                      </w14:textFill>
                    </w:rPr>
                  </w:pPr>
                  <w:r>
                    <w:rPr>
                      <w:rFonts w:ascii="宋体" w:hAnsi="宋体"/>
                      <w:bCs/>
                      <w:color w:val="000000" w:themeColor="text1"/>
                      <w:sz w:val="21"/>
                      <w:szCs w:val="21"/>
                      <w14:textFill>
                        <w14:solidFill>
                          <w14:schemeClr w14:val="tx1"/>
                        </w14:solidFill>
                      </w14:textFill>
                    </w:rPr>
                    <w:t>废</w:t>
                  </w:r>
                  <w:r>
                    <w:rPr>
                      <w:rFonts w:hint="eastAsia" w:ascii="宋体" w:hAnsi="宋体"/>
                      <w:bCs/>
                      <w:color w:val="000000" w:themeColor="text1"/>
                      <w:sz w:val="21"/>
                      <w:szCs w:val="21"/>
                      <w:lang w:val="en-US" w:eastAsia="zh-CN"/>
                      <w14:textFill>
                        <w14:solidFill>
                          <w14:schemeClr w14:val="tx1"/>
                        </w14:solidFill>
                      </w14:textFill>
                    </w:rPr>
                    <w:t>机油</w:t>
                  </w:r>
                  <w:r>
                    <w:rPr>
                      <w:rFonts w:hint="eastAsia" w:ascii="宋体" w:hAnsi="宋体"/>
                      <w:bCs/>
                      <w:color w:val="000000" w:themeColor="text1"/>
                      <w:sz w:val="21"/>
                      <w:szCs w:val="21"/>
                      <w14:textFill>
                        <w14:solidFill>
                          <w14:schemeClr w14:val="tx1"/>
                        </w14:solidFill>
                      </w14:textFill>
                    </w:rPr>
                    <w:t>、</w:t>
                  </w:r>
                  <w:r>
                    <w:rPr>
                      <w:rFonts w:hint="eastAsia" w:ascii="宋体" w:hAnsi="宋体"/>
                      <w:bCs/>
                      <w:color w:val="000000" w:themeColor="text1"/>
                      <w:sz w:val="21"/>
                      <w:szCs w:val="21"/>
                      <w:lang w:val="en-US" w:eastAsia="zh-CN"/>
                      <w14:textFill>
                        <w14:solidFill>
                          <w14:schemeClr w14:val="tx1"/>
                        </w14:solidFill>
                      </w14:textFill>
                    </w:rPr>
                    <w:t>废机油桶、</w:t>
                  </w:r>
                  <w:r>
                    <w:rPr>
                      <w:rFonts w:hint="eastAsia" w:ascii="宋体" w:hAnsi="宋体"/>
                      <w:bCs/>
                      <w:color w:val="000000" w:themeColor="text1"/>
                      <w:sz w:val="21"/>
                      <w:szCs w:val="21"/>
                      <w14:textFill>
                        <w14:solidFill>
                          <w14:schemeClr w14:val="tx1"/>
                        </w14:solidFill>
                      </w14:textFill>
                    </w:rPr>
                    <w:t>含油废抹布及</w:t>
                  </w:r>
                  <w:r>
                    <w:rPr>
                      <w:rFonts w:hint="eastAsia" w:ascii="宋体" w:hAnsi="宋体"/>
                      <w:bCs/>
                      <w:color w:val="000000" w:themeColor="text1"/>
                      <w:sz w:val="21"/>
                      <w:szCs w:val="21"/>
                      <w:lang w:val="en-US" w:eastAsia="zh-CN"/>
                      <w14:textFill>
                        <w14:solidFill>
                          <w14:schemeClr w14:val="tx1"/>
                        </w14:solidFill>
                      </w14:textFill>
                    </w:rPr>
                    <w:t>劳保用品</w:t>
                  </w:r>
                </w:p>
              </w:tc>
              <w:tc>
                <w:tcPr>
                  <w:tcW w:w="1185" w:type="pct"/>
                  <w:tcBorders>
                    <w:top w:val="single" w:color="auto" w:sz="4" w:space="0"/>
                    <w:left w:val="single" w:color="auto" w:sz="6" w:space="0"/>
                    <w:bottom w:val="single" w:color="auto" w:sz="4" w:space="0"/>
                    <w:right w:val="nil"/>
                  </w:tcBorders>
                  <w:vAlign w:val="center"/>
                </w:tcPr>
                <w:p w14:paraId="1BA40645">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w:t>
                  </w:r>
                </w:p>
              </w:tc>
            </w:tr>
          </w:tbl>
          <w:p w14:paraId="773CDE73">
            <w:pPr>
              <w:pStyle w:val="45"/>
              <w:keepNext w:val="0"/>
              <w:keepLines w:val="0"/>
              <w:pageBreakBefore w:val="0"/>
              <w:widowControl w:val="0"/>
              <w:kinsoku/>
              <w:wordWrap/>
              <w:overflowPunct/>
              <w:topLinePunct w:val="0"/>
              <w:autoSpaceDE w:val="0"/>
              <w:autoSpaceDN w:val="0"/>
              <w:bidi w:val="0"/>
              <w:adjustRightInd w:val="0"/>
              <w:snapToGrid/>
              <w:spacing w:before="157" w:beforeLines="50" w:line="360" w:lineRule="auto"/>
              <w:textAlignment w:val="auto"/>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3、物料平衡</w:t>
            </w:r>
          </w:p>
          <w:p w14:paraId="789EBFFB">
            <w:pPr>
              <w:pStyle w:val="35"/>
              <w:ind w:left="0" w:leftChars="0" w:firstLine="0" w:firstLineChars="0"/>
              <w:jc w:val="center"/>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511800" cy="5187950"/>
                  <wp:effectExtent l="0" t="0" r="12700" b="12700"/>
                  <wp:docPr id="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pic:cNvPicPr>
                            <a:picLocks noChangeAspect="1"/>
                          </pic:cNvPicPr>
                        </pic:nvPicPr>
                        <pic:blipFill>
                          <a:blip r:embed="rId27"/>
                          <a:stretch>
                            <a:fillRect/>
                          </a:stretch>
                        </pic:blipFill>
                        <pic:spPr>
                          <a:xfrm>
                            <a:off x="0" y="0"/>
                            <a:ext cx="5511800" cy="5187950"/>
                          </a:xfrm>
                          <a:prstGeom prst="rect">
                            <a:avLst/>
                          </a:prstGeom>
                          <a:noFill/>
                          <a:ln>
                            <a:noFill/>
                          </a:ln>
                        </pic:spPr>
                      </pic:pic>
                    </a:graphicData>
                  </a:graphic>
                </wp:inline>
              </w:drawing>
            </w:r>
          </w:p>
          <w:p w14:paraId="3DCA4EC0">
            <w:pPr>
              <w:pStyle w:val="58"/>
              <w:keepNext w:val="0"/>
              <w:keepLines w:val="0"/>
              <w:pageBreakBefore w:val="0"/>
              <w:widowControl w:val="0"/>
              <w:numPr>
                <w:ilvl w:val="4"/>
                <w:numId w:val="19"/>
              </w:numPr>
              <w:kinsoku/>
              <w:wordWrap/>
              <w:overflowPunct/>
              <w:topLinePunct w:val="0"/>
              <w:autoSpaceDE/>
              <w:autoSpaceDN/>
              <w:bidi w:val="0"/>
              <w:adjustRightInd w:val="0"/>
              <w:snapToGrid w:val="0"/>
              <w:spacing w:after="0" w:afterLines="0"/>
              <w:ind w:firstLine="422" w:firstLineChars="200"/>
              <w:textAlignment w:val="auto"/>
              <w:rPr>
                <w:rFonts w:hint="default"/>
                <w:color w:val="000000" w:themeColor="text1"/>
                <w:sz w:val="24"/>
                <w:szCs w:val="24"/>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项目物料平衡图（t/a）</w:t>
            </w:r>
          </w:p>
          <w:p w14:paraId="510EC63D">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after="0" w:afterLines="0"/>
              <w:ind w:leftChars="200"/>
              <w:jc w:val="both"/>
              <w:textAlignment w:val="auto"/>
              <w:rPr>
                <w:rFonts w:hint="default"/>
                <w:color w:val="000000" w:themeColor="text1"/>
                <w:sz w:val="24"/>
                <w:szCs w:val="24"/>
                <w:lang w:val="en-US" w:eastAsia="zh-CN"/>
                <w14:textFill>
                  <w14:solidFill>
                    <w14:schemeClr w14:val="tx1"/>
                  </w14:solidFill>
                </w14:textFill>
              </w:rPr>
            </w:pPr>
          </w:p>
          <w:p w14:paraId="4C330333">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after="0" w:afterLines="0"/>
              <w:ind w:leftChars="200"/>
              <w:jc w:val="both"/>
              <w:textAlignment w:val="auto"/>
              <w:rPr>
                <w:rFonts w:hint="default"/>
                <w:color w:val="000000" w:themeColor="text1"/>
                <w:sz w:val="24"/>
                <w:szCs w:val="24"/>
                <w:lang w:val="en-US" w:eastAsia="zh-CN"/>
                <w14:textFill>
                  <w14:solidFill>
                    <w14:schemeClr w14:val="tx1"/>
                  </w14:solidFill>
                </w14:textFill>
              </w:rPr>
            </w:pPr>
          </w:p>
          <w:p w14:paraId="6E896FA0">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after="0" w:afterLines="0"/>
              <w:jc w:val="both"/>
              <w:textAlignment w:val="auto"/>
              <w:rPr>
                <w:rFonts w:hint="default"/>
                <w:color w:val="000000" w:themeColor="text1"/>
                <w:sz w:val="24"/>
                <w:szCs w:val="24"/>
                <w:lang w:val="en-US" w:eastAsia="zh-CN"/>
                <w14:textFill>
                  <w14:solidFill>
                    <w14:schemeClr w14:val="tx1"/>
                  </w14:solidFill>
                </w14:textFill>
              </w:rPr>
            </w:pPr>
          </w:p>
          <w:p w14:paraId="4EB66F31">
            <w:pPr>
              <w:pStyle w:val="57"/>
              <w:numPr>
                <w:ilvl w:val="3"/>
                <w:numId w:val="19"/>
              </w:numPr>
              <w:rPr>
                <w:rFonts w:hint="eastAsia" w:eastAsia="宋体"/>
                <w:color w:val="000000" w:themeColor="text1"/>
                <w:kern w:val="0"/>
                <w:sz w:val="21"/>
                <w:szCs w:val="21"/>
                <w:lang w:val="en-US" w:eastAsia="zh-CN" w:bidi="en-US"/>
                <w14:textFill>
                  <w14:solidFill>
                    <w14:schemeClr w14:val="tx1"/>
                  </w14:solidFill>
                </w14:textFill>
              </w:rPr>
            </w:pPr>
            <w:r>
              <w:rPr>
                <w:rFonts w:hint="eastAsia" w:eastAsia="宋体"/>
                <w:color w:val="000000" w:themeColor="text1"/>
                <w:kern w:val="0"/>
                <w:sz w:val="21"/>
                <w:szCs w:val="21"/>
                <w:lang w:val="en-US" w:eastAsia="zh-CN" w:bidi="en-US"/>
                <w14:textFill>
                  <w14:solidFill>
                    <w14:schemeClr w14:val="tx1"/>
                  </w14:solidFill>
                </w14:textFill>
              </w:rPr>
              <w:t>项目物料平衡表</w:t>
            </w:r>
          </w:p>
          <w:tbl>
            <w:tblPr>
              <w:tblStyle w:val="36"/>
              <w:tblW w:w="8519"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Layout w:type="autofit"/>
              <w:tblCellMar>
                <w:top w:w="0" w:type="dxa"/>
                <w:left w:w="108" w:type="dxa"/>
                <w:bottom w:w="0" w:type="dxa"/>
                <w:right w:w="108" w:type="dxa"/>
              </w:tblCellMar>
            </w:tblPr>
            <w:tblGrid>
              <w:gridCol w:w="1585"/>
              <w:gridCol w:w="1283"/>
              <w:gridCol w:w="941"/>
              <w:gridCol w:w="1282"/>
              <w:gridCol w:w="2143"/>
              <w:gridCol w:w="1285"/>
            </w:tblGrid>
            <w:tr w14:paraId="6E94AE7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2868" w:type="dxa"/>
                  <w:gridSpan w:val="2"/>
                  <w:tcBorders>
                    <w:tl2br w:val="nil"/>
                    <w:tr2bl w:val="nil"/>
                  </w:tcBorders>
                  <w:shd w:val="clear" w:color="auto" w:fill="auto"/>
                  <w:vAlign w:val="center"/>
                </w:tcPr>
                <w:p w14:paraId="6588E2F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themeColor="text1"/>
                      <w:sz w:val="21"/>
                      <w:szCs w:val="21"/>
                      <w:u w:val="none"/>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投入</w:t>
                  </w:r>
                </w:p>
              </w:tc>
              <w:tc>
                <w:tcPr>
                  <w:tcW w:w="5651" w:type="dxa"/>
                  <w:gridSpan w:val="4"/>
                  <w:tcBorders>
                    <w:tl2br w:val="nil"/>
                    <w:tr2bl w:val="nil"/>
                  </w:tcBorders>
                  <w:shd w:val="clear" w:color="auto" w:fill="auto"/>
                  <w:vAlign w:val="center"/>
                </w:tcPr>
                <w:p w14:paraId="7F4A374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themeColor="text1"/>
                      <w:sz w:val="21"/>
                      <w:szCs w:val="21"/>
                      <w:u w:val="none"/>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产出</w:t>
                  </w:r>
                </w:p>
              </w:tc>
            </w:tr>
            <w:tr w14:paraId="07DB4FF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2CA331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themeColor="text1"/>
                      <w:sz w:val="21"/>
                      <w:szCs w:val="21"/>
                      <w:u w:val="none"/>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物料</w:t>
                  </w:r>
                </w:p>
              </w:tc>
              <w:tc>
                <w:tcPr>
                  <w:tcW w:w="1283" w:type="dxa"/>
                  <w:tcBorders>
                    <w:tl2br w:val="nil"/>
                    <w:tr2bl w:val="nil"/>
                  </w:tcBorders>
                  <w:shd w:val="clear" w:color="auto" w:fill="auto"/>
                  <w:vAlign w:val="center"/>
                </w:tcPr>
                <w:p w14:paraId="1AE6686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themeColor="text1"/>
                      <w:sz w:val="21"/>
                      <w:szCs w:val="21"/>
                      <w:u w:val="none"/>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物料量</w:t>
                  </w:r>
                  <w: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t>t/a</w:t>
                  </w:r>
                </w:p>
              </w:tc>
              <w:tc>
                <w:tcPr>
                  <w:tcW w:w="4366" w:type="dxa"/>
                  <w:gridSpan w:val="3"/>
                  <w:tcBorders>
                    <w:tl2br w:val="nil"/>
                    <w:tr2bl w:val="nil"/>
                  </w:tcBorders>
                  <w:shd w:val="clear" w:color="auto" w:fill="auto"/>
                  <w:vAlign w:val="center"/>
                </w:tcPr>
                <w:p w14:paraId="7EFA4D3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themeColor="text1"/>
                      <w:sz w:val="21"/>
                      <w:szCs w:val="21"/>
                      <w:u w:val="none"/>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物料</w:t>
                  </w:r>
                </w:p>
              </w:tc>
              <w:tc>
                <w:tcPr>
                  <w:tcW w:w="1285" w:type="dxa"/>
                  <w:tcBorders>
                    <w:tl2br w:val="nil"/>
                    <w:tr2bl w:val="nil"/>
                  </w:tcBorders>
                  <w:shd w:val="clear" w:color="auto" w:fill="auto"/>
                  <w:vAlign w:val="center"/>
                </w:tcPr>
                <w:p w14:paraId="4098A54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bCs/>
                      <w:i w:val="0"/>
                      <w:iCs w:val="0"/>
                      <w:color w:val="000000" w:themeColor="text1"/>
                      <w:sz w:val="21"/>
                      <w:szCs w:val="21"/>
                      <w:u w:val="none"/>
                      <w14:textFill>
                        <w14:solidFill>
                          <w14:schemeClr w14:val="tx1"/>
                        </w14:solidFill>
                      </w14:textFill>
                    </w:rPr>
                  </w:pPr>
                  <w:r>
                    <w:rPr>
                      <w:rFonts w:hint="eastAsia" w:ascii="宋体" w:hAnsi="宋体" w:eastAsia="宋体" w:cs="宋体"/>
                      <w:b/>
                      <w:bCs/>
                      <w:i w:val="0"/>
                      <w:iCs w:val="0"/>
                      <w:color w:val="000000" w:themeColor="text1"/>
                      <w:kern w:val="0"/>
                      <w:sz w:val="21"/>
                      <w:szCs w:val="21"/>
                      <w:u w:val="none"/>
                      <w:lang w:val="en-US" w:eastAsia="zh-CN" w:bidi="ar"/>
                      <w14:textFill>
                        <w14:solidFill>
                          <w14:schemeClr w14:val="tx1"/>
                        </w14:solidFill>
                      </w14:textFill>
                    </w:rPr>
                    <w:t>物料量</w:t>
                  </w:r>
                  <w:r>
                    <w:rPr>
                      <w:rFonts w:hint="default" w:ascii="Times New Roman" w:hAnsi="Times New Roman" w:eastAsia="宋体" w:cs="Times New Roman"/>
                      <w:b/>
                      <w:bCs/>
                      <w:i w:val="0"/>
                      <w:iCs w:val="0"/>
                      <w:color w:val="000000" w:themeColor="text1"/>
                      <w:kern w:val="0"/>
                      <w:sz w:val="21"/>
                      <w:szCs w:val="21"/>
                      <w:u w:val="none"/>
                      <w:lang w:val="en-US" w:eastAsia="zh-CN" w:bidi="ar"/>
                      <w14:textFill>
                        <w14:solidFill>
                          <w14:schemeClr w14:val="tx1"/>
                        </w14:solidFill>
                      </w14:textFill>
                    </w:rPr>
                    <w:t>t/a</w:t>
                  </w:r>
                </w:p>
              </w:tc>
            </w:tr>
            <w:tr w14:paraId="3CF0507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784BA47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硅胶</w:t>
                  </w:r>
                </w:p>
              </w:tc>
              <w:tc>
                <w:tcPr>
                  <w:tcW w:w="1283" w:type="dxa"/>
                  <w:tcBorders>
                    <w:tl2br w:val="nil"/>
                    <w:tr2bl w:val="nil"/>
                  </w:tcBorders>
                  <w:shd w:val="clear" w:color="auto" w:fill="auto"/>
                  <w:vAlign w:val="center"/>
                </w:tcPr>
                <w:p w14:paraId="67E4EC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w:t>
                  </w:r>
                </w:p>
              </w:tc>
              <w:tc>
                <w:tcPr>
                  <w:tcW w:w="941" w:type="dxa"/>
                  <w:vMerge w:val="restart"/>
                  <w:tcBorders>
                    <w:tl2br w:val="nil"/>
                    <w:tr2bl w:val="nil"/>
                  </w:tcBorders>
                  <w:shd w:val="clear" w:color="auto" w:fill="auto"/>
                  <w:vAlign w:val="center"/>
                </w:tcPr>
                <w:p w14:paraId="75DA9A8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废气</w:t>
                  </w:r>
                </w:p>
              </w:tc>
              <w:tc>
                <w:tcPr>
                  <w:tcW w:w="1282" w:type="dxa"/>
                  <w:vMerge w:val="restart"/>
                  <w:tcBorders>
                    <w:tl2br w:val="nil"/>
                    <w:tr2bl w:val="nil"/>
                  </w:tcBorders>
                  <w:shd w:val="clear" w:color="auto" w:fill="auto"/>
                  <w:vAlign w:val="center"/>
                </w:tcPr>
                <w:p w14:paraId="4049B8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石膏投料粉尘</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G1</w:t>
                  </w:r>
                </w:p>
              </w:tc>
              <w:tc>
                <w:tcPr>
                  <w:tcW w:w="2143" w:type="dxa"/>
                  <w:tcBorders>
                    <w:tl2br w:val="nil"/>
                    <w:tr2bl w:val="nil"/>
                  </w:tcBorders>
                  <w:shd w:val="clear" w:color="auto" w:fill="auto"/>
                  <w:vAlign w:val="center"/>
                </w:tcPr>
                <w:p w14:paraId="2433AD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无组织颗粒物排放</w:t>
                  </w:r>
                </w:p>
              </w:tc>
              <w:tc>
                <w:tcPr>
                  <w:tcW w:w="1285" w:type="dxa"/>
                  <w:tcBorders>
                    <w:tl2br w:val="nil"/>
                    <w:tr2bl w:val="nil"/>
                  </w:tcBorders>
                  <w:shd w:val="clear" w:color="auto" w:fill="auto"/>
                  <w:vAlign w:val="center"/>
                </w:tcPr>
                <w:p w14:paraId="254787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7.08E-05</w:t>
                  </w:r>
                </w:p>
              </w:tc>
            </w:tr>
            <w:tr w14:paraId="70652FB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0B14FA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石膏</w:t>
                  </w:r>
                </w:p>
              </w:tc>
              <w:tc>
                <w:tcPr>
                  <w:tcW w:w="1283" w:type="dxa"/>
                  <w:tcBorders>
                    <w:tl2br w:val="nil"/>
                    <w:tr2bl w:val="nil"/>
                  </w:tcBorders>
                  <w:shd w:val="clear" w:color="auto" w:fill="auto"/>
                  <w:vAlign w:val="center"/>
                </w:tcPr>
                <w:p w14:paraId="37A167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w:t>
                  </w:r>
                </w:p>
              </w:tc>
              <w:tc>
                <w:tcPr>
                  <w:tcW w:w="941" w:type="dxa"/>
                  <w:vMerge w:val="continue"/>
                  <w:tcBorders>
                    <w:tl2br w:val="nil"/>
                    <w:tr2bl w:val="nil"/>
                  </w:tcBorders>
                  <w:shd w:val="clear" w:color="auto" w:fill="auto"/>
                  <w:vAlign w:val="center"/>
                </w:tcPr>
                <w:p w14:paraId="7D3DAC32">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24F2B4D5">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73A841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自然沉降</w:t>
                  </w:r>
                </w:p>
              </w:tc>
              <w:tc>
                <w:tcPr>
                  <w:tcW w:w="1285" w:type="dxa"/>
                  <w:tcBorders>
                    <w:tl2br w:val="nil"/>
                    <w:tr2bl w:val="nil"/>
                  </w:tcBorders>
                  <w:shd w:val="clear" w:color="auto" w:fill="auto"/>
                  <w:vAlign w:val="center"/>
                </w:tcPr>
                <w:p w14:paraId="2D9886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1.06E-04</w:t>
                  </w:r>
                </w:p>
              </w:tc>
            </w:tr>
            <w:tr w14:paraId="7D90401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7484FE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不饱和聚酯树脂</w:t>
                  </w:r>
                </w:p>
              </w:tc>
              <w:tc>
                <w:tcPr>
                  <w:tcW w:w="1283" w:type="dxa"/>
                  <w:tcBorders>
                    <w:tl2br w:val="nil"/>
                    <w:tr2bl w:val="nil"/>
                  </w:tcBorders>
                  <w:shd w:val="clear" w:color="auto" w:fill="auto"/>
                  <w:vAlign w:val="center"/>
                </w:tcPr>
                <w:p w14:paraId="517F8E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50</w:t>
                  </w:r>
                </w:p>
              </w:tc>
              <w:tc>
                <w:tcPr>
                  <w:tcW w:w="941" w:type="dxa"/>
                  <w:vMerge w:val="continue"/>
                  <w:tcBorders>
                    <w:tl2br w:val="nil"/>
                    <w:tr2bl w:val="nil"/>
                  </w:tcBorders>
                  <w:shd w:val="clear" w:color="auto" w:fill="auto"/>
                  <w:vAlign w:val="center"/>
                </w:tcPr>
                <w:p w14:paraId="112C9479">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restart"/>
                  <w:tcBorders>
                    <w:tl2br w:val="nil"/>
                    <w:tr2bl w:val="nil"/>
                  </w:tcBorders>
                  <w:shd w:val="clear" w:color="auto" w:fill="auto"/>
                  <w:vAlign w:val="center"/>
                </w:tcPr>
                <w:p w14:paraId="6B3705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石粉投料粉尘</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G2</w:t>
                  </w:r>
                </w:p>
              </w:tc>
              <w:tc>
                <w:tcPr>
                  <w:tcW w:w="2143" w:type="dxa"/>
                  <w:tcBorders>
                    <w:tl2br w:val="nil"/>
                    <w:tr2bl w:val="nil"/>
                  </w:tcBorders>
                  <w:shd w:val="clear" w:color="auto" w:fill="auto"/>
                  <w:vAlign w:val="center"/>
                </w:tcPr>
                <w:p w14:paraId="09824B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无组织颗粒物排放</w:t>
                  </w:r>
                </w:p>
              </w:tc>
              <w:tc>
                <w:tcPr>
                  <w:tcW w:w="1285" w:type="dxa"/>
                  <w:tcBorders>
                    <w:tl2br w:val="nil"/>
                    <w:tr2bl w:val="nil"/>
                  </w:tcBorders>
                  <w:shd w:val="clear" w:color="auto" w:fill="auto"/>
                  <w:vAlign w:val="center"/>
                </w:tcPr>
                <w:p w14:paraId="73D2FD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0.002</w:t>
                  </w:r>
                </w:p>
              </w:tc>
            </w:tr>
            <w:tr w14:paraId="627CA79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7FA4BAD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石粉</w:t>
                  </w:r>
                </w:p>
              </w:tc>
              <w:tc>
                <w:tcPr>
                  <w:tcW w:w="1283" w:type="dxa"/>
                  <w:tcBorders>
                    <w:tl2br w:val="nil"/>
                    <w:tr2bl w:val="nil"/>
                  </w:tcBorders>
                  <w:shd w:val="clear" w:color="auto" w:fill="auto"/>
                  <w:vAlign w:val="center"/>
                </w:tcPr>
                <w:p w14:paraId="7BAAC41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40</w:t>
                  </w:r>
                </w:p>
              </w:tc>
              <w:tc>
                <w:tcPr>
                  <w:tcW w:w="941" w:type="dxa"/>
                  <w:vMerge w:val="continue"/>
                  <w:tcBorders>
                    <w:tl2br w:val="nil"/>
                    <w:tr2bl w:val="nil"/>
                  </w:tcBorders>
                  <w:shd w:val="clear" w:color="auto" w:fill="auto"/>
                  <w:vAlign w:val="center"/>
                </w:tcPr>
                <w:p w14:paraId="08F62E49">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6C56FC41">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4E52B17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自然沉降</w:t>
                  </w:r>
                </w:p>
              </w:tc>
              <w:tc>
                <w:tcPr>
                  <w:tcW w:w="1285" w:type="dxa"/>
                  <w:tcBorders>
                    <w:tl2br w:val="nil"/>
                    <w:tr2bl w:val="nil"/>
                  </w:tcBorders>
                  <w:shd w:val="clear" w:color="auto" w:fill="auto"/>
                  <w:vAlign w:val="center"/>
                </w:tcPr>
                <w:p w14:paraId="73916C2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0.003</w:t>
                  </w:r>
                </w:p>
              </w:tc>
            </w:tr>
            <w:tr w14:paraId="0FC563A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0A11E0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固化剂</w:t>
                  </w:r>
                </w:p>
              </w:tc>
              <w:tc>
                <w:tcPr>
                  <w:tcW w:w="1283" w:type="dxa"/>
                  <w:tcBorders>
                    <w:tl2br w:val="nil"/>
                    <w:tr2bl w:val="nil"/>
                  </w:tcBorders>
                  <w:shd w:val="clear" w:color="auto" w:fill="auto"/>
                  <w:vAlign w:val="center"/>
                </w:tcPr>
                <w:p w14:paraId="527EE35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0.5</w:t>
                  </w:r>
                </w:p>
              </w:tc>
              <w:tc>
                <w:tcPr>
                  <w:tcW w:w="941" w:type="dxa"/>
                  <w:vMerge w:val="continue"/>
                  <w:tcBorders>
                    <w:tl2br w:val="nil"/>
                    <w:tr2bl w:val="nil"/>
                  </w:tcBorders>
                  <w:shd w:val="clear" w:color="auto" w:fill="auto"/>
                  <w:vAlign w:val="center"/>
                </w:tcPr>
                <w:p w14:paraId="6B9EDDEA">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restart"/>
                  <w:tcBorders>
                    <w:tl2br w:val="nil"/>
                    <w:tr2bl w:val="nil"/>
                  </w:tcBorders>
                  <w:shd w:val="clear" w:color="auto" w:fill="auto"/>
                  <w:vAlign w:val="center"/>
                </w:tcPr>
                <w:p w14:paraId="0511A27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搅浆、注浆、成型废气</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G3</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G4</w:t>
                  </w:r>
                </w:p>
              </w:tc>
              <w:tc>
                <w:tcPr>
                  <w:tcW w:w="2143" w:type="dxa"/>
                  <w:tcBorders>
                    <w:tl2br w:val="nil"/>
                    <w:tr2bl w:val="nil"/>
                  </w:tcBorders>
                  <w:shd w:val="clear" w:color="auto" w:fill="auto"/>
                  <w:vAlign w:val="center"/>
                </w:tcPr>
                <w:p w14:paraId="162EA8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活性炭吸附</w:t>
                  </w:r>
                </w:p>
              </w:tc>
              <w:tc>
                <w:tcPr>
                  <w:tcW w:w="1285" w:type="dxa"/>
                  <w:tcBorders>
                    <w:tl2br w:val="nil"/>
                    <w:tr2bl w:val="nil"/>
                  </w:tcBorders>
                  <w:shd w:val="clear" w:color="auto" w:fill="auto"/>
                  <w:vAlign w:val="center"/>
                </w:tcPr>
                <w:p w14:paraId="15FB17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w:t>
                  </w:r>
                  <w:r>
                    <w:rPr>
                      <w:rFonts w:hint="eastAsia" w:cs="Times New Roman"/>
                      <w:i w:val="0"/>
                      <w:iCs w:val="0"/>
                      <w:color w:val="000000" w:themeColor="text1"/>
                      <w:kern w:val="0"/>
                      <w:sz w:val="21"/>
                      <w:szCs w:val="21"/>
                      <w:u w:val="none"/>
                      <w:lang w:val="en-US" w:eastAsia="zh-CN" w:bidi="ar"/>
                      <w14:textFill>
                        <w14:solidFill>
                          <w14:schemeClr w14:val="tx1"/>
                        </w14:solidFill>
                      </w14:textFill>
                    </w:rPr>
                    <w:t>234</w:t>
                  </w:r>
                </w:p>
              </w:tc>
            </w:tr>
            <w:tr w14:paraId="2F4EB2A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278B655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促进剂</w:t>
                  </w:r>
                </w:p>
              </w:tc>
              <w:tc>
                <w:tcPr>
                  <w:tcW w:w="1283" w:type="dxa"/>
                  <w:tcBorders>
                    <w:tl2br w:val="nil"/>
                    <w:tr2bl w:val="nil"/>
                  </w:tcBorders>
                  <w:shd w:val="clear" w:color="auto" w:fill="auto"/>
                  <w:vAlign w:val="center"/>
                </w:tcPr>
                <w:p w14:paraId="52EE034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w:t>
                  </w:r>
                </w:p>
              </w:tc>
              <w:tc>
                <w:tcPr>
                  <w:tcW w:w="941" w:type="dxa"/>
                  <w:vMerge w:val="continue"/>
                  <w:tcBorders>
                    <w:tl2br w:val="nil"/>
                    <w:tr2bl w:val="nil"/>
                  </w:tcBorders>
                  <w:shd w:val="clear" w:color="auto" w:fill="auto"/>
                  <w:vAlign w:val="center"/>
                </w:tcPr>
                <w:p w14:paraId="71EB2664">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5203F57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7E268A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有组织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6047C96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w:t>
                  </w:r>
                  <w:r>
                    <w:rPr>
                      <w:rFonts w:hint="eastAsia" w:cs="Times New Roman"/>
                      <w:i w:val="0"/>
                      <w:iCs w:val="0"/>
                      <w:color w:val="000000" w:themeColor="text1"/>
                      <w:kern w:val="0"/>
                      <w:sz w:val="21"/>
                      <w:szCs w:val="21"/>
                      <w:u w:val="none"/>
                      <w:lang w:val="en-US" w:eastAsia="zh-CN" w:bidi="ar"/>
                      <w14:textFill>
                        <w14:solidFill>
                          <w14:schemeClr w14:val="tx1"/>
                        </w14:solidFill>
                      </w14:textFill>
                    </w:rPr>
                    <w:t>224</w:t>
                  </w:r>
                </w:p>
              </w:tc>
            </w:tr>
            <w:tr w14:paraId="6E3426B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57A3B2E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水性漆</w:t>
                  </w:r>
                </w:p>
              </w:tc>
              <w:tc>
                <w:tcPr>
                  <w:tcW w:w="1283" w:type="dxa"/>
                  <w:tcBorders>
                    <w:tl2br w:val="nil"/>
                    <w:tr2bl w:val="nil"/>
                  </w:tcBorders>
                  <w:shd w:val="clear" w:color="auto" w:fill="auto"/>
                  <w:vAlign w:val="center"/>
                </w:tcPr>
                <w:p w14:paraId="3B4C37E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5</w:t>
                  </w:r>
                </w:p>
              </w:tc>
              <w:tc>
                <w:tcPr>
                  <w:tcW w:w="941" w:type="dxa"/>
                  <w:vMerge w:val="continue"/>
                  <w:tcBorders>
                    <w:tl2br w:val="nil"/>
                    <w:tr2bl w:val="nil"/>
                  </w:tcBorders>
                  <w:shd w:val="clear" w:color="auto" w:fill="auto"/>
                  <w:vAlign w:val="center"/>
                </w:tcPr>
                <w:p w14:paraId="48164FB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2BD65A3B">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2669D70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27E2A8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w:t>
                  </w:r>
                  <w:r>
                    <w:rPr>
                      <w:rFonts w:hint="eastAsia" w:cs="Times New Roman"/>
                      <w:i w:val="0"/>
                      <w:iCs w:val="0"/>
                      <w:color w:val="000000" w:themeColor="text1"/>
                      <w:kern w:val="0"/>
                      <w:sz w:val="21"/>
                      <w:szCs w:val="21"/>
                      <w:u w:val="none"/>
                      <w:lang w:val="en-US" w:eastAsia="zh-CN" w:bidi="ar"/>
                      <w14:textFill>
                        <w14:solidFill>
                          <w14:schemeClr w14:val="tx1"/>
                        </w14:solidFill>
                      </w14:textFill>
                    </w:rPr>
                    <w:t>114</w:t>
                  </w:r>
                </w:p>
              </w:tc>
            </w:tr>
            <w:tr w14:paraId="001AEF1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7BEBD3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油漆</w:t>
                  </w:r>
                </w:p>
              </w:tc>
              <w:tc>
                <w:tcPr>
                  <w:tcW w:w="1283" w:type="dxa"/>
                  <w:tcBorders>
                    <w:tl2br w:val="nil"/>
                    <w:tr2bl w:val="nil"/>
                  </w:tcBorders>
                  <w:shd w:val="clear" w:color="auto" w:fill="auto"/>
                  <w:vAlign w:val="center"/>
                </w:tcPr>
                <w:p w14:paraId="369D267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1.5</w:t>
                  </w:r>
                </w:p>
              </w:tc>
              <w:tc>
                <w:tcPr>
                  <w:tcW w:w="941" w:type="dxa"/>
                  <w:vMerge w:val="continue"/>
                  <w:tcBorders>
                    <w:tl2br w:val="nil"/>
                    <w:tr2bl w:val="nil"/>
                  </w:tcBorders>
                  <w:shd w:val="clear" w:color="auto" w:fill="auto"/>
                  <w:vAlign w:val="center"/>
                </w:tcPr>
                <w:p w14:paraId="6FD258D1">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restart"/>
                  <w:tcBorders>
                    <w:tl2br w:val="nil"/>
                    <w:tr2bl w:val="nil"/>
                  </w:tcBorders>
                  <w:shd w:val="clear" w:color="auto" w:fill="auto"/>
                  <w:vAlign w:val="center"/>
                </w:tcPr>
                <w:p w14:paraId="7F9216C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打磨粉尘</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G5</w:t>
                  </w:r>
                </w:p>
              </w:tc>
              <w:tc>
                <w:tcPr>
                  <w:tcW w:w="2143" w:type="dxa"/>
                  <w:tcBorders>
                    <w:tl2br w:val="nil"/>
                    <w:tr2bl w:val="nil"/>
                  </w:tcBorders>
                  <w:shd w:val="clear" w:color="auto" w:fill="auto"/>
                  <w:vAlign w:val="center"/>
                </w:tcPr>
                <w:p w14:paraId="623C6E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布袋除尘收集</w:t>
                  </w:r>
                </w:p>
              </w:tc>
              <w:tc>
                <w:tcPr>
                  <w:tcW w:w="1285" w:type="dxa"/>
                  <w:tcBorders>
                    <w:tl2br w:val="nil"/>
                    <w:tr2bl w:val="nil"/>
                  </w:tcBorders>
                  <w:shd w:val="clear" w:color="auto" w:fill="auto"/>
                  <w:vAlign w:val="center"/>
                </w:tcPr>
                <w:p w14:paraId="109E858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w:t>
                  </w:r>
                  <w:r>
                    <w:rPr>
                      <w:rFonts w:hint="eastAsia" w:cs="Times New Roman"/>
                      <w:i w:val="0"/>
                      <w:iCs w:val="0"/>
                      <w:color w:val="000000" w:themeColor="text1"/>
                      <w:kern w:val="0"/>
                      <w:sz w:val="21"/>
                      <w:szCs w:val="21"/>
                      <w:u w:val="none"/>
                      <w:lang w:val="en-US" w:eastAsia="zh-CN" w:bidi="ar"/>
                      <w14:textFill>
                        <w14:solidFill>
                          <w14:schemeClr w14:val="tx1"/>
                        </w14:solidFill>
                      </w14:textFill>
                    </w:rPr>
                    <w:t>150</w:t>
                  </w:r>
                </w:p>
              </w:tc>
            </w:tr>
            <w:tr w14:paraId="45CE1B2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598C67B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稀释剂</w:t>
                  </w:r>
                </w:p>
              </w:tc>
              <w:tc>
                <w:tcPr>
                  <w:tcW w:w="1283" w:type="dxa"/>
                  <w:tcBorders>
                    <w:tl2br w:val="nil"/>
                    <w:tr2bl w:val="nil"/>
                  </w:tcBorders>
                  <w:shd w:val="clear" w:color="auto" w:fill="auto"/>
                  <w:vAlign w:val="center"/>
                </w:tcPr>
                <w:p w14:paraId="4F2657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0.78</w:t>
                  </w:r>
                </w:p>
              </w:tc>
              <w:tc>
                <w:tcPr>
                  <w:tcW w:w="941" w:type="dxa"/>
                  <w:vMerge w:val="continue"/>
                  <w:tcBorders>
                    <w:tl2br w:val="nil"/>
                    <w:tr2bl w:val="nil"/>
                  </w:tcBorders>
                  <w:shd w:val="clear" w:color="auto" w:fill="auto"/>
                  <w:vAlign w:val="center"/>
                </w:tcPr>
                <w:p w14:paraId="20296390">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4942D751">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5FB4654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有组织颗粒物排放</w:t>
                  </w:r>
                </w:p>
              </w:tc>
              <w:tc>
                <w:tcPr>
                  <w:tcW w:w="1285" w:type="dxa"/>
                  <w:tcBorders>
                    <w:tl2br w:val="nil"/>
                    <w:tr2bl w:val="nil"/>
                  </w:tcBorders>
                  <w:shd w:val="clear" w:color="auto" w:fill="auto"/>
                  <w:vAlign w:val="center"/>
                </w:tcPr>
                <w:p w14:paraId="47EF09C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w:t>
                  </w:r>
                  <w:r>
                    <w:rPr>
                      <w:rFonts w:hint="eastAsia" w:cs="Times New Roman"/>
                      <w:i w:val="0"/>
                      <w:iCs w:val="0"/>
                      <w:color w:val="000000" w:themeColor="text1"/>
                      <w:kern w:val="0"/>
                      <w:sz w:val="21"/>
                      <w:szCs w:val="21"/>
                      <w:u w:val="none"/>
                      <w:lang w:val="en-US" w:eastAsia="zh-CN" w:bidi="ar"/>
                      <w14:textFill>
                        <w14:solidFill>
                          <w14:schemeClr w14:val="tx1"/>
                        </w14:solidFill>
                      </w14:textFill>
                    </w:rPr>
                    <w:t>8</w:t>
                  </w:r>
                </w:p>
              </w:tc>
            </w:tr>
            <w:tr w14:paraId="22580F8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1F383F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电子元件</w:t>
                  </w:r>
                </w:p>
              </w:tc>
              <w:tc>
                <w:tcPr>
                  <w:tcW w:w="1283" w:type="dxa"/>
                  <w:tcBorders>
                    <w:tl2br w:val="nil"/>
                    <w:tr2bl w:val="nil"/>
                  </w:tcBorders>
                  <w:shd w:val="clear" w:color="auto" w:fill="auto"/>
                  <w:vAlign w:val="center"/>
                </w:tcPr>
                <w:p w14:paraId="71F0DA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w:t>
                  </w:r>
                </w:p>
              </w:tc>
              <w:tc>
                <w:tcPr>
                  <w:tcW w:w="941" w:type="dxa"/>
                  <w:vMerge w:val="continue"/>
                  <w:tcBorders>
                    <w:tl2br w:val="nil"/>
                    <w:tr2bl w:val="nil"/>
                  </w:tcBorders>
                  <w:shd w:val="clear" w:color="auto" w:fill="auto"/>
                  <w:vAlign w:val="center"/>
                </w:tcPr>
                <w:p w14:paraId="7B308BC7">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1C7413F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5027AA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无组织颗粒物排放</w:t>
                  </w:r>
                </w:p>
              </w:tc>
              <w:tc>
                <w:tcPr>
                  <w:tcW w:w="1285" w:type="dxa"/>
                  <w:tcBorders>
                    <w:tl2br w:val="nil"/>
                    <w:tr2bl w:val="nil"/>
                  </w:tcBorders>
                  <w:shd w:val="clear" w:color="auto" w:fill="auto"/>
                  <w:vAlign w:val="center"/>
                </w:tcPr>
                <w:p w14:paraId="57396E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w:t>
                  </w:r>
                  <w:r>
                    <w:rPr>
                      <w:rFonts w:hint="eastAsia" w:cs="Times New Roman"/>
                      <w:i w:val="0"/>
                      <w:iCs w:val="0"/>
                      <w:color w:val="000000" w:themeColor="text1"/>
                      <w:kern w:val="0"/>
                      <w:sz w:val="21"/>
                      <w:szCs w:val="21"/>
                      <w:u w:val="none"/>
                      <w:lang w:val="en-US" w:eastAsia="zh-CN" w:bidi="ar"/>
                      <w14:textFill>
                        <w14:solidFill>
                          <w14:schemeClr w14:val="tx1"/>
                        </w14:solidFill>
                      </w14:textFill>
                    </w:rPr>
                    <w:t>39</w:t>
                  </w:r>
                </w:p>
              </w:tc>
            </w:tr>
            <w:tr w14:paraId="5DF65D1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5240CE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锡焊丝</w:t>
                  </w:r>
                </w:p>
              </w:tc>
              <w:tc>
                <w:tcPr>
                  <w:tcW w:w="1283" w:type="dxa"/>
                  <w:tcBorders>
                    <w:tl2br w:val="nil"/>
                    <w:tr2bl w:val="nil"/>
                  </w:tcBorders>
                  <w:shd w:val="clear" w:color="auto" w:fill="auto"/>
                  <w:vAlign w:val="center"/>
                </w:tcPr>
                <w:p w14:paraId="13C2EE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w:t>
                  </w:r>
                </w:p>
              </w:tc>
              <w:tc>
                <w:tcPr>
                  <w:tcW w:w="941" w:type="dxa"/>
                  <w:vMerge w:val="continue"/>
                  <w:tcBorders>
                    <w:tl2br w:val="nil"/>
                    <w:tr2bl w:val="nil"/>
                  </w:tcBorders>
                  <w:shd w:val="clear" w:color="auto" w:fill="auto"/>
                  <w:vAlign w:val="center"/>
                </w:tcPr>
                <w:p w14:paraId="44A02243">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restart"/>
                  <w:tcBorders>
                    <w:tl2br w:val="nil"/>
                    <w:tr2bl w:val="nil"/>
                  </w:tcBorders>
                  <w:shd w:val="clear" w:color="auto" w:fill="auto"/>
                  <w:vAlign w:val="center"/>
                </w:tcPr>
                <w:p w14:paraId="54E9710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调漆废气</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G6</w:t>
                  </w:r>
                </w:p>
              </w:tc>
              <w:tc>
                <w:tcPr>
                  <w:tcW w:w="2143" w:type="dxa"/>
                  <w:tcBorders>
                    <w:tl2br w:val="nil"/>
                    <w:tr2bl w:val="nil"/>
                  </w:tcBorders>
                  <w:shd w:val="clear" w:color="auto" w:fill="auto"/>
                  <w:vAlign w:val="center"/>
                </w:tcPr>
                <w:p w14:paraId="0CE70F4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活性炭吸附</w:t>
                  </w:r>
                </w:p>
              </w:tc>
              <w:tc>
                <w:tcPr>
                  <w:tcW w:w="1285" w:type="dxa"/>
                  <w:tcBorders>
                    <w:tl2br w:val="nil"/>
                    <w:tr2bl w:val="nil"/>
                  </w:tcBorders>
                  <w:shd w:val="clear" w:color="auto" w:fill="auto"/>
                  <w:vAlign w:val="center"/>
                </w:tcPr>
                <w:p w14:paraId="6D55522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0.032</w:t>
                  </w:r>
                </w:p>
              </w:tc>
            </w:tr>
            <w:tr w14:paraId="6FA0B6C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3918E2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胶棒</w:t>
                  </w:r>
                </w:p>
              </w:tc>
              <w:tc>
                <w:tcPr>
                  <w:tcW w:w="1283" w:type="dxa"/>
                  <w:tcBorders>
                    <w:tl2br w:val="nil"/>
                    <w:tr2bl w:val="nil"/>
                  </w:tcBorders>
                  <w:shd w:val="clear" w:color="auto" w:fill="auto"/>
                  <w:vAlign w:val="center"/>
                </w:tcPr>
                <w:p w14:paraId="5E3665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w:t>
                  </w:r>
                </w:p>
              </w:tc>
              <w:tc>
                <w:tcPr>
                  <w:tcW w:w="941" w:type="dxa"/>
                  <w:vMerge w:val="continue"/>
                  <w:tcBorders>
                    <w:tl2br w:val="nil"/>
                    <w:tr2bl w:val="nil"/>
                  </w:tcBorders>
                  <w:shd w:val="clear" w:color="auto" w:fill="auto"/>
                  <w:vAlign w:val="center"/>
                </w:tcPr>
                <w:p w14:paraId="361F7D3B">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4C3A9389">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1A74DE5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有组织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5840642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0.031</w:t>
                  </w:r>
                </w:p>
              </w:tc>
            </w:tr>
            <w:tr w14:paraId="2850F4E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7CA55F7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水</w:t>
                  </w:r>
                </w:p>
              </w:tc>
              <w:tc>
                <w:tcPr>
                  <w:tcW w:w="1283" w:type="dxa"/>
                  <w:tcBorders>
                    <w:tl2br w:val="nil"/>
                    <w:tr2bl w:val="nil"/>
                  </w:tcBorders>
                  <w:shd w:val="clear" w:color="auto" w:fill="auto"/>
                  <w:vAlign w:val="center"/>
                </w:tcPr>
                <w:p w14:paraId="08135EE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w:t>
                  </w:r>
                </w:p>
              </w:tc>
              <w:tc>
                <w:tcPr>
                  <w:tcW w:w="941" w:type="dxa"/>
                  <w:vMerge w:val="continue"/>
                  <w:tcBorders>
                    <w:tl2br w:val="nil"/>
                    <w:tr2bl w:val="nil"/>
                  </w:tcBorders>
                  <w:shd w:val="clear" w:color="auto" w:fill="auto"/>
                  <w:vAlign w:val="center"/>
                </w:tcPr>
                <w:p w14:paraId="259F1BBE">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7B5229DB">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7CC77CE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0C147B0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0.007</w:t>
                  </w:r>
                </w:p>
              </w:tc>
            </w:tr>
            <w:tr w14:paraId="0F72735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5575FF58">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4C6AB70E">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1756BF27">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restart"/>
                  <w:tcBorders>
                    <w:tl2br w:val="nil"/>
                    <w:tr2bl w:val="nil"/>
                  </w:tcBorders>
                  <w:shd w:val="clear" w:color="auto" w:fill="auto"/>
                  <w:vAlign w:val="center"/>
                </w:tcPr>
                <w:p w14:paraId="6F85D3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调漆、流平、晾干废气</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G7</w:t>
                  </w:r>
                </w:p>
              </w:tc>
              <w:tc>
                <w:tcPr>
                  <w:tcW w:w="2143" w:type="dxa"/>
                  <w:tcBorders>
                    <w:tl2br w:val="nil"/>
                    <w:tr2bl w:val="nil"/>
                  </w:tcBorders>
                  <w:shd w:val="clear" w:color="auto" w:fill="auto"/>
                  <w:vAlign w:val="center"/>
                </w:tcPr>
                <w:p w14:paraId="0B5E046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活性炭吸附</w:t>
                  </w:r>
                </w:p>
              </w:tc>
              <w:tc>
                <w:tcPr>
                  <w:tcW w:w="1285" w:type="dxa"/>
                  <w:tcBorders>
                    <w:tl2br w:val="nil"/>
                    <w:tr2bl w:val="nil"/>
                  </w:tcBorders>
                  <w:shd w:val="clear" w:color="auto" w:fill="auto"/>
                  <w:vAlign w:val="center"/>
                </w:tcPr>
                <w:p w14:paraId="136BE3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0.152</w:t>
                  </w:r>
                </w:p>
              </w:tc>
            </w:tr>
            <w:tr w14:paraId="41F347F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37784D9E">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1106A072">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39D96FC1">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693BE4F5">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0E3316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过滤棉吸附</w:t>
                  </w:r>
                </w:p>
              </w:tc>
              <w:tc>
                <w:tcPr>
                  <w:tcW w:w="1285" w:type="dxa"/>
                  <w:tcBorders>
                    <w:tl2br w:val="nil"/>
                    <w:tr2bl w:val="nil"/>
                  </w:tcBorders>
                  <w:shd w:val="clear" w:color="auto" w:fill="auto"/>
                  <w:vAlign w:val="center"/>
                </w:tcPr>
                <w:p w14:paraId="627B7B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0.142</w:t>
                  </w:r>
                </w:p>
              </w:tc>
            </w:tr>
            <w:tr w14:paraId="69E97F5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15CB804A">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428C7FBD">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66837BA7">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578BEFFE">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4A3BC4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有组织VOC排放</w:t>
                  </w:r>
                </w:p>
              </w:tc>
              <w:tc>
                <w:tcPr>
                  <w:tcW w:w="1285" w:type="dxa"/>
                  <w:tcBorders>
                    <w:tl2br w:val="nil"/>
                    <w:tr2bl w:val="nil"/>
                  </w:tcBorders>
                  <w:shd w:val="clear" w:color="auto" w:fill="auto"/>
                  <w:vAlign w:val="center"/>
                </w:tcPr>
                <w:p w14:paraId="47F1B95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0.146</w:t>
                  </w:r>
                </w:p>
              </w:tc>
            </w:tr>
            <w:tr w14:paraId="783E33E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4EC5E4A3">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0340629F">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06FFE0F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0F8795F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1A0BD88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有组织颗粒物排放</w:t>
                  </w:r>
                </w:p>
              </w:tc>
              <w:tc>
                <w:tcPr>
                  <w:tcW w:w="1285" w:type="dxa"/>
                  <w:tcBorders>
                    <w:tl2br w:val="nil"/>
                    <w:tr2bl w:val="nil"/>
                  </w:tcBorders>
                  <w:shd w:val="clear" w:color="auto" w:fill="auto"/>
                  <w:vAlign w:val="center"/>
                </w:tcPr>
                <w:p w14:paraId="3D64914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0.035</w:t>
                  </w:r>
                </w:p>
              </w:tc>
            </w:tr>
            <w:tr w14:paraId="20429EA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3D4E4CAE">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3E0159F0">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0966B61B">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2B5306DC">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15A593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3CA43B8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0.033</w:t>
                  </w:r>
                </w:p>
              </w:tc>
            </w:tr>
            <w:tr w14:paraId="7383D06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534FEC38">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53ED9249">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2A82FF1F">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1A5676A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2BA0E3B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无组织颗粒物排放</w:t>
                  </w:r>
                </w:p>
              </w:tc>
              <w:tc>
                <w:tcPr>
                  <w:tcW w:w="1285" w:type="dxa"/>
                  <w:tcBorders>
                    <w:tl2br w:val="nil"/>
                    <w:tr2bl w:val="nil"/>
                  </w:tcBorders>
                  <w:shd w:val="clear" w:color="auto" w:fill="auto"/>
                  <w:vAlign w:val="center"/>
                </w:tcPr>
                <w:p w14:paraId="2EE0578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0.020 </w:t>
                  </w:r>
                </w:p>
              </w:tc>
            </w:tr>
            <w:tr w14:paraId="0EB52B1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2677DCA2">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0FE2740F">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07F3560D">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restart"/>
                  <w:tcBorders>
                    <w:tl2br w:val="nil"/>
                    <w:tr2bl w:val="nil"/>
                  </w:tcBorders>
                  <w:shd w:val="clear" w:color="auto" w:fill="auto"/>
                  <w:vAlign w:val="center"/>
                </w:tcPr>
                <w:p w14:paraId="66551C6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喷枪清洗废气</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G8</w:t>
                  </w:r>
                </w:p>
              </w:tc>
              <w:tc>
                <w:tcPr>
                  <w:tcW w:w="2143" w:type="dxa"/>
                  <w:tcBorders>
                    <w:tl2br w:val="nil"/>
                    <w:tr2bl w:val="nil"/>
                  </w:tcBorders>
                  <w:shd w:val="clear" w:color="auto" w:fill="auto"/>
                  <w:vAlign w:val="center"/>
                </w:tcPr>
                <w:p w14:paraId="48F9E4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活性炭吸附</w:t>
                  </w:r>
                </w:p>
              </w:tc>
              <w:tc>
                <w:tcPr>
                  <w:tcW w:w="1285" w:type="dxa"/>
                  <w:tcBorders>
                    <w:tl2br w:val="nil"/>
                    <w:tr2bl w:val="nil"/>
                  </w:tcBorders>
                  <w:shd w:val="clear" w:color="auto" w:fill="auto"/>
                  <w:vAlign w:val="center"/>
                </w:tcPr>
                <w:p w14:paraId="6145F42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0.014</w:t>
                  </w:r>
                </w:p>
              </w:tc>
            </w:tr>
            <w:tr w14:paraId="254FF2E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15BAAEAD">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18BE01E7">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654D9C5A">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53C00ADB">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2453669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有组织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04BD68E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0.013</w:t>
                  </w:r>
                </w:p>
              </w:tc>
            </w:tr>
            <w:tr w14:paraId="07DDBF4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1AAAE955">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5ADB0937">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67AFC2EB">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093DD945">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2441168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0DAF05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0.003</w:t>
                  </w:r>
                </w:p>
              </w:tc>
            </w:tr>
            <w:tr w14:paraId="6ED25CA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06E1E950">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27442CB8">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3E44DF8B">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restart"/>
                  <w:tcBorders>
                    <w:tl2br w:val="nil"/>
                    <w:tr2bl w:val="nil"/>
                  </w:tcBorders>
                  <w:shd w:val="clear" w:color="auto" w:fill="auto"/>
                  <w:vAlign w:val="center"/>
                </w:tcPr>
                <w:p w14:paraId="758C0A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彩绘、晾干废气</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G9</w:t>
                  </w:r>
                </w:p>
              </w:tc>
              <w:tc>
                <w:tcPr>
                  <w:tcW w:w="2143" w:type="dxa"/>
                  <w:tcBorders>
                    <w:tl2br w:val="nil"/>
                    <w:tr2bl w:val="nil"/>
                  </w:tcBorders>
                  <w:shd w:val="clear" w:color="auto" w:fill="auto"/>
                  <w:vAlign w:val="center"/>
                </w:tcPr>
                <w:p w14:paraId="785FB0D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活性炭吸附</w:t>
                  </w:r>
                </w:p>
              </w:tc>
              <w:tc>
                <w:tcPr>
                  <w:tcW w:w="1285" w:type="dxa"/>
                  <w:tcBorders>
                    <w:tl2br w:val="nil"/>
                    <w:tr2bl w:val="nil"/>
                  </w:tcBorders>
                  <w:shd w:val="clear" w:color="auto" w:fill="auto"/>
                  <w:vAlign w:val="center"/>
                </w:tcPr>
                <w:p w14:paraId="39EE9A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0.454</w:t>
                  </w:r>
                </w:p>
              </w:tc>
            </w:tr>
            <w:tr w14:paraId="51C5B59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1476F9F6">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0E0DB306">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5865C993">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42F1D151">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707D11F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有组织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37D535C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0.436</w:t>
                  </w:r>
                </w:p>
              </w:tc>
            </w:tr>
            <w:tr w14:paraId="71E2459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2BB47845">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7C254021">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211ACC5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vMerge w:val="continue"/>
                  <w:tcBorders>
                    <w:tl2br w:val="nil"/>
                    <w:tr2bl w:val="nil"/>
                  </w:tcBorders>
                  <w:shd w:val="clear" w:color="auto" w:fill="auto"/>
                  <w:vAlign w:val="center"/>
                </w:tcPr>
                <w:p w14:paraId="22B897D0">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143" w:type="dxa"/>
                  <w:tcBorders>
                    <w:tl2br w:val="nil"/>
                    <w:tr2bl w:val="nil"/>
                  </w:tcBorders>
                  <w:shd w:val="clear" w:color="auto" w:fill="auto"/>
                  <w:vAlign w:val="center"/>
                </w:tcPr>
                <w:p w14:paraId="15201C0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3921835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0.099</w:t>
                  </w:r>
                </w:p>
              </w:tc>
            </w:tr>
            <w:tr w14:paraId="2F6D4E5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684C9BDB">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3317EF06">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3102A795">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tcBorders>
                    <w:tl2br w:val="nil"/>
                    <w:tr2bl w:val="nil"/>
                  </w:tcBorders>
                  <w:shd w:val="clear" w:color="auto" w:fill="auto"/>
                  <w:vAlign w:val="center"/>
                </w:tcPr>
                <w:p w14:paraId="47BE5D8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焊接烟尘</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G10</w:t>
                  </w:r>
                </w:p>
              </w:tc>
              <w:tc>
                <w:tcPr>
                  <w:tcW w:w="2143" w:type="dxa"/>
                  <w:tcBorders>
                    <w:tl2br w:val="nil"/>
                    <w:tr2bl w:val="nil"/>
                  </w:tcBorders>
                  <w:shd w:val="clear" w:color="auto" w:fill="auto"/>
                  <w:vAlign w:val="center"/>
                </w:tcPr>
                <w:p w14:paraId="1E5FF3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无组织颗粒物排放</w:t>
                  </w:r>
                </w:p>
              </w:tc>
              <w:tc>
                <w:tcPr>
                  <w:tcW w:w="1285" w:type="dxa"/>
                  <w:tcBorders>
                    <w:tl2br w:val="nil"/>
                    <w:tr2bl w:val="nil"/>
                  </w:tcBorders>
                  <w:shd w:val="clear" w:color="auto" w:fill="auto"/>
                  <w:vAlign w:val="center"/>
                </w:tcPr>
                <w:p w14:paraId="1BC412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0.002</w:t>
                  </w:r>
                </w:p>
              </w:tc>
            </w:tr>
            <w:tr w14:paraId="646B976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64D45C25">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2E6352A8">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78C25980">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1282" w:type="dxa"/>
                  <w:tcBorders>
                    <w:tl2br w:val="nil"/>
                    <w:tr2bl w:val="nil"/>
                  </w:tcBorders>
                  <w:shd w:val="clear" w:color="auto" w:fill="auto"/>
                  <w:vAlign w:val="center"/>
                </w:tcPr>
                <w:p w14:paraId="65B24E7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胶粘废气</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G11</w:t>
                  </w:r>
                </w:p>
              </w:tc>
              <w:tc>
                <w:tcPr>
                  <w:tcW w:w="2143" w:type="dxa"/>
                  <w:tcBorders>
                    <w:tl2br w:val="nil"/>
                    <w:tr2bl w:val="nil"/>
                  </w:tcBorders>
                  <w:shd w:val="clear" w:color="auto" w:fill="auto"/>
                  <w:vAlign w:val="center"/>
                </w:tcPr>
                <w:p w14:paraId="0D083D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无组织</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VOC</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排放</w:t>
                  </w:r>
                </w:p>
              </w:tc>
              <w:tc>
                <w:tcPr>
                  <w:tcW w:w="1285" w:type="dxa"/>
                  <w:tcBorders>
                    <w:tl2br w:val="nil"/>
                    <w:tr2bl w:val="nil"/>
                  </w:tcBorders>
                  <w:shd w:val="clear" w:color="auto" w:fill="auto"/>
                  <w:vAlign w:val="center"/>
                </w:tcPr>
                <w:p w14:paraId="3DE91C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w:t>
                  </w:r>
                </w:p>
              </w:tc>
            </w:tr>
            <w:tr w14:paraId="730B53D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75F22627">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75EB4333">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restart"/>
                  <w:tcBorders>
                    <w:tl2br w:val="nil"/>
                    <w:tr2bl w:val="nil"/>
                  </w:tcBorders>
                  <w:shd w:val="clear" w:color="auto" w:fill="auto"/>
                  <w:vAlign w:val="center"/>
                </w:tcPr>
                <w:p w14:paraId="3232F96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固废</w:t>
                  </w:r>
                </w:p>
              </w:tc>
              <w:tc>
                <w:tcPr>
                  <w:tcW w:w="3425" w:type="dxa"/>
                  <w:gridSpan w:val="2"/>
                  <w:tcBorders>
                    <w:tl2br w:val="nil"/>
                    <w:tr2bl w:val="nil"/>
                  </w:tcBorders>
                  <w:shd w:val="clear" w:color="auto" w:fill="auto"/>
                  <w:vAlign w:val="center"/>
                </w:tcPr>
                <w:p w14:paraId="48315A1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漆渣</w:t>
                  </w:r>
                </w:p>
              </w:tc>
              <w:tc>
                <w:tcPr>
                  <w:tcW w:w="1285" w:type="dxa"/>
                  <w:tcBorders>
                    <w:tl2br w:val="nil"/>
                    <w:tr2bl w:val="nil"/>
                  </w:tcBorders>
                  <w:shd w:val="clear" w:color="auto" w:fill="auto"/>
                  <w:vAlign w:val="center"/>
                </w:tcPr>
                <w:p w14:paraId="6FD60E6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0.197</w:t>
                  </w:r>
                </w:p>
              </w:tc>
            </w:tr>
            <w:tr w14:paraId="3BDCE98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44314DFF">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7179A3F9">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3283AD88">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3425" w:type="dxa"/>
                  <w:gridSpan w:val="2"/>
                  <w:tcBorders>
                    <w:tl2br w:val="nil"/>
                    <w:tr2bl w:val="nil"/>
                  </w:tcBorders>
                  <w:shd w:val="clear" w:color="auto" w:fill="auto"/>
                  <w:vAlign w:val="center"/>
                </w:tcPr>
                <w:p w14:paraId="26277E1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彩绘笔粘附</w:t>
                  </w:r>
                </w:p>
              </w:tc>
              <w:tc>
                <w:tcPr>
                  <w:tcW w:w="1285" w:type="dxa"/>
                  <w:tcBorders>
                    <w:tl2br w:val="nil"/>
                    <w:tr2bl w:val="nil"/>
                  </w:tcBorders>
                  <w:shd w:val="clear" w:color="auto" w:fill="auto"/>
                  <w:vAlign w:val="center"/>
                </w:tcPr>
                <w:p w14:paraId="0CCB9E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0.079</w:t>
                  </w:r>
                </w:p>
              </w:tc>
            </w:tr>
            <w:tr w14:paraId="22475C9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5F5A1846">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21602848">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00D08719">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3425" w:type="dxa"/>
                  <w:gridSpan w:val="2"/>
                  <w:tcBorders>
                    <w:tl2br w:val="nil"/>
                    <w:tr2bl w:val="nil"/>
                  </w:tcBorders>
                  <w:shd w:val="clear" w:color="auto" w:fill="auto"/>
                  <w:vAlign w:val="center"/>
                </w:tcPr>
                <w:p w14:paraId="00363EA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废硅胶模具</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S3</w:t>
                  </w:r>
                </w:p>
              </w:tc>
              <w:tc>
                <w:tcPr>
                  <w:tcW w:w="1285" w:type="dxa"/>
                  <w:tcBorders>
                    <w:tl2br w:val="nil"/>
                    <w:tr2bl w:val="nil"/>
                  </w:tcBorders>
                  <w:shd w:val="clear" w:color="auto" w:fill="auto"/>
                  <w:vAlign w:val="center"/>
                </w:tcPr>
                <w:p w14:paraId="4A2B1E8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w:t>
                  </w:r>
                </w:p>
              </w:tc>
            </w:tr>
            <w:tr w14:paraId="65B7C63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16058B64">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49F23361">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64830002">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3425" w:type="dxa"/>
                  <w:gridSpan w:val="2"/>
                  <w:tcBorders>
                    <w:tl2br w:val="nil"/>
                    <w:tr2bl w:val="nil"/>
                  </w:tcBorders>
                  <w:shd w:val="clear" w:color="auto" w:fill="auto"/>
                  <w:vAlign w:val="center"/>
                </w:tcPr>
                <w:p w14:paraId="7BBFF7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废石膏模具</w:t>
                  </w: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S4</w:t>
                  </w:r>
                </w:p>
              </w:tc>
              <w:tc>
                <w:tcPr>
                  <w:tcW w:w="1285" w:type="dxa"/>
                  <w:tcBorders>
                    <w:tl2br w:val="nil"/>
                    <w:tr2bl w:val="nil"/>
                  </w:tcBorders>
                  <w:shd w:val="clear" w:color="auto" w:fill="auto"/>
                  <w:vAlign w:val="center"/>
                </w:tcPr>
                <w:p w14:paraId="33094B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w:t>
                  </w:r>
                </w:p>
              </w:tc>
            </w:tr>
            <w:tr w14:paraId="613219E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09A60379">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703A5A05">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vMerge w:val="continue"/>
                  <w:tcBorders>
                    <w:tl2br w:val="nil"/>
                    <w:tr2bl w:val="nil"/>
                  </w:tcBorders>
                  <w:shd w:val="clear" w:color="auto" w:fill="auto"/>
                  <w:vAlign w:val="center"/>
                </w:tcPr>
                <w:p w14:paraId="0E610DB4">
                  <w:pPr>
                    <w:keepNext w:val="0"/>
                    <w:keepLines w:val="0"/>
                    <w:pageBreakBefore w:val="0"/>
                    <w:widowControl/>
                    <w:kinsoku/>
                    <w:wordWrap/>
                    <w:overflowPunct/>
                    <w:topLinePunct w:val="0"/>
                    <w:autoSpaceDE/>
                    <w:autoSpaceDN/>
                    <w:bidi w:val="0"/>
                    <w:spacing w:line="240" w:lineRule="auto"/>
                    <w:ind w:firstLine="0" w:firstLineChars="0"/>
                    <w:jc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3425" w:type="dxa"/>
                  <w:gridSpan w:val="2"/>
                  <w:tcBorders>
                    <w:tl2br w:val="nil"/>
                    <w:tr2bl w:val="nil"/>
                  </w:tcBorders>
                  <w:shd w:val="clear" w:color="auto" w:fill="auto"/>
                  <w:vAlign w:val="center"/>
                </w:tcPr>
                <w:p w14:paraId="50AF0A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边角料</w:t>
                  </w:r>
                </w:p>
              </w:tc>
              <w:tc>
                <w:tcPr>
                  <w:tcW w:w="1285" w:type="dxa"/>
                  <w:tcBorders>
                    <w:tl2br w:val="nil"/>
                    <w:tr2bl w:val="nil"/>
                  </w:tcBorders>
                  <w:shd w:val="clear" w:color="auto" w:fill="auto"/>
                  <w:vAlign w:val="center"/>
                </w:tcPr>
                <w:p w14:paraId="330C80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cs="Times New Roman"/>
                      <w:i w:val="0"/>
                      <w:iCs w:val="0"/>
                      <w:color w:val="000000" w:themeColor="text1"/>
                      <w:kern w:val="0"/>
                      <w:sz w:val="21"/>
                      <w:szCs w:val="21"/>
                      <w:u w:val="none"/>
                      <w:lang w:val="en-US" w:eastAsia="zh-CN" w:bidi="ar"/>
                      <w14:textFill>
                        <w14:solidFill>
                          <w14:schemeClr w14:val="tx1"/>
                        </w14:solidFill>
                      </w14:textFill>
                    </w:rPr>
                    <w:t>0.450</w:t>
                  </w:r>
                </w:p>
              </w:tc>
            </w:tr>
            <w:tr w14:paraId="63F2C68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6D4E8AAB">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1283" w:type="dxa"/>
                  <w:tcBorders>
                    <w:tl2br w:val="nil"/>
                    <w:tr2bl w:val="nil"/>
                  </w:tcBorders>
                  <w:shd w:val="clear" w:color="auto" w:fill="auto"/>
                  <w:vAlign w:val="center"/>
                </w:tcPr>
                <w:p w14:paraId="5ABA2170">
                  <w:pPr>
                    <w:keepNext w:val="0"/>
                    <w:keepLines w:val="0"/>
                    <w:pageBreakBefore w:val="0"/>
                    <w:widowControl/>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p>
              </w:tc>
              <w:tc>
                <w:tcPr>
                  <w:tcW w:w="941" w:type="dxa"/>
                  <w:tcBorders>
                    <w:tl2br w:val="nil"/>
                    <w:tr2bl w:val="nil"/>
                  </w:tcBorders>
                  <w:shd w:val="clear" w:color="auto" w:fill="auto"/>
                  <w:vAlign w:val="center"/>
                </w:tcPr>
                <w:p w14:paraId="75F20A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产品</w:t>
                  </w:r>
                </w:p>
              </w:tc>
              <w:tc>
                <w:tcPr>
                  <w:tcW w:w="3425" w:type="dxa"/>
                  <w:gridSpan w:val="2"/>
                  <w:tcBorders>
                    <w:tl2br w:val="nil"/>
                    <w:tr2bl w:val="nil"/>
                  </w:tcBorders>
                  <w:shd w:val="clear" w:color="auto" w:fill="auto"/>
                  <w:vAlign w:val="center"/>
                </w:tcPr>
                <w:p w14:paraId="6D8223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树脂工艺品</w:t>
                  </w:r>
                </w:p>
              </w:tc>
              <w:tc>
                <w:tcPr>
                  <w:tcW w:w="1285" w:type="dxa"/>
                  <w:tcBorders>
                    <w:tl2br w:val="nil"/>
                    <w:tr2bl w:val="nil"/>
                  </w:tcBorders>
                  <w:shd w:val="clear" w:color="auto" w:fill="auto"/>
                  <w:vAlign w:val="center"/>
                </w:tcPr>
                <w:p w14:paraId="36B2C1A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10</w:t>
                  </w:r>
                  <w:r>
                    <w:rPr>
                      <w:rFonts w:hint="eastAsia" w:cs="Times New Roman"/>
                      <w:i w:val="0"/>
                      <w:iCs w:val="0"/>
                      <w:color w:val="000000" w:themeColor="text1"/>
                      <w:kern w:val="0"/>
                      <w:sz w:val="21"/>
                      <w:szCs w:val="21"/>
                      <w:u w:val="none"/>
                      <w:lang w:val="en-US" w:eastAsia="zh-CN" w:bidi="ar"/>
                      <w14:textFill>
                        <w14:solidFill>
                          <w14:schemeClr w14:val="tx1"/>
                        </w14:solidFill>
                      </w14:textFill>
                    </w:rPr>
                    <w:t>2.351</w:t>
                  </w:r>
                </w:p>
              </w:tc>
            </w:tr>
            <w:tr w14:paraId="4AF5256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283" w:hRule="atLeast"/>
                <w:jc w:val="center"/>
              </w:trPr>
              <w:tc>
                <w:tcPr>
                  <w:tcW w:w="1585" w:type="dxa"/>
                  <w:tcBorders>
                    <w:tl2br w:val="nil"/>
                    <w:tr2bl w:val="nil"/>
                  </w:tcBorders>
                  <w:shd w:val="clear" w:color="auto" w:fill="auto"/>
                  <w:vAlign w:val="center"/>
                </w:tcPr>
                <w:p w14:paraId="35CA394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合计</w:t>
                  </w:r>
                </w:p>
              </w:tc>
              <w:tc>
                <w:tcPr>
                  <w:tcW w:w="1283" w:type="dxa"/>
                  <w:tcBorders>
                    <w:tl2br w:val="nil"/>
                    <w:tr2bl w:val="nil"/>
                  </w:tcBorders>
                  <w:shd w:val="clear" w:color="auto" w:fill="auto"/>
                  <w:vAlign w:val="center"/>
                </w:tcPr>
                <w:p w14:paraId="513E9C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109.480 </w:t>
                  </w:r>
                </w:p>
              </w:tc>
              <w:tc>
                <w:tcPr>
                  <w:tcW w:w="4366" w:type="dxa"/>
                  <w:gridSpan w:val="3"/>
                  <w:tcBorders>
                    <w:tl2br w:val="nil"/>
                    <w:tr2bl w:val="nil"/>
                  </w:tcBorders>
                  <w:shd w:val="clear" w:color="auto" w:fill="auto"/>
                  <w:vAlign w:val="center"/>
                </w:tcPr>
                <w:p w14:paraId="76B31E7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合计</w:t>
                  </w:r>
                </w:p>
              </w:tc>
              <w:tc>
                <w:tcPr>
                  <w:tcW w:w="1285" w:type="dxa"/>
                  <w:tcBorders>
                    <w:tl2br w:val="nil"/>
                    <w:tr2bl w:val="nil"/>
                  </w:tcBorders>
                  <w:shd w:val="clear" w:color="auto" w:fill="auto"/>
                  <w:vAlign w:val="center"/>
                </w:tcPr>
                <w:p w14:paraId="284023C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sz w:val="21"/>
                      <w:szCs w:val="21"/>
                      <w:u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 xml:space="preserve">109.480 </w:t>
                  </w:r>
                </w:p>
              </w:tc>
            </w:tr>
          </w:tbl>
          <w:p w14:paraId="115A1529">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both"/>
              <w:textAlignment w:val="auto"/>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w:t>
            </w:r>
            <w:r>
              <w:rPr>
                <w:rFonts w:hint="eastAsia" w:eastAsia="宋体"/>
                <w:color w:val="000000" w:themeColor="text1"/>
                <w:sz w:val="24"/>
                <w:szCs w:val="24"/>
                <w:lang w:val="en-US" w:eastAsia="zh-CN"/>
                <w14:textFill>
                  <w14:solidFill>
                    <w14:schemeClr w14:val="tx1"/>
                  </w14:solidFill>
                </w14:textFill>
              </w:rPr>
              <w:t>、油漆</w:t>
            </w:r>
            <w:r>
              <w:rPr>
                <w:rFonts w:hint="eastAsia"/>
                <w:color w:val="000000" w:themeColor="text1"/>
                <w:sz w:val="24"/>
                <w:szCs w:val="24"/>
                <w:lang w:val="en-US" w:eastAsia="zh-CN"/>
                <w14:textFill>
                  <w14:solidFill>
                    <w14:schemeClr w14:val="tx1"/>
                  </w14:solidFill>
                </w14:textFill>
              </w:rPr>
              <w:t>、水性漆</w:t>
            </w:r>
            <w:r>
              <w:rPr>
                <w:rFonts w:hint="eastAsia" w:eastAsia="宋体"/>
                <w:color w:val="000000" w:themeColor="text1"/>
                <w:sz w:val="24"/>
                <w:szCs w:val="24"/>
                <w:lang w:val="en-US" w:eastAsia="zh-CN"/>
                <w14:textFill>
                  <w14:solidFill>
                    <w14:schemeClr w14:val="tx1"/>
                  </w14:solidFill>
                </w14:textFill>
              </w:rPr>
              <w:t>物料平衡</w:t>
            </w:r>
          </w:p>
          <w:p w14:paraId="7E6944A1">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center"/>
              <w:textAlignment w:val="auto"/>
              <w:rPr>
                <w:rFonts w:hint="default" w:eastAsia="宋体"/>
                <w:color w:val="000000" w:themeColor="text1"/>
                <w:sz w:val="24"/>
                <w:szCs w:val="24"/>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456555" cy="3885565"/>
                  <wp:effectExtent l="0" t="0" r="10795" b="635"/>
                  <wp:docPr id="1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
                          <pic:cNvPicPr>
                            <a:picLocks noChangeAspect="1"/>
                          </pic:cNvPicPr>
                        </pic:nvPicPr>
                        <pic:blipFill>
                          <a:blip r:embed="rId28"/>
                          <a:stretch>
                            <a:fillRect/>
                          </a:stretch>
                        </pic:blipFill>
                        <pic:spPr>
                          <a:xfrm>
                            <a:off x="0" y="0"/>
                            <a:ext cx="5456555" cy="3885565"/>
                          </a:xfrm>
                          <a:prstGeom prst="rect">
                            <a:avLst/>
                          </a:prstGeom>
                          <a:noFill/>
                          <a:ln>
                            <a:noFill/>
                          </a:ln>
                        </pic:spPr>
                      </pic:pic>
                    </a:graphicData>
                  </a:graphic>
                </wp:inline>
              </w:drawing>
            </w:r>
          </w:p>
          <w:p w14:paraId="79CF8B54">
            <w:pPr>
              <w:pStyle w:val="58"/>
              <w:keepNext w:val="0"/>
              <w:keepLines w:val="0"/>
              <w:pageBreakBefore w:val="0"/>
              <w:widowControl w:val="0"/>
              <w:numPr>
                <w:ilvl w:val="4"/>
                <w:numId w:val="19"/>
              </w:numPr>
              <w:kinsoku/>
              <w:wordWrap/>
              <w:overflowPunct/>
              <w:topLinePunct w:val="0"/>
              <w:autoSpaceDE/>
              <w:autoSpaceDN/>
              <w:bidi w:val="0"/>
              <w:adjustRightInd w:val="0"/>
              <w:snapToGrid w:val="0"/>
              <w:spacing w:after="0" w:afterLines="0"/>
              <w:ind w:firstLine="422" w:firstLineChars="200"/>
              <w:textAlignment w:val="auto"/>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油漆物料平衡（t/a）</w:t>
            </w:r>
          </w:p>
          <w:p w14:paraId="4B934177">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462905" cy="3688715"/>
                  <wp:effectExtent l="0" t="0" r="4445" b="6985"/>
                  <wp:docPr id="1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pic:cNvPicPr>
                            <a:picLocks noChangeAspect="1"/>
                          </pic:cNvPicPr>
                        </pic:nvPicPr>
                        <pic:blipFill>
                          <a:blip r:embed="rId29"/>
                          <a:stretch>
                            <a:fillRect/>
                          </a:stretch>
                        </pic:blipFill>
                        <pic:spPr>
                          <a:xfrm>
                            <a:off x="0" y="0"/>
                            <a:ext cx="5462905" cy="3688715"/>
                          </a:xfrm>
                          <a:prstGeom prst="rect">
                            <a:avLst/>
                          </a:prstGeom>
                          <a:noFill/>
                          <a:ln>
                            <a:noFill/>
                          </a:ln>
                        </pic:spPr>
                      </pic:pic>
                    </a:graphicData>
                  </a:graphic>
                </wp:inline>
              </w:drawing>
            </w:r>
          </w:p>
          <w:p w14:paraId="2AB618A0">
            <w:pPr>
              <w:pStyle w:val="58"/>
              <w:keepNext w:val="0"/>
              <w:keepLines w:val="0"/>
              <w:pageBreakBefore w:val="0"/>
              <w:widowControl w:val="0"/>
              <w:numPr>
                <w:ilvl w:val="4"/>
                <w:numId w:val="19"/>
              </w:numPr>
              <w:kinsoku/>
              <w:wordWrap/>
              <w:overflowPunct/>
              <w:topLinePunct w:val="0"/>
              <w:autoSpaceDE/>
              <w:autoSpaceDN/>
              <w:bidi w:val="0"/>
              <w:adjustRightInd w:val="0"/>
              <w:snapToGrid w:val="0"/>
              <w:spacing w:after="0" w:afterLines="0"/>
              <w:ind w:firstLine="422" w:firstLineChars="200"/>
              <w:textAlignment w:val="auto"/>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水性漆物料平衡（t/a）</w:t>
            </w:r>
          </w:p>
          <w:p w14:paraId="7AE42DF2">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both"/>
              <w:textAlignment w:val="auto"/>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w:t>
            </w:r>
            <w:r>
              <w:rPr>
                <w:rFonts w:hint="eastAsia" w:eastAsia="宋体"/>
                <w:color w:val="000000" w:themeColor="text1"/>
                <w:sz w:val="24"/>
                <w:szCs w:val="24"/>
                <w:lang w:val="en-US" w:eastAsia="zh-CN"/>
                <w14:textFill>
                  <w14:solidFill>
                    <w14:schemeClr w14:val="tx1"/>
                  </w14:solidFill>
                </w14:textFill>
              </w:rPr>
              <w:t>、VOC物料平衡</w:t>
            </w:r>
          </w:p>
          <w:p w14:paraId="4D1F8622">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center"/>
              <w:textAlignment w:val="auto"/>
              <w:rPr>
                <w:rFonts w:hint="eastAsia"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105400" cy="3009900"/>
                  <wp:effectExtent l="0" t="0" r="0" b="0"/>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pic:cNvPicPr>
                        </pic:nvPicPr>
                        <pic:blipFill>
                          <a:blip r:embed="rId30"/>
                          <a:stretch>
                            <a:fillRect/>
                          </a:stretch>
                        </pic:blipFill>
                        <pic:spPr>
                          <a:xfrm>
                            <a:off x="0" y="0"/>
                            <a:ext cx="5105400" cy="3009900"/>
                          </a:xfrm>
                          <a:prstGeom prst="rect">
                            <a:avLst/>
                          </a:prstGeom>
                          <a:noFill/>
                          <a:ln>
                            <a:noFill/>
                          </a:ln>
                        </pic:spPr>
                      </pic:pic>
                    </a:graphicData>
                  </a:graphic>
                </wp:inline>
              </w:drawing>
            </w:r>
          </w:p>
          <w:p w14:paraId="7B1DE448">
            <w:pPr>
              <w:pStyle w:val="58"/>
              <w:keepNext w:val="0"/>
              <w:keepLines w:val="0"/>
              <w:pageBreakBefore w:val="0"/>
              <w:widowControl w:val="0"/>
              <w:numPr>
                <w:ilvl w:val="4"/>
                <w:numId w:val="19"/>
              </w:numPr>
              <w:kinsoku/>
              <w:wordWrap/>
              <w:overflowPunct/>
              <w:topLinePunct w:val="0"/>
              <w:autoSpaceDE/>
              <w:autoSpaceDN/>
              <w:bidi w:val="0"/>
              <w:adjustRightInd w:val="0"/>
              <w:snapToGrid w:val="0"/>
              <w:spacing w:after="0" w:afterLines="0"/>
              <w:ind w:firstLine="422" w:firstLineChars="200"/>
              <w:textAlignment w:val="auto"/>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VOC物料平衡（t/a）</w:t>
            </w:r>
          </w:p>
          <w:p w14:paraId="2088CB95">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both"/>
              <w:textAlignment w:val="auto"/>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6</w:t>
            </w:r>
            <w:r>
              <w:rPr>
                <w:rFonts w:hint="eastAsia" w:eastAsia="宋体"/>
                <w:color w:val="000000" w:themeColor="text1"/>
                <w:sz w:val="24"/>
                <w:szCs w:val="24"/>
                <w:lang w:val="en-US" w:eastAsia="zh-CN"/>
                <w14:textFill>
                  <w14:solidFill>
                    <w14:schemeClr w14:val="tx1"/>
                  </w14:solidFill>
                </w14:textFill>
              </w:rPr>
              <w:t>、二甲苯物料平衡</w:t>
            </w:r>
          </w:p>
          <w:p w14:paraId="71D9EE32">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4819650" cy="1047750"/>
                  <wp:effectExtent l="0" t="0" r="0" b="0"/>
                  <wp:docPr id="1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pic:cNvPicPr>
                            <a:picLocks noChangeAspect="1"/>
                          </pic:cNvPicPr>
                        </pic:nvPicPr>
                        <pic:blipFill>
                          <a:blip r:embed="rId31"/>
                          <a:stretch>
                            <a:fillRect/>
                          </a:stretch>
                        </pic:blipFill>
                        <pic:spPr>
                          <a:xfrm>
                            <a:off x="0" y="0"/>
                            <a:ext cx="4819650" cy="1047750"/>
                          </a:xfrm>
                          <a:prstGeom prst="rect">
                            <a:avLst/>
                          </a:prstGeom>
                          <a:noFill/>
                          <a:ln>
                            <a:noFill/>
                          </a:ln>
                        </pic:spPr>
                      </pic:pic>
                    </a:graphicData>
                  </a:graphic>
                </wp:inline>
              </w:drawing>
            </w:r>
          </w:p>
          <w:p w14:paraId="31589BC7">
            <w:pPr>
              <w:pStyle w:val="58"/>
              <w:keepNext w:val="0"/>
              <w:keepLines w:val="0"/>
              <w:pageBreakBefore w:val="0"/>
              <w:widowControl w:val="0"/>
              <w:numPr>
                <w:ilvl w:val="4"/>
                <w:numId w:val="19"/>
              </w:numPr>
              <w:kinsoku/>
              <w:wordWrap/>
              <w:overflowPunct/>
              <w:topLinePunct w:val="0"/>
              <w:autoSpaceDE/>
              <w:autoSpaceDN/>
              <w:bidi w:val="0"/>
              <w:adjustRightInd w:val="0"/>
              <w:snapToGrid w:val="0"/>
              <w:spacing w:after="0" w:afterLines="0"/>
              <w:ind w:firstLine="422" w:firstLineChars="200"/>
              <w:textAlignment w:val="auto"/>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二甲苯物料平衡（t/a）</w:t>
            </w:r>
          </w:p>
          <w:p w14:paraId="2C0740B6">
            <w:pPr>
              <w:pStyle w:val="58"/>
              <w:keepNext w:val="0"/>
              <w:keepLines w:val="0"/>
              <w:pageBreakBefore w:val="0"/>
              <w:widowControl w:val="0"/>
              <w:numPr>
                <w:ilvl w:val="4"/>
                <w:numId w:val="0"/>
              </w:numPr>
              <w:tabs>
                <w:tab w:val="clear" w:pos="420"/>
              </w:tabs>
              <w:kinsoku/>
              <w:wordWrap/>
              <w:overflowPunct/>
              <w:topLinePunct w:val="0"/>
              <w:autoSpaceDE/>
              <w:autoSpaceDN/>
              <w:bidi w:val="0"/>
              <w:adjustRightInd w:val="0"/>
              <w:snapToGrid w:val="0"/>
              <w:spacing w:before="157" w:beforeLines="50" w:after="0" w:afterLines="0" w:line="360" w:lineRule="auto"/>
              <w:jc w:val="center"/>
              <w:textAlignment w:val="auto"/>
              <w:rPr>
                <w:rFonts w:hint="default"/>
                <w:color w:val="000000" w:themeColor="text1"/>
                <w:lang w:val="en-US" w:eastAsia="zh-CN"/>
                <w14:textFill>
                  <w14:solidFill>
                    <w14:schemeClr w14:val="tx1"/>
                  </w14:solidFill>
                </w14:textFill>
              </w:rPr>
            </w:pPr>
          </w:p>
        </w:tc>
      </w:tr>
      <w:tr w14:paraId="18FFD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7" w:hRule="atLeast"/>
          <w:jc w:val="center"/>
        </w:trPr>
        <w:tc>
          <w:tcPr>
            <w:tcW w:w="748" w:type="dxa"/>
            <w:tcBorders>
              <w:tl2br w:val="nil"/>
              <w:tr2bl w:val="nil"/>
            </w:tcBorders>
            <w:vAlign w:val="center"/>
          </w:tcPr>
          <w:p w14:paraId="23D69DF7">
            <w:pPr>
              <w:pStyle w:val="31"/>
              <w:spacing w:before="0" w:beforeAutospacing="0" w:after="0" w:afterAutospacing="0" w:line="240" w:lineRule="auto"/>
              <w:ind w:firstLine="0" w:firstLineChars="0"/>
              <w:jc w:val="center"/>
              <w:rPr>
                <w:rFonts w:hint="eastAsia" w:cs="宋体"/>
                <w:color w:val="000000" w:themeColor="text1"/>
                <w:sz w:val="21"/>
                <w:szCs w:val="21"/>
                <w14:textFill>
                  <w14:solidFill>
                    <w14:schemeClr w14:val="tx1"/>
                  </w14:solidFill>
                </w14:textFill>
              </w:rPr>
            </w:pPr>
            <w:r>
              <w:rPr>
                <w:rFonts w:hint="eastAsia" w:cs="宋体"/>
                <w:bCs/>
                <w:color w:val="000000" w:themeColor="text1"/>
                <w:kern w:val="2"/>
                <w:szCs w:val="24"/>
                <w14:textFill>
                  <w14:solidFill>
                    <w14:schemeClr w14:val="tx1"/>
                  </w14:solidFill>
                </w14:textFill>
              </w:rPr>
              <w:t>与项目有关的原有环境污染问题</w:t>
            </w:r>
          </w:p>
        </w:tc>
        <w:tc>
          <w:tcPr>
            <w:tcW w:w="8494" w:type="dxa"/>
            <w:tcBorders>
              <w:tl2br w:val="nil"/>
              <w:tr2bl w:val="nil"/>
            </w:tcBorders>
            <w:vAlign w:val="center"/>
          </w:tcPr>
          <w:p w14:paraId="3894AD8B">
            <w:pPr>
              <w:adjustRightInd/>
              <w:snapToGrid/>
              <w:ind w:firstLine="480"/>
              <w:rPr>
                <w:rFonts w:hint="eastAsia"/>
                <w:color w:val="000000" w:themeColor="text1"/>
                <w14:textFill>
                  <w14:solidFill>
                    <w14:schemeClr w14:val="tx1"/>
                  </w14:solidFill>
                </w14:textFill>
              </w:rPr>
            </w:pPr>
          </w:p>
          <w:p w14:paraId="6BE4AF1A">
            <w:pPr>
              <w:adjustRightInd/>
              <w:snapToGrid/>
              <w:ind w:firstLine="480"/>
              <w:rPr>
                <w:rFonts w:hint="eastAsia"/>
                <w:color w:val="000000" w:themeColor="text1"/>
                <w14:textFill>
                  <w14:solidFill>
                    <w14:schemeClr w14:val="tx1"/>
                  </w14:solidFill>
                </w14:textFill>
              </w:rPr>
            </w:pPr>
          </w:p>
          <w:p w14:paraId="47721D64">
            <w:pPr>
              <w:adjustRightInd/>
              <w:snapToGrid/>
              <w:ind w:firstLine="480"/>
              <w:rPr>
                <w:rFonts w:hint="eastAsia"/>
                <w:color w:val="000000" w:themeColor="text1"/>
                <w14:textFill>
                  <w14:solidFill>
                    <w14:schemeClr w14:val="tx1"/>
                  </w14:solidFill>
                </w14:textFill>
              </w:rPr>
            </w:pPr>
          </w:p>
          <w:p w14:paraId="47082FC8">
            <w:pPr>
              <w:adjustRightInd/>
              <w:snapToGrid/>
              <w:ind w:firstLine="480"/>
              <w:rPr>
                <w:rFonts w:hint="eastAsia"/>
                <w:color w:val="000000" w:themeColor="text1"/>
                <w14:textFill>
                  <w14:solidFill>
                    <w14:schemeClr w14:val="tx1"/>
                  </w14:solidFill>
                </w14:textFill>
              </w:rPr>
            </w:pPr>
          </w:p>
          <w:p w14:paraId="28E32803">
            <w:pPr>
              <w:adjustRightInd/>
              <w:snapToGrid/>
              <w:ind w:firstLine="480"/>
              <w:rPr>
                <w:rFonts w:hint="eastAsia"/>
                <w:color w:val="000000" w:themeColor="text1"/>
                <w14:textFill>
                  <w14:solidFill>
                    <w14:schemeClr w14:val="tx1"/>
                  </w14:solidFill>
                </w14:textFill>
              </w:rPr>
            </w:pPr>
          </w:p>
          <w:p w14:paraId="7F4263EC">
            <w:pPr>
              <w:adjustRightInd/>
              <w:snapToGrid/>
              <w:ind w:firstLine="480"/>
              <w:rPr>
                <w:rFonts w:hint="eastAsia"/>
                <w:color w:val="000000" w:themeColor="text1"/>
                <w14:textFill>
                  <w14:solidFill>
                    <w14:schemeClr w14:val="tx1"/>
                  </w14:solidFill>
                </w14:textFill>
              </w:rPr>
            </w:pPr>
          </w:p>
          <w:p w14:paraId="0022AEE6">
            <w:pPr>
              <w:adjustRightInd/>
              <w:snapToGrid/>
              <w:ind w:firstLine="480"/>
              <w:rPr>
                <w:rFonts w:hint="eastAsia"/>
                <w:color w:val="000000" w:themeColor="text1"/>
                <w14:textFill>
                  <w14:solidFill>
                    <w14:schemeClr w14:val="tx1"/>
                  </w14:solidFill>
                </w14:textFill>
              </w:rPr>
            </w:pPr>
          </w:p>
          <w:p w14:paraId="2274883D">
            <w:pPr>
              <w:adjustRightInd/>
              <w:snapToGrid/>
              <w:ind w:firstLine="480"/>
              <w:rPr>
                <w:rFonts w:hint="eastAsia"/>
                <w:color w:val="000000" w:themeColor="text1"/>
                <w14:textFill>
                  <w14:solidFill>
                    <w14:schemeClr w14:val="tx1"/>
                  </w14:solidFill>
                </w14:textFill>
              </w:rPr>
            </w:pPr>
          </w:p>
          <w:p w14:paraId="3C69E3AF">
            <w:pPr>
              <w:adjustRightInd/>
              <w:snapToGrid/>
              <w:ind w:firstLine="480"/>
              <w:rPr>
                <w:rFonts w:hint="eastAsia"/>
                <w:color w:val="000000" w:themeColor="text1"/>
                <w14:textFill>
                  <w14:solidFill>
                    <w14:schemeClr w14:val="tx1"/>
                  </w14:solidFill>
                </w14:textFill>
              </w:rPr>
            </w:pPr>
          </w:p>
          <w:p w14:paraId="229A3BD6">
            <w:pPr>
              <w:adjustRightInd/>
              <w:snapToGrid/>
              <w:ind w:firstLine="480"/>
              <w:rPr>
                <w:rFonts w:hint="eastAsia"/>
                <w:color w:val="000000" w:themeColor="text1"/>
                <w14:textFill>
                  <w14:solidFill>
                    <w14:schemeClr w14:val="tx1"/>
                  </w14:solidFill>
                </w14:textFill>
              </w:rPr>
            </w:pPr>
          </w:p>
          <w:p w14:paraId="285BC9AD">
            <w:pPr>
              <w:adjustRightInd/>
              <w:snapToGrid/>
              <w:ind w:firstLine="480"/>
              <w:rPr>
                <w:rFonts w:hint="eastAsia"/>
                <w:color w:val="000000" w:themeColor="text1"/>
                <w14:textFill>
                  <w14:solidFill>
                    <w14:schemeClr w14:val="tx1"/>
                  </w14:solidFill>
                </w14:textFill>
              </w:rPr>
            </w:pPr>
          </w:p>
          <w:p w14:paraId="311CD53E">
            <w:pPr>
              <w:adjustRightInd/>
              <w:snapToGrid/>
              <w:ind w:firstLine="480"/>
              <w:rPr>
                <w:rFonts w:hint="eastAsia"/>
                <w:color w:val="000000" w:themeColor="text1"/>
                <w14:textFill>
                  <w14:solidFill>
                    <w14:schemeClr w14:val="tx1"/>
                  </w14:solidFill>
                </w14:textFill>
              </w:rPr>
            </w:pPr>
          </w:p>
          <w:p w14:paraId="4D926662">
            <w:pPr>
              <w:adjustRightInd/>
              <w:snapToGrid/>
              <w:ind w:firstLine="480"/>
              <w:rPr>
                <w:rFonts w:hint="eastAsia"/>
                <w:color w:val="000000" w:themeColor="text1"/>
                <w14:textFill>
                  <w14:solidFill>
                    <w14:schemeClr w14:val="tx1"/>
                  </w14:solidFill>
                </w14:textFill>
              </w:rPr>
            </w:pPr>
          </w:p>
          <w:p w14:paraId="6625640F">
            <w:pPr>
              <w:adjustRightInd/>
              <w:snapToGrid/>
              <w:ind w:firstLine="480"/>
              <w:rPr>
                <w:rFonts w:hint="eastAsia"/>
                <w:color w:val="000000" w:themeColor="text1"/>
                <w14:textFill>
                  <w14:solidFill>
                    <w14:schemeClr w14:val="tx1"/>
                  </w14:solidFill>
                </w14:textFill>
              </w:rPr>
            </w:pPr>
          </w:p>
          <w:p w14:paraId="63F1CA75">
            <w:pPr>
              <w:adjustRightInd/>
              <w:snapToGrid/>
              <w:ind w:firstLine="480"/>
              <w:rPr>
                <w:rFonts w:hint="eastAsia"/>
                <w:color w:val="000000" w:themeColor="text1"/>
                <w14:textFill>
                  <w14:solidFill>
                    <w14:schemeClr w14:val="tx1"/>
                  </w14:solidFill>
                </w14:textFill>
              </w:rPr>
            </w:pPr>
          </w:p>
          <w:p w14:paraId="7B76D615">
            <w:pPr>
              <w:adjustRightInd/>
              <w:snapToGrid/>
              <w:ind w:firstLine="48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项目</w:t>
            </w:r>
            <w:r>
              <w:rPr>
                <w:rFonts w:hint="eastAsia"/>
                <w:color w:val="000000" w:themeColor="text1"/>
                <w:lang w:val="en-US" w:eastAsia="zh-CN"/>
                <w14:textFill>
                  <w14:solidFill>
                    <w14:schemeClr w14:val="tx1"/>
                  </w14:solidFill>
                </w14:textFill>
              </w:rPr>
              <w:t>位于江西高安高新技术产业园区新世纪产业园，租赁</w:t>
            </w:r>
            <w:r>
              <w:rPr>
                <w:rFonts w:hint="eastAsia"/>
                <w:color w:val="000000" w:themeColor="text1"/>
                <w14:textFill>
                  <w14:solidFill>
                    <w14:schemeClr w14:val="tx1"/>
                  </w14:solidFill>
                </w14:textFill>
              </w:rPr>
              <w:t>园区祥星大道西侧标准厂房第8栋</w:t>
            </w:r>
            <w:r>
              <w:rPr>
                <w:rFonts w:hint="eastAsia"/>
                <w:color w:val="000000" w:themeColor="text1"/>
                <w:lang w:val="en-US" w:eastAsia="zh-CN"/>
                <w14:textFill>
                  <w14:solidFill>
                    <w14:schemeClr w14:val="tx1"/>
                  </w14:solidFill>
                </w14:textFill>
              </w:rPr>
              <w:t>进行生产</w:t>
            </w:r>
            <w:r>
              <w:rPr>
                <w:rFonts w:hint="eastAsia"/>
                <w:color w:val="000000" w:themeColor="text1"/>
                <w14:textFill>
                  <w14:solidFill>
                    <w14:schemeClr w14:val="tx1"/>
                  </w14:solidFill>
                </w14:textFill>
              </w:rPr>
              <w:t>。本次环评现场踏勘，租赁为空置厂房，无原有环境污染问题。</w:t>
            </w:r>
          </w:p>
          <w:p w14:paraId="2CB899D1">
            <w:pPr>
              <w:adjustRightInd/>
              <w:snapToGrid/>
              <w:ind w:firstLine="480"/>
              <w:rPr>
                <w:rFonts w:hint="eastAsia"/>
                <w:color w:val="000000" w:themeColor="text1"/>
                <w14:textFill>
                  <w14:solidFill>
                    <w14:schemeClr w14:val="tx1"/>
                  </w14:solidFill>
                </w14:textFill>
              </w:rPr>
            </w:pPr>
          </w:p>
          <w:p w14:paraId="24AAFA48">
            <w:pPr>
              <w:adjustRightInd/>
              <w:snapToGrid/>
              <w:ind w:firstLine="480"/>
              <w:rPr>
                <w:rFonts w:hint="eastAsia"/>
                <w:color w:val="000000" w:themeColor="text1"/>
                <w14:textFill>
                  <w14:solidFill>
                    <w14:schemeClr w14:val="tx1"/>
                  </w14:solidFill>
                </w14:textFill>
              </w:rPr>
            </w:pPr>
          </w:p>
          <w:p w14:paraId="612409DC">
            <w:pPr>
              <w:adjustRightInd/>
              <w:snapToGrid/>
              <w:ind w:firstLine="480"/>
              <w:rPr>
                <w:rFonts w:hint="eastAsia"/>
                <w:color w:val="000000" w:themeColor="text1"/>
                <w14:textFill>
                  <w14:solidFill>
                    <w14:schemeClr w14:val="tx1"/>
                  </w14:solidFill>
                </w14:textFill>
              </w:rPr>
            </w:pPr>
          </w:p>
          <w:p w14:paraId="4F1A7B5D">
            <w:pPr>
              <w:adjustRightInd/>
              <w:snapToGrid/>
              <w:ind w:firstLine="480"/>
              <w:rPr>
                <w:rFonts w:hint="eastAsia"/>
                <w:color w:val="000000" w:themeColor="text1"/>
                <w14:textFill>
                  <w14:solidFill>
                    <w14:schemeClr w14:val="tx1"/>
                  </w14:solidFill>
                </w14:textFill>
              </w:rPr>
            </w:pPr>
          </w:p>
          <w:p w14:paraId="31EDBE07">
            <w:pPr>
              <w:adjustRightInd/>
              <w:snapToGrid/>
              <w:ind w:firstLine="480"/>
              <w:rPr>
                <w:rFonts w:hint="eastAsia"/>
                <w:color w:val="000000" w:themeColor="text1"/>
                <w14:textFill>
                  <w14:solidFill>
                    <w14:schemeClr w14:val="tx1"/>
                  </w14:solidFill>
                </w14:textFill>
              </w:rPr>
            </w:pPr>
          </w:p>
          <w:p w14:paraId="737A0764">
            <w:pPr>
              <w:adjustRightInd/>
              <w:snapToGrid/>
              <w:ind w:firstLine="480"/>
              <w:rPr>
                <w:rFonts w:hint="eastAsia"/>
                <w:color w:val="000000" w:themeColor="text1"/>
                <w14:textFill>
                  <w14:solidFill>
                    <w14:schemeClr w14:val="tx1"/>
                  </w14:solidFill>
                </w14:textFill>
              </w:rPr>
            </w:pPr>
          </w:p>
          <w:p w14:paraId="32E55C68">
            <w:pPr>
              <w:adjustRightInd/>
              <w:snapToGrid/>
              <w:ind w:firstLine="480"/>
              <w:rPr>
                <w:rFonts w:hint="eastAsia"/>
                <w:color w:val="000000" w:themeColor="text1"/>
                <w14:textFill>
                  <w14:solidFill>
                    <w14:schemeClr w14:val="tx1"/>
                  </w14:solidFill>
                </w14:textFill>
              </w:rPr>
            </w:pPr>
          </w:p>
          <w:p w14:paraId="10AB19EB">
            <w:pPr>
              <w:adjustRightInd/>
              <w:snapToGrid/>
              <w:ind w:firstLine="480"/>
              <w:rPr>
                <w:rFonts w:hint="eastAsia"/>
                <w:color w:val="000000" w:themeColor="text1"/>
                <w14:textFill>
                  <w14:solidFill>
                    <w14:schemeClr w14:val="tx1"/>
                  </w14:solidFill>
                </w14:textFill>
              </w:rPr>
            </w:pPr>
          </w:p>
          <w:p w14:paraId="1A886BAB">
            <w:pPr>
              <w:adjustRightInd/>
              <w:snapToGrid/>
              <w:ind w:firstLine="480"/>
              <w:rPr>
                <w:rFonts w:hint="eastAsia"/>
                <w:color w:val="000000" w:themeColor="text1"/>
                <w14:textFill>
                  <w14:solidFill>
                    <w14:schemeClr w14:val="tx1"/>
                  </w14:solidFill>
                </w14:textFill>
              </w:rPr>
            </w:pPr>
          </w:p>
          <w:p w14:paraId="46A5AA47">
            <w:pPr>
              <w:adjustRightInd/>
              <w:snapToGrid/>
              <w:ind w:firstLine="480"/>
              <w:rPr>
                <w:rFonts w:hint="eastAsia"/>
                <w:color w:val="000000" w:themeColor="text1"/>
                <w14:textFill>
                  <w14:solidFill>
                    <w14:schemeClr w14:val="tx1"/>
                  </w14:solidFill>
                </w14:textFill>
              </w:rPr>
            </w:pPr>
          </w:p>
          <w:p w14:paraId="13078F87">
            <w:pPr>
              <w:adjustRightInd/>
              <w:snapToGrid/>
              <w:ind w:firstLine="480"/>
              <w:rPr>
                <w:rFonts w:hint="eastAsia"/>
                <w:color w:val="000000" w:themeColor="text1"/>
                <w14:textFill>
                  <w14:solidFill>
                    <w14:schemeClr w14:val="tx1"/>
                  </w14:solidFill>
                </w14:textFill>
              </w:rPr>
            </w:pPr>
          </w:p>
          <w:p w14:paraId="10575A8C">
            <w:pPr>
              <w:adjustRightInd/>
              <w:snapToGrid/>
              <w:ind w:firstLine="480"/>
              <w:rPr>
                <w:rFonts w:hint="eastAsia"/>
                <w:color w:val="000000" w:themeColor="text1"/>
                <w14:textFill>
                  <w14:solidFill>
                    <w14:schemeClr w14:val="tx1"/>
                  </w14:solidFill>
                </w14:textFill>
              </w:rPr>
            </w:pPr>
          </w:p>
          <w:p w14:paraId="0B575990">
            <w:pPr>
              <w:adjustRightInd/>
              <w:snapToGrid/>
              <w:ind w:left="0" w:leftChars="0" w:firstLine="0" w:firstLineChars="0"/>
              <w:rPr>
                <w:rFonts w:hint="eastAsia"/>
                <w:color w:val="000000" w:themeColor="text1"/>
                <w14:textFill>
                  <w14:solidFill>
                    <w14:schemeClr w14:val="tx1"/>
                  </w14:solidFill>
                </w14:textFill>
              </w:rPr>
            </w:pPr>
          </w:p>
        </w:tc>
      </w:tr>
    </w:tbl>
    <w:p w14:paraId="2AD45FB6">
      <w:pPr>
        <w:pStyle w:val="45"/>
        <w:rPr>
          <w:color w:val="000000" w:themeColor="text1"/>
          <w14:textFill>
            <w14:solidFill>
              <w14:schemeClr w14:val="tx1"/>
            </w14:solidFill>
          </w14:textFill>
        </w:rPr>
        <w:sectPr>
          <w:pgSz w:w="11906" w:h="16838"/>
          <w:pgMar w:top="1797" w:right="1440" w:bottom="1797" w:left="1440" w:header="851" w:footer="1304" w:gutter="0"/>
          <w:pgBorders>
            <w:top w:val="none" w:sz="0" w:space="0"/>
            <w:left w:val="none" w:sz="0" w:space="0"/>
            <w:bottom w:val="none" w:sz="0" w:space="0"/>
            <w:right w:val="none" w:sz="0" w:space="0"/>
          </w:pgBorders>
          <w:cols w:space="0" w:num="1"/>
          <w:docGrid w:linePitch="312" w:charSpace="0"/>
        </w:sectPr>
      </w:pPr>
    </w:p>
    <w:p w14:paraId="30689F96">
      <w:pPr>
        <w:pStyle w:val="56"/>
        <w:numPr>
          <w:ilvl w:val="0"/>
          <w:numId w:val="19"/>
        </w:numPr>
        <w:spacing w:before="120"/>
        <w:rPr>
          <w:color w:val="000000" w:themeColor="text1"/>
          <w14:textFill>
            <w14:solidFill>
              <w14:schemeClr w14:val="tx1"/>
            </w14:solidFill>
          </w14:textFill>
        </w:rPr>
      </w:pPr>
      <w:bookmarkStart w:id="23" w:name="_Toc10725"/>
      <w:r>
        <w:rPr>
          <w:rFonts w:hint="eastAsia"/>
          <w:color w:val="000000" w:themeColor="text1"/>
          <w14:textFill>
            <w14:solidFill>
              <w14:schemeClr w14:val="tx1"/>
            </w14:solidFill>
          </w14:textFill>
        </w:rPr>
        <w:t>区域环境质量现状、环境保护目标及评价标准</w:t>
      </w:r>
      <w:bookmarkEnd w:id="23"/>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8586"/>
      </w:tblGrid>
      <w:tr w14:paraId="72B33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7" w:hRule="atLeast"/>
          <w:jc w:val="center"/>
        </w:trPr>
        <w:tc>
          <w:tcPr>
            <w:tcW w:w="667" w:type="dxa"/>
            <w:tcBorders>
              <w:tl2br w:val="nil"/>
              <w:tr2bl w:val="nil"/>
            </w:tcBorders>
            <w:vAlign w:val="center"/>
          </w:tcPr>
          <w:p w14:paraId="38BF087F">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区域</w:t>
            </w:r>
          </w:p>
          <w:p w14:paraId="13B5C329">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环境</w:t>
            </w:r>
          </w:p>
          <w:p w14:paraId="3F0CB943">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质量</w:t>
            </w:r>
          </w:p>
          <w:p w14:paraId="662C101C">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现状</w:t>
            </w:r>
          </w:p>
        </w:tc>
        <w:tc>
          <w:tcPr>
            <w:tcW w:w="8559" w:type="dxa"/>
            <w:tcBorders>
              <w:tl2br w:val="nil"/>
              <w:tr2bl w:val="nil"/>
            </w:tcBorders>
            <w:vAlign w:val="center"/>
          </w:tcPr>
          <w:p w14:paraId="4372FB08">
            <w:pPr>
              <w:spacing w:before="120" w:beforeLines="50"/>
              <w:ind w:firstLine="482"/>
              <w:rPr>
                <w:color w:val="000000" w:themeColor="text1"/>
                <w14:textFill>
                  <w14:solidFill>
                    <w14:schemeClr w14:val="tx1"/>
                  </w14:solidFill>
                </w14:textFill>
              </w:rPr>
            </w:pPr>
            <w:r>
              <w:rPr>
                <w:rFonts w:hint="eastAsia"/>
                <w:b/>
                <w:bCs/>
                <w:color w:val="000000" w:themeColor="text1"/>
                <w14:textFill>
                  <w14:solidFill>
                    <w14:schemeClr w14:val="tx1"/>
                  </w14:solidFill>
                </w14:textFill>
              </w:rPr>
              <w:t>1、环境空气质量现状</w:t>
            </w:r>
          </w:p>
          <w:p w14:paraId="2D153B39">
            <w:pPr>
              <w:ind w:firstLine="482"/>
              <w:rPr>
                <w:color w:val="000000" w:themeColor="text1"/>
                <w14:textFill>
                  <w14:solidFill>
                    <w14:schemeClr w14:val="tx1"/>
                  </w14:solidFill>
                </w14:textFill>
              </w:rPr>
            </w:pPr>
            <w:r>
              <w:rPr>
                <w:rFonts w:hint="eastAsia"/>
                <w:b/>
                <w:bCs/>
                <w:color w:val="000000" w:themeColor="text1"/>
                <w14:textFill>
                  <w14:solidFill>
                    <w14:schemeClr w14:val="tx1"/>
                  </w14:solidFill>
                </w14:textFill>
              </w:rPr>
              <w:t>（1）基本污染物环境质量现状</w:t>
            </w:r>
          </w:p>
          <w:p w14:paraId="228DC0F7">
            <w:pPr>
              <w:ind w:firstLine="480"/>
              <w:rPr>
                <w:color w:val="000000" w:themeColor="text1"/>
                <w14:textFill>
                  <w14:solidFill>
                    <w14:schemeClr w14:val="tx1"/>
                  </w14:solidFill>
                </w14:textFill>
              </w:rPr>
            </w:pPr>
            <w:r>
              <w:rPr>
                <w:color w:val="000000" w:themeColor="text1"/>
                <w14:textFill>
                  <w14:solidFill>
                    <w14:schemeClr w14:val="tx1"/>
                  </w14:solidFill>
                </w14:textFill>
              </w:rPr>
              <w:t>项目位于</w:t>
            </w:r>
            <w:r>
              <w:rPr>
                <w:rFonts w:hint="eastAsia"/>
                <w:color w:val="000000" w:themeColor="text1"/>
                <w:lang w:val="en-US" w:eastAsia="zh-CN"/>
                <w14:textFill>
                  <w14:solidFill>
                    <w14:schemeClr w14:val="tx1"/>
                  </w14:solidFill>
                </w14:textFill>
              </w:rPr>
              <w:t>江西高安</w:t>
            </w:r>
            <w:r>
              <w:rPr>
                <w:rFonts w:hint="eastAsia"/>
                <w:color w:val="000000" w:themeColor="text1"/>
                <w14:textFill>
                  <w14:solidFill>
                    <w14:schemeClr w14:val="tx1"/>
                  </w14:solidFill>
                </w14:textFill>
              </w:rPr>
              <w:t>宜</w:t>
            </w:r>
            <w:r>
              <w:rPr>
                <w:rFonts w:hint="eastAsia"/>
                <w:color w:val="000000" w:themeColor="text1"/>
                <w:szCs w:val="21"/>
                <w14:textFill>
                  <w14:solidFill>
                    <w14:schemeClr w14:val="tx1"/>
                  </w14:solidFill>
                </w14:textFill>
              </w:rPr>
              <w:t>高新技术产业园区</w:t>
            </w:r>
            <w:r>
              <w:rPr>
                <w:rFonts w:hint="eastAsia"/>
                <w:color w:val="000000" w:themeColor="text1"/>
                <w:szCs w:val="21"/>
                <w:lang w:val="en-US" w:eastAsia="zh-CN"/>
                <w14:textFill>
                  <w14:solidFill>
                    <w14:schemeClr w14:val="tx1"/>
                  </w14:solidFill>
                </w14:textFill>
              </w:rPr>
              <w:t>新世纪产业园</w:t>
            </w:r>
            <w:r>
              <w:rPr>
                <w:color w:val="000000" w:themeColor="text1"/>
                <w14:textFill>
                  <w14:solidFill>
                    <w14:schemeClr w14:val="tx1"/>
                  </w14:solidFill>
                </w14:textFill>
              </w:rPr>
              <w:t>，为了解建设项目所在区域环境空气质量现状达标情况，本次评价引用江西省生态环境厅发布的</w:t>
            </w:r>
            <w:r>
              <w:rPr>
                <w:rFonts w:hint="eastAsia"/>
                <w:color w:val="000000" w:themeColor="text1"/>
                <w14:textFill>
                  <w14:solidFill>
                    <w14:schemeClr w14:val="tx1"/>
                  </w14:solidFill>
                </w14:textFill>
              </w:rPr>
              <w:t>《2024年江西省各县（市、区）六项污染物浓度年均值》</w:t>
            </w:r>
            <w:r>
              <w:rPr>
                <w:color w:val="000000" w:themeColor="text1"/>
                <w14:textFill>
                  <w14:solidFill>
                    <w14:schemeClr w14:val="tx1"/>
                  </w14:solidFill>
                </w14:textFill>
              </w:rPr>
              <w:t>对项目所在区域环境空气质量达标情况进行评价，</w:t>
            </w:r>
            <w:r>
              <w:rPr>
                <w:rFonts w:hint="eastAsia"/>
                <w:color w:val="000000" w:themeColor="text1"/>
                <w14:textFill>
                  <w14:solidFill>
                    <w14:schemeClr w14:val="tx1"/>
                  </w14:solidFill>
                </w14:textFill>
              </w:rPr>
              <w:t>基本污染物环境质量现状见表3-1。</w:t>
            </w:r>
          </w:p>
          <w:p w14:paraId="3330939B">
            <w:pPr>
              <w:pStyle w:val="57"/>
              <w:numPr>
                <w:ilvl w:val="3"/>
                <w:numId w:val="19"/>
              </w:numPr>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高安市2024年</w:t>
            </w:r>
            <w:r>
              <w:rPr>
                <w:color w:val="000000" w:themeColor="text1"/>
                <w:lang w:eastAsia="zh-CN"/>
                <w14:textFill>
                  <w14:solidFill>
                    <w14:schemeClr w14:val="tx1"/>
                  </w14:solidFill>
                </w14:textFill>
              </w:rPr>
              <w:t>基本污染物环境质量现状表</w:t>
            </w:r>
            <w:r>
              <w:rPr>
                <w:rFonts w:hint="eastAsia"/>
                <w:color w:val="000000" w:themeColor="text1"/>
                <w:lang w:eastAsia="zh-CN"/>
                <w14:textFill>
                  <w14:solidFill>
                    <w14:schemeClr w14:val="tx1"/>
                  </w14:solidFill>
                </w14:textFill>
              </w:rPr>
              <w:t xml:space="preserve">     单位：</w:t>
            </w:r>
            <w:r>
              <w:rPr>
                <w:color w:val="000000" w:themeColor="text1"/>
                <w14:textFill>
                  <w14:solidFill>
                    <w14:schemeClr w14:val="tx1"/>
                  </w14:solidFill>
                </w14:textFill>
              </w:rPr>
              <w:t>μ</w:t>
            </w:r>
            <w:r>
              <w:rPr>
                <w:color w:val="000000" w:themeColor="text1"/>
                <w:lang w:eastAsia="zh-CN"/>
                <w14:textFill>
                  <w14:solidFill>
                    <w14:schemeClr w14:val="tx1"/>
                  </w14:solidFill>
                </w14:textFill>
              </w:rPr>
              <w:t>g/m</w:t>
            </w:r>
            <w:r>
              <w:rPr>
                <w:color w:val="000000" w:themeColor="text1"/>
                <w:vertAlign w:val="superscript"/>
                <w:lang w:eastAsia="zh-CN"/>
                <w14:textFill>
                  <w14:solidFill>
                    <w14:schemeClr w14:val="tx1"/>
                  </w14:solidFill>
                </w14:textFill>
              </w:rPr>
              <w:t>3</w:t>
            </w:r>
          </w:p>
          <w:tbl>
            <w:tblPr>
              <w:tblStyle w:val="37"/>
              <w:tblW w:w="83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432"/>
              <w:gridCol w:w="1333"/>
              <w:gridCol w:w="1197"/>
              <w:gridCol w:w="1197"/>
              <w:gridCol w:w="1199"/>
            </w:tblGrid>
            <w:tr w14:paraId="61713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053" w:type="pct"/>
                  <w:tcBorders>
                    <w:tl2br w:val="nil"/>
                    <w:tr2bl w:val="nil"/>
                  </w:tcBorders>
                  <w:vAlign w:val="center"/>
                </w:tcPr>
                <w:p w14:paraId="51EAB47C">
                  <w:pPr>
                    <w:pStyle w:val="79"/>
                    <w:rPr>
                      <w:color w:val="000000" w:themeColor="text1"/>
                      <w14:textFill>
                        <w14:solidFill>
                          <w14:schemeClr w14:val="tx1"/>
                        </w14:solidFill>
                      </w14:textFill>
                    </w:rPr>
                  </w:pPr>
                  <w:r>
                    <w:rPr>
                      <w:color w:val="000000" w:themeColor="text1"/>
                      <w14:textFill>
                        <w14:solidFill>
                          <w14:schemeClr w14:val="tx1"/>
                        </w14:solidFill>
                      </w14:textFill>
                    </w:rPr>
                    <w:t>污染物</w:t>
                  </w:r>
                </w:p>
              </w:tc>
              <w:tc>
                <w:tcPr>
                  <w:tcW w:w="797" w:type="pct"/>
                  <w:tcBorders>
                    <w:tl2br w:val="nil"/>
                    <w:tr2bl w:val="nil"/>
                  </w:tcBorders>
                  <w:vAlign w:val="center"/>
                </w:tcPr>
                <w:p w14:paraId="341ACCD1">
                  <w:pPr>
                    <w:pStyle w:val="79"/>
                    <w:rPr>
                      <w:color w:val="000000" w:themeColor="text1"/>
                      <w14:textFill>
                        <w14:solidFill>
                          <w14:schemeClr w14:val="tx1"/>
                        </w14:solidFill>
                      </w14:textFill>
                    </w:rPr>
                  </w:pPr>
                  <w:r>
                    <w:rPr>
                      <w:color w:val="000000" w:themeColor="text1"/>
                      <w14:textFill>
                        <w14:solidFill>
                          <w14:schemeClr w14:val="tx1"/>
                        </w14:solidFill>
                      </w14:textFill>
                    </w:rPr>
                    <w:t>评价标准</w:t>
                  </w:r>
                </w:p>
              </w:tc>
              <w:tc>
                <w:tcPr>
                  <w:tcW w:w="716" w:type="pct"/>
                  <w:tcBorders>
                    <w:tl2br w:val="nil"/>
                    <w:tr2bl w:val="nil"/>
                  </w:tcBorders>
                  <w:vAlign w:val="center"/>
                </w:tcPr>
                <w:p w14:paraId="03304A9E">
                  <w:pPr>
                    <w:pStyle w:val="79"/>
                    <w:rPr>
                      <w:color w:val="000000" w:themeColor="text1"/>
                      <w14:textFill>
                        <w14:solidFill>
                          <w14:schemeClr w14:val="tx1"/>
                        </w14:solidFill>
                      </w14:textFill>
                    </w:rPr>
                  </w:pPr>
                  <w:r>
                    <w:rPr>
                      <w:color w:val="000000" w:themeColor="text1"/>
                      <w14:textFill>
                        <w14:solidFill>
                          <w14:schemeClr w14:val="tx1"/>
                        </w14:solidFill>
                      </w14:textFill>
                    </w:rPr>
                    <w:t>现状</w:t>
                  </w:r>
                </w:p>
                <w:p w14:paraId="6EAB36F5">
                  <w:pPr>
                    <w:pStyle w:val="79"/>
                    <w:rPr>
                      <w:color w:val="000000" w:themeColor="text1"/>
                      <w14:textFill>
                        <w14:solidFill>
                          <w14:schemeClr w14:val="tx1"/>
                        </w14:solidFill>
                      </w14:textFill>
                    </w:rPr>
                  </w:pPr>
                  <w:r>
                    <w:rPr>
                      <w:color w:val="000000" w:themeColor="text1"/>
                      <w14:textFill>
                        <w14:solidFill>
                          <w14:schemeClr w14:val="tx1"/>
                        </w14:solidFill>
                      </w14:textFill>
                    </w:rPr>
                    <w:t>浓度</w:t>
                  </w:r>
                </w:p>
              </w:tc>
              <w:tc>
                <w:tcPr>
                  <w:tcW w:w="716" w:type="pct"/>
                  <w:tcBorders>
                    <w:tl2br w:val="nil"/>
                    <w:tr2bl w:val="nil"/>
                  </w:tcBorders>
                  <w:vAlign w:val="center"/>
                </w:tcPr>
                <w:p w14:paraId="3968519D">
                  <w:pPr>
                    <w:pStyle w:val="79"/>
                    <w:rPr>
                      <w:color w:val="000000" w:themeColor="text1"/>
                      <w14:textFill>
                        <w14:solidFill>
                          <w14:schemeClr w14:val="tx1"/>
                        </w14:solidFill>
                      </w14:textFill>
                    </w:rPr>
                  </w:pPr>
                  <w:r>
                    <w:rPr>
                      <w:rFonts w:hint="eastAsia"/>
                      <w:color w:val="000000" w:themeColor="text1"/>
                      <w14:textFill>
                        <w14:solidFill>
                          <w14:schemeClr w14:val="tx1"/>
                        </w14:solidFill>
                      </w14:textFill>
                    </w:rPr>
                    <w:t>占标率%</w:t>
                  </w:r>
                </w:p>
              </w:tc>
              <w:tc>
                <w:tcPr>
                  <w:tcW w:w="717" w:type="pct"/>
                  <w:tcBorders>
                    <w:tl2br w:val="nil"/>
                    <w:tr2bl w:val="nil"/>
                  </w:tcBorders>
                  <w:vAlign w:val="center"/>
                </w:tcPr>
                <w:p w14:paraId="720FC122">
                  <w:pPr>
                    <w:pStyle w:val="79"/>
                    <w:rPr>
                      <w:color w:val="000000" w:themeColor="text1"/>
                      <w14:textFill>
                        <w14:solidFill>
                          <w14:schemeClr w14:val="tx1"/>
                        </w14:solidFill>
                      </w14:textFill>
                    </w:rPr>
                  </w:pPr>
                  <w:r>
                    <w:rPr>
                      <w:color w:val="000000" w:themeColor="text1"/>
                      <w14:textFill>
                        <w14:solidFill>
                          <w14:schemeClr w14:val="tx1"/>
                        </w14:solidFill>
                      </w14:textFill>
                    </w:rPr>
                    <w:t>达标情况</w:t>
                  </w:r>
                </w:p>
              </w:tc>
            </w:tr>
            <w:tr w14:paraId="04DFA4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053" w:type="pct"/>
                  <w:tcBorders>
                    <w:tl2br w:val="nil"/>
                    <w:tr2bl w:val="nil"/>
                  </w:tcBorders>
                  <w:vAlign w:val="center"/>
                </w:tcPr>
                <w:p w14:paraId="6845FE81">
                  <w:pPr>
                    <w:pStyle w:val="65"/>
                    <w:rPr>
                      <w:color w:val="000000" w:themeColor="text1"/>
                      <w14:textFill>
                        <w14:solidFill>
                          <w14:schemeClr w14:val="tx1"/>
                        </w14:solidFill>
                      </w14:textFill>
                    </w:rPr>
                  </w:pPr>
                  <w:r>
                    <w:rPr>
                      <w:color w:val="000000" w:themeColor="text1"/>
                      <w14:textFill>
                        <w14:solidFill>
                          <w14:schemeClr w14:val="tx1"/>
                        </w14:solidFill>
                      </w14:textFill>
                    </w:rPr>
                    <w:t>SO</w:t>
                  </w:r>
                  <w:r>
                    <w:rPr>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年平均值</w:t>
                  </w:r>
                </w:p>
              </w:tc>
              <w:tc>
                <w:tcPr>
                  <w:tcW w:w="797" w:type="pct"/>
                  <w:tcBorders>
                    <w:tl2br w:val="nil"/>
                    <w:tr2bl w:val="nil"/>
                  </w:tcBorders>
                  <w:vAlign w:val="center"/>
                </w:tcPr>
                <w:p w14:paraId="60417DD8">
                  <w:pPr>
                    <w:pStyle w:val="65"/>
                    <w:rPr>
                      <w:color w:val="000000" w:themeColor="text1"/>
                      <w14:textFill>
                        <w14:solidFill>
                          <w14:schemeClr w14:val="tx1"/>
                        </w14:solidFill>
                      </w14:textFill>
                    </w:rPr>
                  </w:pPr>
                  <w:r>
                    <w:rPr>
                      <w:color w:val="000000" w:themeColor="text1"/>
                      <w14:textFill>
                        <w14:solidFill>
                          <w14:schemeClr w14:val="tx1"/>
                        </w14:solidFill>
                      </w14:textFill>
                    </w:rPr>
                    <w:t>60</w:t>
                  </w:r>
                </w:p>
              </w:tc>
              <w:tc>
                <w:tcPr>
                  <w:tcW w:w="716" w:type="pct"/>
                  <w:tcBorders>
                    <w:tl2br w:val="nil"/>
                    <w:tr2bl w:val="nil"/>
                  </w:tcBorders>
                  <w:vAlign w:val="center"/>
                </w:tcPr>
                <w:p w14:paraId="4B859F49">
                  <w:pPr>
                    <w:pStyle w:val="65"/>
                    <w:rPr>
                      <w:color w:val="000000" w:themeColor="text1"/>
                      <w14:textFill>
                        <w14:solidFill>
                          <w14:schemeClr w14:val="tx1"/>
                        </w14:solidFill>
                      </w14:textFill>
                    </w:rPr>
                  </w:pPr>
                  <w:r>
                    <w:rPr>
                      <w:color w:val="000000" w:themeColor="text1"/>
                      <w14:textFill>
                        <w14:solidFill>
                          <w14:schemeClr w14:val="tx1"/>
                        </w14:solidFill>
                      </w14:textFill>
                    </w:rPr>
                    <w:t>11</w:t>
                  </w:r>
                </w:p>
              </w:tc>
              <w:tc>
                <w:tcPr>
                  <w:tcW w:w="716" w:type="pct"/>
                  <w:tcBorders>
                    <w:tl2br w:val="nil"/>
                    <w:tr2bl w:val="nil"/>
                  </w:tcBorders>
                  <w:vAlign w:val="center"/>
                </w:tcPr>
                <w:p w14:paraId="603C88DC">
                  <w:pPr>
                    <w:pStyle w:val="65"/>
                    <w:rPr>
                      <w:color w:val="000000" w:themeColor="text1"/>
                      <w14:textFill>
                        <w14:solidFill>
                          <w14:schemeClr w14:val="tx1"/>
                        </w14:solidFill>
                      </w14:textFill>
                    </w:rPr>
                  </w:pPr>
                  <w:r>
                    <w:rPr>
                      <w:rFonts w:hint="eastAsia"/>
                      <w:color w:val="000000" w:themeColor="text1"/>
                      <w14:textFill>
                        <w14:solidFill>
                          <w14:schemeClr w14:val="tx1"/>
                        </w14:solidFill>
                      </w14:textFill>
                    </w:rPr>
                    <w:t>18.33</w:t>
                  </w:r>
                </w:p>
              </w:tc>
              <w:tc>
                <w:tcPr>
                  <w:tcW w:w="717" w:type="pct"/>
                  <w:tcBorders>
                    <w:tl2br w:val="nil"/>
                    <w:tr2bl w:val="nil"/>
                  </w:tcBorders>
                  <w:vAlign w:val="center"/>
                </w:tcPr>
                <w:p w14:paraId="0D5B5BDB">
                  <w:pPr>
                    <w:pStyle w:val="65"/>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52A6A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053" w:type="pct"/>
                  <w:tcBorders>
                    <w:tl2br w:val="nil"/>
                    <w:tr2bl w:val="nil"/>
                  </w:tcBorders>
                  <w:vAlign w:val="center"/>
                </w:tcPr>
                <w:p w14:paraId="7A7140AA">
                  <w:pPr>
                    <w:pStyle w:val="65"/>
                    <w:rPr>
                      <w:color w:val="000000" w:themeColor="text1"/>
                      <w14:textFill>
                        <w14:solidFill>
                          <w14:schemeClr w14:val="tx1"/>
                        </w14:solidFill>
                      </w14:textFill>
                    </w:rPr>
                  </w:pPr>
                  <w:r>
                    <w:rPr>
                      <w:color w:val="000000" w:themeColor="text1"/>
                      <w14:textFill>
                        <w14:solidFill>
                          <w14:schemeClr w14:val="tx1"/>
                        </w14:solidFill>
                      </w14:textFill>
                    </w:rPr>
                    <w:t>NO</w:t>
                  </w:r>
                  <w:r>
                    <w:rPr>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年平均值</w:t>
                  </w:r>
                </w:p>
              </w:tc>
              <w:tc>
                <w:tcPr>
                  <w:tcW w:w="797" w:type="pct"/>
                  <w:tcBorders>
                    <w:tl2br w:val="nil"/>
                    <w:tr2bl w:val="nil"/>
                  </w:tcBorders>
                  <w:vAlign w:val="center"/>
                </w:tcPr>
                <w:p w14:paraId="65CAB4CA">
                  <w:pPr>
                    <w:pStyle w:val="65"/>
                    <w:rPr>
                      <w:color w:val="000000" w:themeColor="text1"/>
                      <w14:textFill>
                        <w14:solidFill>
                          <w14:schemeClr w14:val="tx1"/>
                        </w14:solidFill>
                      </w14:textFill>
                    </w:rPr>
                  </w:pPr>
                  <w:r>
                    <w:rPr>
                      <w:color w:val="000000" w:themeColor="text1"/>
                      <w14:textFill>
                        <w14:solidFill>
                          <w14:schemeClr w14:val="tx1"/>
                        </w14:solidFill>
                      </w14:textFill>
                    </w:rPr>
                    <w:t>40</w:t>
                  </w:r>
                </w:p>
              </w:tc>
              <w:tc>
                <w:tcPr>
                  <w:tcW w:w="716" w:type="pct"/>
                  <w:tcBorders>
                    <w:tl2br w:val="nil"/>
                    <w:tr2bl w:val="nil"/>
                  </w:tcBorders>
                  <w:vAlign w:val="center"/>
                </w:tcPr>
                <w:p w14:paraId="2C868D1D">
                  <w:pPr>
                    <w:pStyle w:val="65"/>
                    <w:rPr>
                      <w:color w:val="000000" w:themeColor="text1"/>
                      <w14:textFill>
                        <w14:solidFill>
                          <w14:schemeClr w14:val="tx1"/>
                        </w14:solidFill>
                      </w14:textFill>
                    </w:rPr>
                  </w:pPr>
                  <w:r>
                    <w:rPr>
                      <w:color w:val="000000" w:themeColor="text1"/>
                      <w14:textFill>
                        <w14:solidFill>
                          <w14:schemeClr w14:val="tx1"/>
                        </w14:solidFill>
                      </w14:textFill>
                    </w:rPr>
                    <w:t>20</w:t>
                  </w:r>
                </w:p>
              </w:tc>
              <w:tc>
                <w:tcPr>
                  <w:tcW w:w="716" w:type="pct"/>
                  <w:tcBorders>
                    <w:tl2br w:val="nil"/>
                    <w:tr2bl w:val="nil"/>
                  </w:tcBorders>
                  <w:vAlign w:val="center"/>
                </w:tcPr>
                <w:p w14:paraId="40E0624F">
                  <w:pPr>
                    <w:pStyle w:val="65"/>
                    <w:rPr>
                      <w:color w:val="000000" w:themeColor="text1"/>
                      <w14:textFill>
                        <w14:solidFill>
                          <w14:schemeClr w14:val="tx1"/>
                        </w14:solidFill>
                      </w14:textFill>
                    </w:rPr>
                  </w:pPr>
                  <w:r>
                    <w:rPr>
                      <w:rFonts w:hint="eastAsia"/>
                      <w:color w:val="000000" w:themeColor="text1"/>
                      <w14:textFill>
                        <w14:solidFill>
                          <w14:schemeClr w14:val="tx1"/>
                        </w14:solidFill>
                      </w14:textFill>
                    </w:rPr>
                    <w:t>50.00</w:t>
                  </w:r>
                </w:p>
              </w:tc>
              <w:tc>
                <w:tcPr>
                  <w:tcW w:w="717" w:type="pct"/>
                  <w:tcBorders>
                    <w:tl2br w:val="nil"/>
                    <w:tr2bl w:val="nil"/>
                  </w:tcBorders>
                  <w:vAlign w:val="center"/>
                </w:tcPr>
                <w:p w14:paraId="7B284331">
                  <w:pPr>
                    <w:pStyle w:val="65"/>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2DB2FC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053" w:type="pct"/>
                  <w:tcBorders>
                    <w:tl2br w:val="nil"/>
                    <w:tr2bl w:val="nil"/>
                  </w:tcBorders>
                  <w:vAlign w:val="center"/>
                </w:tcPr>
                <w:p w14:paraId="5CB9CC6C">
                  <w:pPr>
                    <w:pStyle w:val="65"/>
                    <w:rPr>
                      <w:color w:val="000000" w:themeColor="text1"/>
                      <w14:textFill>
                        <w14:solidFill>
                          <w14:schemeClr w14:val="tx1"/>
                        </w14:solidFill>
                      </w14:textFill>
                    </w:rPr>
                  </w:pP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年平均值</w:t>
                  </w:r>
                </w:p>
              </w:tc>
              <w:tc>
                <w:tcPr>
                  <w:tcW w:w="797" w:type="pct"/>
                  <w:tcBorders>
                    <w:tl2br w:val="nil"/>
                    <w:tr2bl w:val="nil"/>
                  </w:tcBorders>
                  <w:vAlign w:val="center"/>
                </w:tcPr>
                <w:p w14:paraId="5EE43D33">
                  <w:pPr>
                    <w:pStyle w:val="65"/>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716" w:type="pct"/>
                  <w:tcBorders>
                    <w:tl2br w:val="nil"/>
                    <w:tr2bl w:val="nil"/>
                  </w:tcBorders>
                  <w:vAlign w:val="center"/>
                </w:tcPr>
                <w:p w14:paraId="750CB1EE">
                  <w:pPr>
                    <w:pStyle w:val="65"/>
                    <w:rPr>
                      <w:color w:val="000000" w:themeColor="text1"/>
                      <w14:textFill>
                        <w14:solidFill>
                          <w14:schemeClr w14:val="tx1"/>
                        </w14:solidFill>
                      </w14:textFill>
                    </w:rPr>
                  </w:pPr>
                  <w:r>
                    <w:rPr>
                      <w:color w:val="000000" w:themeColor="text1"/>
                      <w14:textFill>
                        <w14:solidFill>
                          <w14:schemeClr w14:val="tx1"/>
                        </w14:solidFill>
                      </w14:textFill>
                    </w:rPr>
                    <w:t>38</w:t>
                  </w:r>
                </w:p>
              </w:tc>
              <w:tc>
                <w:tcPr>
                  <w:tcW w:w="716" w:type="pct"/>
                  <w:tcBorders>
                    <w:tl2br w:val="nil"/>
                    <w:tr2bl w:val="nil"/>
                  </w:tcBorders>
                  <w:vAlign w:val="center"/>
                </w:tcPr>
                <w:p w14:paraId="0312E097">
                  <w:pPr>
                    <w:pStyle w:val="65"/>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63.33</w:t>
                  </w:r>
                </w:p>
              </w:tc>
              <w:tc>
                <w:tcPr>
                  <w:tcW w:w="717" w:type="pct"/>
                  <w:tcBorders>
                    <w:tl2br w:val="nil"/>
                    <w:tr2bl w:val="nil"/>
                  </w:tcBorders>
                  <w:vAlign w:val="center"/>
                </w:tcPr>
                <w:p w14:paraId="063EAE57">
                  <w:pPr>
                    <w:pStyle w:val="65"/>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13634A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053" w:type="pct"/>
                  <w:tcBorders>
                    <w:tl2br w:val="nil"/>
                    <w:tr2bl w:val="nil"/>
                  </w:tcBorders>
                  <w:vAlign w:val="center"/>
                </w:tcPr>
                <w:p w14:paraId="0BF1355D">
                  <w:pPr>
                    <w:pStyle w:val="65"/>
                    <w:rPr>
                      <w:color w:val="000000" w:themeColor="text1"/>
                      <w14:textFill>
                        <w14:solidFill>
                          <w14:schemeClr w14:val="tx1"/>
                        </w14:solidFill>
                      </w14:textFill>
                    </w:rPr>
                  </w:pP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2.5</w:t>
                  </w:r>
                  <w:r>
                    <w:rPr>
                      <w:rFonts w:hint="eastAsia"/>
                      <w:color w:val="000000" w:themeColor="text1"/>
                      <w14:textFill>
                        <w14:solidFill>
                          <w14:schemeClr w14:val="tx1"/>
                        </w14:solidFill>
                      </w14:textFill>
                    </w:rPr>
                    <w:t>年平均值</w:t>
                  </w:r>
                </w:p>
              </w:tc>
              <w:tc>
                <w:tcPr>
                  <w:tcW w:w="797" w:type="pct"/>
                  <w:tcBorders>
                    <w:tl2br w:val="nil"/>
                    <w:tr2bl w:val="nil"/>
                  </w:tcBorders>
                  <w:vAlign w:val="center"/>
                </w:tcPr>
                <w:p w14:paraId="3F98F8B7">
                  <w:pPr>
                    <w:pStyle w:val="65"/>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0</w:t>
                  </w:r>
                </w:p>
              </w:tc>
              <w:tc>
                <w:tcPr>
                  <w:tcW w:w="716" w:type="pct"/>
                  <w:tcBorders>
                    <w:tl2br w:val="nil"/>
                    <w:tr2bl w:val="nil"/>
                  </w:tcBorders>
                  <w:vAlign w:val="center"/>
                </w:tcPr>
                <w:p w14:paraId="6A8A6CB4">
                  <w:pPr>
                    <w:pStyle w:val="65"/>
                    <w:rPr>
                      <w:color w:val="000000" w:themeColor="text1"/>
                      <w14:textFill>
                        <w14:solidFill>
                          <w14:schemeClr w14:val="tx1"/>
                        </w14:solidFill>
                      </w14:textFill>
                    </w:rPr>
                  </w:pPr>
                  <w:r>
                    <w:rPr>
                      <w:color w:val="000000" w:themeColor="text1"/>
                      <w14:textFill>
                        <w14:solidFill>
                          <w14:schemeClr w14:val="tx1"/>
                        </w14:solidFill>
                      </w14:textFill>
                    </w:rPr>
                    <w:t>23.4</w:t>
                  </w:r>
                </w:p>
              </w:tc>
              <w:tc>
                <w:tcPr>
                  <w:tcW w:w="716" w:type="pct"/>
                  <w:tcBorders>
                    <w:tl2br w:val="nil"/>
                    <w:tr2bl w:val="nil"/>
                  </w:tcBorders>
                  <w:vAlign w:val="center"/>
                </w:tcPr>
                <w:p w14:paraId="5B7928A1">
                  <w:pPr>
                    <w:pStyle w:val="65"/>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78.00</w:t>
                  </w:r>
                </w:p>
              </w:tc>
              <w:tc>
                <w:tcPr>
                  <w:tcW w:w="717" w:type="pct"/>
                  <w:tcBorders>
                    <w:tl2br w:val="nil"/>
                    <w:tr2bl w:val="nil"/>
                  </w:tcBorders>
                  <w:vAlign w:val="center"/>
                </w:tcPr>
                <w:p w14:paraId="52189043">
                  <w:pPr>
                    <w:pStyle w:val="65"/>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6C1E91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053" w:type="pct"/>
                  <w:tcBorders>
                    <w:tl2br w:val="nil"/>
                    <w:tr2bl w:val="nil"/>
                  </w:tcBorders>
                  <w:vAlign w:val="center"/>
                </w:tcPr>
                <w:p w14:paraId="5727ACF4">
                  <w:pPr>
                    <w:widowControl/>
                    <w:spacing w:line="240" w:lineRule="auto"/>
                    <w:ind w:firstLine="0" w:firstLineChars="0"/>
                    <w:jc w:val="center"/>
                    <w:textAlignment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CO</w:t>
                  </w:r>
                  <w:r>
                    <w:rPr>
                      <w:color w:val="000000" w:themeColor="text1"/>
                      <w:sz w:val="21"/>
                      <w:szCs w:val="21"/>
                      <w14:textFill>
                        <w14:solidFill>
                          <w14:schemeClr w14:val="tx1"/>
                        </w14:solidFill>
                      </w14:textFill>
                    </w:rPr>
                    <w:t>日均值95%位数值</w:t>
                  </w:r>
                </w:p>
              </w:tc>
              <w:tc>
                <w:tcPr>
                  <w:tcW w:w="797" w:type="pct"/>
                  <w:tcBorders>
                    <w:tl2br w:val="nil"/>
                    <w:tr2bl w:val="nil"/>
                  </w:tcBorders>
                  <w:vAlign w:val="center"/>
                </w:tcPr>
                <w:p w14:paraId="2822FBE9">
                  <w:pPr>
                    <w:pStyle w:val="65"/>
                    <w:rPr>
                      <w:color w:val="000000" w:themeColor="text1"/>
                      <w14:textFill>
                        <w14:solidFill>
                          <w14:schemeClr w14:val="tx1"/>
                        </w14:solidFill>
                      </w14:textFill>
                    </w:rPr>
                  </w:pPr>
                  <w:r>
                    <w:rPr>
                      <w:color w:val="000000" w:themeColor="text1"/>
                      <w14:textFill>
                        <w14:solidFill>
                          <w14:schemeClr w14:val="tx1"/>
                        </w14:solidFill>
                      </w14:textFill>
                    </w:rPr>
                    <w:t>4000</w:t>
                  </w:r>
                </w:p>
              </w:tc>
              <w:tc>
                <w:tcPr>
                  <w:tcW w:w="716" w:type="pct"/>
                  <w:tcBorders>
                    <w:tl2br w:val="nil"/>
                    <w:tr2bl w:val="nil"/>
                  </w:tcBorders>
                  <w:vAlign w:val="center"/>
                </w:tcPr>
                <w:p w14:paraId="6126E95E">
                  <w:pPr>
                    <w:pStyle w:val="65"/>
                    <w:rPr>
                      <w:color w:val="000000" w:themeColor="text1"/>
                      <w14:textFill>
                        <w14:solidFill>
                          <w14:schemeClr w14:val="tx1"/>
                        </w14:solidFill>
                      </w14:textFill>
                    </w:rPr>
                  </w:pPr>
                  <w:r>
                    <w:rPr>
                      <w:color w:val="000000" w:themeColor="text1"/>
                      <w14:textFill>
                        <w14:solidFill>
                          <w14:schemeClr w14:val="tx1"/>
                        </w14:solidFill>
                      </w14:textFill>
                    </w:rPr>
                    <w:t>9</w:t>
                  </w:r>
                  <w:r>
                    <w:rPr>
                      <w:rFonts w:hint="eastAsia"/>
                      <w:color w:val="000000" w:themeColor="text1"/>
                      <w14:textFill>
                        <w14:solidFill>
                          <w14:schemeClr w14:val="tx1"/>
                        </w14:solidFill>
                      </w14:textFill>
                    </w:rPr>
                    <w:t>00</w:t>
                  </w:r>
                </w:p>
              </w:tc>
              <w:tc>
                <w:tcPr>
                  <w:tcW w:w="716" w:type="pct"/>
                  <w:tcBorders>
                    <w:tl2br w:val="nil"/>
                    <w:tr2bl w:val="nil"/>
                  </w:tcBorders>
                  <w:vAlign w:val="center"/>
                </w:tcPr>
                <w:p w14:paraId="2CD39F2E">
                  <w:pPr>
                    <w:pStyle w:val="65"/>
                    <w:rPr>
                      <w:color w:val="000000" w:themeColor="text1"/>
                      <w14:textFill>
                        <w14:solidFill>
                          <w14:schemeClr w14:val="tx1"/>
                        </w14:solidFill>
                      </w14:textFill>
                    </w:rPr>
                  </w:pPr>
                  <w:r>
                    <w:rPr>
                      <w:rFonts w:hint="eastAsia"/>
                      <w:color w:val="000000" w:themeColor="text1"/>
                      <w14:textFill>
                        <w14:solidFill>
                          <w14:schemeClr w14:val="tx1"/>
                        </w14:solidFill>
                      </w14:textFill>
                    </w:rPr>
                    <w:t>22.50</w:t>
                  </w:r>
                </w:p>
              </w:tc>
              <w:tc>
                <w:tcPr>
                  <w:tcW w:w="717" w:type="pct"/>
                  <w:tcBorders>
                    <w:tl2br w:val="nil"/>
                    <w:tr2bl w:val="nil"/>
                  </w:tcBorders>
                  <w:vAlign w:val="center"/>
                </w:tcPr>
                <w:p w14:paraId="4D8E6DFE">
                  <w:pPr>
                    <w:pStyle w:val="65"/>
                    <w:rPr>
                      <w:color w:val="000000" w:themeColor="text1"/>
                      <w14:textFill>
                        <w14:solidFill>
                          <w14:schemeClr w14:val="tx1"/>
                        </w14:solidFill>
                      </w14:textFill>
                    </w:rPr>
                  </w:pPr>
                  <w:r>
                    <w:rPr>
                      <w:color w:val="000000" w:themeColor="text1"/>
                      <w14:textFill>
                        <w14:solidFill>
                          <w14:schemeClr w14:val="tx1"/>
                        </w14:solidFill>
                      </w14:textFill>
                    </w:rPr>
                    <w:t>达标</w:t>
                  </w:r>
                </w:p>
              </w:tc>
            </w:tr>
            <w:tr w14:paraId="3EE8C4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053" w:type="pct"/>
                  <w:tcBorders>
                    <w:tl2br w:val="nil"/>
                    <w:tr2bl w:val="nil"/>
                  </w:tcBorders>
                  <w:vAlign w:val="center"/>
                </w:tcPr>
                <w:p w14:paraId="3595266F">
                  <w:pPr>
                    <w:pStyle w:val="65"/>
                    <w:rPr>
                      <w:color w:val="000000" w:themeColor="text1"/>
                      <w14:textFill>
                        <w14:solidFill>
                          <w14:schemeClr w14:val="tx1"/>
                        </w14:solidFill>
                      </w14:textFill>
                    </w:rPr>
                  </w:pPr>
                  <w:r>
                    <w:rPr>
                      <w:color w:val="000000" w:themeColor="text1"/>
                      <w14:textFill>
                        <w14:solidFill>
                          <w14:schemeClr w14:val="tx1"/>
                        </w14:solidFill>
                      </w14:textFill>
                    </w:rPr>
                    <w:t>O</w:t>
                  </w:r>
                  <w:r>
                    <w:rPr>
                      <w:color w:val="000000" w:themeColor="text1"/>
                      <w:vertAlign w:val="subscript"/>
                      <w14:textFill>
                        <w14:solidFill>
                          <w14:schemeClr w14:val="tx1"/>
                        </w14:solidFill>
                      </w14:textFill>
                    </w:rPr>
                    <w:t>3</w:t>
                  </w:r>
                  <w:r>
                    <w:rPr>
                      <w:color w:val="000000" w:themeColor="text1"/>
                      <w:szCs w:val="21"/>
                      <w14:textFill>
                        <w14:solidFill>
                          <w14:schemeClr w14:val="tx1"/>
                        </w14:solidFill>
                      </w14:textFill>
                    </w:rPr>
                    <w:t>日最大8小时值90%位数值</w:t>
                  </w:r>
                </w:p>
              </w:tc>
              <w:tc>
                <w:tcPr>
                  <w:tcW w:w="797" w:type="pct"/>
                  <w:tcBorders>
                    <w:tl2br w:val="nil"/>
                    <w:tr2bl w:val="nil"/>
                  </w:tcBorders>
                  <w:vAlign w:val="center"/>
                </w:tcPr>
                <w:p w14:paraId="35F03A94">
                  <w:pPr>
                    <w:pStyle w:val="65"/>
                    <w:rPr>
                      <w:color w:val="000000" w:themeColor="text1"/>
                      <w14:textFill>
                        <w14:solidFill>
                          <w14:schemeClr w14:val="tx1"/>
                        </w14:solidFill>
                      </w14:textFill>
                    </w:rPr>
                  </w:pPr>
                  <w:r>
                    <w:rPr>
                      <w:color w:val="000000" w:themeColor="text1"/>
                      <w14:textFill>
                        <w14:solidFill>
                          <w14:schemeClr w14:val="tx1"/>
                        </w14:solidFill>
                      </w14:textFill>
                    </w:rPr>
                    <w:t>160</w:t>
                  </w:r>
                </w:p>
              </w:tc>
              <w:tc>
                <w:tcPr>
                  <w:tcW w:w="716" w:type="pct"/>
                  <w:tcBorders>
                    <w:tl2br w:val="nil"/>
                    <w:tr2bl w:val="nil"/>
                  </w:tcBorders>
                  <w:vAlign w:val="center"/>
                </w:tcPr>
                <w:p w14:paraId="5C0419D4">
                  <w:pPr>
                    <w:pStyle w:val="65"/>
                    <w:rPr>
                      <w:color w:val="000000" w:themeColor="text1"/>
                      <w14:textFill>
                        <w14:solidFill>
                          <w14:schemeClr w14:val="tx1"/>
                        </w14:solidFill>
                      </w14:textFill>
                    </w:rPr>
                  </w:pPr>
                  <w:r>
                    <w:rPr>
                      <w:color w:val="000000" w:themeColor="text1"/>
                      <w14:textFill>
                        <w14:solidFill>
                          <w14:schemeClr w14:val="tx1"/>
                        </w14:solidFill>
                      </w14:textFill>
                    </w:rPr>
                    <w:t>134</w:t>
                  </w:r>
                </w:p>
              </w:tc>
              <w:tc>
                <w:tcPr>
                  <w:tcW w:w="716" w:type="pct"/>
                  <w:tcBorders>
                    <w:tl2br w:val="nil"/>
                    <w:tr2bl w:val="nil"/>
                  </w:tcBorders>
                  <w:vAlign w:val="center"/>
                </w:tcPr>
                <w:p w14:paraId="245FC098">
                  <w:pPr>
                    <w:pStyle w:val="65"/>
                    <w:rPr>
                      <w:color w:val="000000" w:themeColor="text1"/>
                      <w14:textFill>
                        <w14:solidFill>
                          <w14:schemeClr w14:val="tx1"/>
                        </w14:solidFill>
                      </w14:textFill>
                    </w:rPr>
                  </w:pPr>
                  <w:r>
                    <w:rPr>
                      <w:rFonts w:hint="eastAsia"/>
                      <w:color w:val="000000" w:themeColor="text1"/>
                      <w14:textFill>
                        <w14:solidFill>
                          <w14:schemeClr w14:val="tx1"/>
                        </w14:solidFill>
                      </w14:textFill>
                    </w:rPr>
                    <w:t>83.75</w:t>
                  </w:r>
                </w:p>
              </w:tc>
              <w:tc>
                <w:tcPr>
                  <w:tcW w:w="717" w:type="pct"/>
                  <w:tcBorders>
                    <w:tl2br w:val="nil"/>
                    <w:tr2bl w:val="nil"/>
                  </w:tcBorders>
                  <w:vAlign w:val="center"/>
                </w:tcPr>
                <w:p w14:paraId="086C5440">
                  <w:pPr>
                    <w:pStyle w:val="65"/>
                    <w:rPr>
                      <w:color w:val="000000" w:themeColor="text1"/>
                      <w14:textFill>
                        <w14:solidFill>
                          <w14:schemeClr w14:val="tx1"/>
                        </w14:solidFill>
                      </w14:textFill>
                    </w:rPr>
                  </w:pPr>
                  <w:r>
                    <w:rPr>
                      <w:color w:val="000000" w:themeColor="text1"/>
                      <w14:textFill>
                        <w14:solidFill>
                          <w14:schemeClr w14:val="tx1"/>
                        </w14:solidFill>
                      </w14:textFill>
                    </w:rPr>
                    <w:t>达标</w:t>
                  </w:r>
                </w:p>
              </w:tc>
            </w:tr>
          </w:tbl>
          <w:p w14:paraId="02BD195A">
            <w:pPr>
              <w:adjustRightInd/>
              <w:snapToGrid/>
              <w:spacing w:before="120" w:beforeLines="50"/>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由表3-1可知，项目所在区域</w:t>
            </w:r>
            <w:r>
              <w:rPr>
                <w:color w:val="000000" w:themeColor="text1"/>
                <w14:textFill>
                  <w14:solidFill>
                    <w14:schemeClr w14:val="tx1"/>
                  </w14:solidFill>
                </w14:textFill>
              </w:rPr>
              <w:t>SO</w:t>
            </w:r>
            <w:r>
              <w:rPr>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年平均值、</w:t>
            </w:r>
            <w:r>
              <w:rPr>
                <w:color w:val="000000" w:themeColor="text1"/>
                <w14:textFill>
                  <w14:solidFill>
                    <w14:schemeClr w14:val="tx1"/>
                  </w14:solidFill>
                </w14:textFill>
              </w:rPr>
              <w:t>NO</w:t>
            </w:r>
            <w:r>
              <w:rPr>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年平均值、</w:t>
            </w: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年平均值、</w:t>
            </w:r>
            <w:r>
              <w:rPr>
                <w:color w:val="000000" w:themeColor="text1"/>
                <w14:textFill>
                  <w14:solidFill>
                    <w14:schemeClr w14:val="tx1"/>
                  </w14:solidFill>
                </w14:textFill>
              </w:rPr>
              <w:t>PM</w:t>
            </w:r>
            <w:r>
              <w:rPr>
                <w:color w:val="000000" w:themeColor="text1"/>
                <w:vertAlign w:val="subscript"/>
                <w14:textFill>
                  <w14:solidFill>
                    <w14:schemeClr w14:val="tx1"/>
                  </w14:solidFill>
                </w14:textFill>
              </w:rPr>
              <w:t>2.5</w:t>
            </w:r>
            <w:r>
              <w:rPr>
                <w:rFonts w:hint="eastAsia"/>
                <w:color w:val="000000" w:themeColor="text1"/>
                <w14:textFill>
                  <w14:solidFill>
                    <w14:schemeClr w14:val="tx1"/>
                  </w14:solidFill>
                </w14:textFill>
              </w:rPr>
              <w:t>年平均值、CO日均值95%位数值、O</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日最大8小时值90%位数值均满足《环境空气质量标准》（</w:t>
            </w:r>
            <w:r>
              <w:rPr>
                <w:color w:val="000000" w:themeColor="text1"/>
                <w14:textFill>
                  <w14:solidFill>
                    <w14:schemeClr w14:val="tx1"/>
                  </w14:solidFill>
                </w14:textFill>
              </w:rPr>
              <w:t>GB3095-20</w:t>
            </w:r>
            <w:r>
              <w:rPr>
                <w:rFonts w:hint="eastAsia"/>
                <w:color w:val="000000" w:themeColor="text1"/>
                <w:lang w:val="en-US" w:eastAsia="zh-CN"/>
                <w14:textFill>
                  <w14:solidFill>
                    <w14:schemeClr w14:val="tx1"/>
                  </w14:solidFill>
                </w14:textFill>
              </w:rPr>
              <w:t>26</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过渡阶段</w:t>
            </w:r>
            <w:r>
              <w:rPr>
                <w:rFonts w:hint="eastAsia"/>
                <w:color w:val="000000" w:themeColor="text1"/>
                <w14:textFill>
                  <w14:solidFill>
                    <w14:schemeClr w14:val="tx1"/>
                  </w14:solidFill>
                </w14:textFill>
              </w:rPr>
              <w:t>二级标准，区域大气环境质量现状较好，为达标区。</w:t>
            </w:r>
          </w:p>
          <w:p w14:paraId="2B824639">
            <w:pPr>
              <w:adjustRightInd/>
              <w:snapToGrid/>
              <w:ind w:firstLine="48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（2）其他污染物环境质量现状</w:t>
            </w:r>
          </w:p>
          <w:p w14:paraId="47CCDD7A">
            <w:pPr>
              <w:pStyle w:val="142"/>
              <w:ind w:firstLine="480"/>
              <w:rPr>
                <w:rFonts w:hint="default"/>
                <w:color w:val="000000" w:themeColor="text1"/>
                <w14:textFill>
                  <w14:solidFill>
                    <w14:schemeClr w14:val="tx1"/>
                  </w14:solidFill>
                </w14:textFill>
              </w:rPr>
            </w:pPr>
            <w:r>
              <w:rPr>
                <w:color w:val="000000" w:themeColor="text1"/>
                <w14:textFill>
                  <w14:solidFill>
                    <w14:schemeClr w14:val="tx1"/>
                  </w14:solidFill>
                </w14:textFill>
              </w:rPr>
              <w:t>项目排放的特征污染因子有</w:t>
            </w:r>
            <w:bookmarkStart w:id="24" w:name="OLE_LINK13"/>
            <w:r>
              <w:rPr>
                <w:color w:val="000000" w:themeColor="text1"/>
                <w14:textFill>
                  <w14:solidFill>
                    <w14:schemeClr w14:val="tx1"/>
                  </w14:solidFill>
                </w14:textFill>
              </w:rPr>
              <w:t>颗粒物、</w:t>
            </w:r>
            <w:bookmarkEnd w:id="24"/>
            <w:r>
              <w:rPr>
                <w:rFonts w:hint="eastAsia"/>
                <w:color w:val="000000" w:themeColor="text1"/>
                <w:lang w:val="en-US" w:eastAsia="zh-CN"/>
                <w14:textFill>
                  <w14:solidFill>
                    <w14:schemeClr w14:val="tx1"/>
                  </w14:solidFill>
                </w14:textFill>
              </w:rPr>
              <w:t>苯乙烯、二甲苯、TVOC、臭气浓度</w:t>
            </w:r>
            <w:r>
              <w:rPr>
                <w:color w:val="000000" w:themeColor="text1"/>
                <w14:textFill>
                  <w14:solidFill>
                    <w14:schemeClr w14:val="tx1"/>
                  </w14:solidFill>
                </w14:textFill>
              </w:rPr>
              <w:t>等，根据《建设项目环境影响报告表编制技术指南</w:t>
            </w:r>
            <w:r>
              <w:rPr>
                <w:rFonts w:ascii="宋体" w:hAnsi="宋体" w:cs="宋体"/>
                <w:color w:val="000000" w:themeColor="text1"/>
                <w14:textFill>
                  <w14:solidFill>
                    <w14:schemeClr w14:val="tx1"/>
                  </w14:solidFill>
                </w14:textFill>
              </w:rPr>
              <w:t>(污染影响类)(试行)</w:t>
            </w:r>
            <w:r>
              <w:rPr>
                <w:color w:val="000000" w:themeColor="text1"/>
                <w14:textFill>
                  <w14:solidFill>
                    <w14:schemeClr w14:val="tx1"/>
                  </w14:solidFill>
                </w14:textFill>
              </w:rPr>
              <w:t>》</w:t>
            </w:r>
            <w:r>
              <w:rPr>
                <w:rFonts w:hint="default"/>
                <w:color w:val="000000" w:themeColor="text1"/>
                <w14:textFill>
                  <w14:solidFill>
                    <w14:schemeClr w14:val="tx1"/>
                  </w14:solidFill>
                </w14:textFill>
              </w:rPr>
              <w:t>中要求，排放国家、地方环境空气质量标准中有标准限值要求的特征污染物时，引用建设项目周边5千米范围内近3年的现有监测数据，无相关数据的选择当季主导风向下风向1个点位补充不少于3天的监测数据。《&lt;建设项目环境影响报告表&gt;内容格式及编制技术指南常见问题解答》(环境影响评价网，2021年10月20日)第7条</w:t>
            </w:r>
            <w:r>
              <w:rPr>
                <w:color w:val="000000" w:themeColor="text1"/>
                <w14:textFill>
                  <w14:solidFill>
                    <w14:schemeClr w14:val="tx1"/>
                  </w14:solidFill>
                </w14:textFill>
              </w:rPr>
              <w:t>：</w:t>
            </w:r>
            <w:r>
              <w:rPr>
                <w:rFonts w:hint="default"/>
                <w:color w:val="000000" w:themeColor="text1"/>
                <w14:textFill>
                  <w14:solidFill>
                    <w14:schemeClr w14:val="tx1"/>
                  </w14:solidFill>
                </w14:textFill>
              </w:rPr>
              <w:t>技术指南中提到“排放国家、地方环境空气质量标准中有标准限值要求的特征污染物”，其中环境空气质量标准指《环境空气质量标准》(GB3095)和地方的环境空气质量标准，不包括《环境影响评价技术导则大气环境》(HJ2.2-2018)附录D、《工业企业设计卫生标准》(TJ36-97)、《前苏联居住区标准》(CH245-71)《大气污染物综合排放标准详解》等导则或参考资料。</w:t>
            </w:r>
          </w:p>
          <w:p w14:paraId="3FCCB8D9">
            <w:pPr>
              <w:pStyle w:val="142"/>
              <w:ind w:firstLine="48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苯乙烯、二甲苯、TVOC、臭气浓度</w:t>
            </w:r>
            <w:r>
              <w:rPr>
                <w:rFonts w:hint="default"/>
                <w:color w:val="000000" w:themeColor="text1"/>
                <w14:textFill>
                  <w14:solidFill>
                    <w14:schemeClr w14:val="tx1"/>
                  </w14:solidFill>
                </w14:textFill>
              </w:rPr>
              <w:t>等不属于国家、地方环境空气质量标准中有标准限值要求的特征污染物，因此无需开展环境现状监测。</w:t>
            </w:r>
          </w:p>
          <w:p w14:paraId="0CDD8565">
            <w:pPr>
              <w:pStyle w:val="142"/>
              <w:ind w:firstLine="480"/>
              <w:rPr>
                <w:color w:val="000000" w:themeColor="text1"/>
                <w14:textFill>
                  <w14:solidFill>
                    <w14:schemeClr w14:val="tx1"/>
                  </w14:solidFill>
                </w14:textFill>
              </w:rPr>
            </w:pPr>
            <w:r>
              <w:rPr>
                <w:color w:val="000000" w:themeColor="text1"/>
                <w14:textFill>
                  <w14:solidFill>
                    <w14:schemeClr w14:val="tx1"/>
                  </w14:solidFill>
                </w14:textFill>
              </w:rPr>
              <w:t>本次评价TSP环境现状监测数据引用《</w:t>
            </w:r>
            <w:r>
              <w:rPr>
                <w:rFonts w:hint="eastAsia"/>
                <w:color w:val="000000" w:themeColor="text1"/>
                <w:lang w:val="en-US" w:eastAsia="zh-CN"/>
                <w14:textFill>
                  <w14:solidFill>
                    <w14:schemeClr w14:val="tx1"/>
                  </w14:solidFill>
                </w14:textFill>
              </w:rPr>
              <w:t>江西千通管业有限公司HDPE新材料生产及管材制造建设项目</w:t>
            </w:r>
            <w:r>
              <w:rPr>
                <w:color w:val="000000" w:themeColor="text1"/>
                <w14:textFill>
                  <w14:solidFill>
                    <w14:schemeClr w14:val="tx1"/>
                  </w14:solidFill>
                </w14:textFill>
              </w:rPr>
              <w:t>环境质量现状监测报告》中监测点位</w:t>
            </w:r>
            <w:r>
              <w:rPr>
                <w:rFonts w:hint="eastAsia"/>
                <w:color w:val="000000" w:themeColor="text1"/>
                <w:lang w:val="en-US" w:eastAsia="zh-CN"/>
                <w14:textFill>
                  <w14:solidFill>
                    <w14:schemeClr w14:val="tx1"/>
                  </w14:solidFill>
                </w14:textFill>
              </w:rPr>
              <w:t>江西千通管业有限公司厂址所在地</w:t>
            </w:r>
            <w:r>
              <w:rPr>
                <w:color w:val="000000" w:themeColor="text1"/>
                <w14:textFill>
                  <w14:solidFill>
                    <w14:schemeClr w14:val="tx1"/>
                  </w14:solidFill>
                </w14:textFill>
              </w:rPr>
              <w:t>的监测数据</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见附件12</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。引用点位</w:t>
            </w:r>
            <w:r>
              <w:rPr>
                <w:rFonts w:hint="eastAsia"/>
                <w:color w:val="000000" w:themeColor="text1"/>
                <w:lang w:val="en-US" w:eastAsia="zh-CN"/>
                <w14:textFill>
                  <w14:solidFill>
                    <w14:schemeClr w14:val="tx1"/>
                  </w14:solidFill>
                </w14:textFill>
              </w:rPr>
              <w:t>江西千通管业有限公司</w:t>
            </w:r>
            <w:r>
              <w:rPr>
                <w:color w:val="000000" w:themeColor="text1"/>
                <w14:textFill>
                  <w14:solidFill>
                    <w14:schemeClr w14:val="tx1"/>
                  </w14:solidFill>
                </w14:textFill>
              </w:rPr>
              <w:t>位于本项目西</w:t>
            </w:r>
            <w:r>
              <w:rPr>
                <w:rFonts w:hint="eastAsia"/>
                <w:color w:val="000000" w:themeColor="text1"/>
                <w:lang w:val="en-US" w:eastAsia="zh-CN"/>
                <w14:textFill>
                  <w14:solidFill>
                    <w14:schemeClr w14:val="tx1"/>
                  </w14:solidFill>
                </w14:textFill>
              </w:rPr>
              <w:t>北</w:t>
            </w:r>
            <w:r>
              <w:rPr>
                <w:color w:val="000000" w:themeColor="text1"/>
                <w14:textFill>
                  <w14:solidFill>
                    <w14:schemeClr w14:val="tx1"/>
                  </w14:solidFill>
                </w14:textFill>
              </w:rPr>
              <w:t>面3</w:t>
            </w:r>
            <w:r>
              <w:rPr>
                <w:rFonts w:hint="eastAsia"/>
                <w:color w:val="000000" w:themeColor="text1"/>
                <w:lang w:val="en-US" w:eastAsia="zh-CN"/>
                <w14:textFill>
                  <w14:solidFill>
                    <w14:schemeClr w14:val="tx1"/>
                  </w14:solidFill>
                </w14:textFill>
              </w:rPr>
              <w:t>760</w:t>
            </w:r>
            <w:r>
              <w:rPr>
                <w:color w:val="000000" w:themeColor="text1"/>
                <w14:textFill>
                  <w14:solidFill>
                    <w14:schemeClr w14:val="tx1"/>
                  </w14:solidFill>
                </w14:textFill>
              </w:rPr>
              <w:t>米处，该点位于项目</w:t>
            </w:r>
            <w:r>
              <w:rPr>
                <w:rFonts w:hint="eastAsia"/>
                <w:color w:val="000000" w:themeColor="text1"/>
                <w:lang w:val="en-US" w:eastAsia="zh-CN"/>
                <w14:textFill>
                  <w14:solidFill>
                    <w14:schemeClr w14:val="tx1"/>
                  </w14:solidFill>
                </w14:textFill>
              </w:rPr>
              <w:t>周边</w:t>
            </w:r>
            <w:r>
              <w:rPr>
                <w:color w:val="000000" w:themeColor="text1"/>
                <w14:textFill>
                  <w14:solidFill>
                    <w14:schemeClr w14:val="tx1"/>
                  </w14:solidFill>
                </w14:textFill>
              </w:rPr>
              <w:t>5km范围内，采样时间为20</w:t>
            </w:r>
            <w:r>
              <w:rPr>
                <w:rFonts w:hint="eastAsia"/>
                <w:color w:val="000000" w:themeColor="text1"/>
                <w:lang w:val="en-US" w:eastAsia="zh-CN"/>
                <w14:textFill>
                  <w14:solidFill>
                    <w14:schemeClr w14:val="tx1"/>
                  </w14:solidFill>
                </w14:textFill>
              </w:rPr>
              <w:t>24</w:t>
            </w:r>
            <w:r>
              <w:rPr>
                <w:color w:val="000000" w:themeColor="text1"/>
                <w14:textFill>
                  <w14:solidFill>
                    <w14:schemeClr w14:val="tx1"/>
                  </w14:solidFill>
                </w14:textFill>
              </w:rPr>
              <w:t>年9月</w:t>
            </w:r>
            <w:r>
              <w:rPr>
                <w:rFonts w:hint="eastAsia"/>
                <w:color w:val="000000" w:themeColor="text1"/>
                <w:lang w:val="en-US" w:eastAsia="zh-CN"/>
                <w14:textFill>
                  <w14:solidFill>
                    <w14:schemeClr w14:val="tx1"/>
                  </w14:solidFill>
                </w14:textFill>
              </w:rPr>
              <w:t>10</w:t>
            </w:r>
            <w:r>
              <w:rPr>
                <w:color w:val="000000" w:themeColor="text1"/>
                <w14:textFill>
                  <w14:solidFill>
                    <w14:schemeClr w14:val="tx1"/>
                  </w14:solidFill>
                </w14:textFill>
              </w:rPr>
              <w:t>日～202</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6日，距今三年内有效，故引用可行。</w:t>
            </w:r>
          </w:p>
          <w:p w14:paraId="13B44917">
            <w:pPr>
              <w:pStyle w:val="142"/>
              <w:ind w:firstLine="480"/>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1）监测布点</w:t>
            </w:r>
          </w:p>
          <w:p w14:paraId="4788EE63">
            <w:pPr>
              <w:pStyle w:val="142"/>
              <w:ind w:left="0" w:leftChars="0"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301615" cy="3316605"/>
                  <wp:effectExtent l="0" t="0" r="13335" b="17145"/>
                  <wp:docPr id="1" name="图片 1" descr="引用的大气现状监测点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引用的大气现状监测点位"/>
                          <pic:cNvPicPr>
                            <a:picLocks noChangeAspect="1"/>
                          </pic:cNvPicPr>
                        </pic:nvPicPr>
                        <pic:blipFill>
                          <a:blip r:embed="rId32"/>
                          <a:stretch>
                            <a:fillRect/>
                          </a:stretch>
                        </pic:blipFill>
                        <pic:spPr>
                          <a:xfrm>
                            <a:off x="0" y="0"/>
                            <a:ext cx="5301615" cy="3316605"/>
                          </a:xfrm>
                          <a:prstGeom prst="rect">
                            <a:avLst/>
                          </a:prstGeom>
                        </pic:spPr>
                      </pic:pic>
                    </a:graphicData>
                  </a:graphic>
                </wp:inline>
              </w:drawing>
            </w:r>
          </w:p>
          <w:p w14:paraId="19CC78F6">
            <w:pPr>
              <w:pStyle w:val="142"/>
              <w:ind w:left="0" w:leftChars="0" w:firstLine="0" w:firstLineChars="0"/>
              <w:jc w:val="center"/>
              <w:rPr>
                <w:rFonts w:hint="eastAsia"/>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图3-1  环境空气现状监测点位示意图（引用）</w:t>
            </w:r>
          </w:p>
          <w:p w14:paraId="20AB6EA9">
            <w:pPr>
              <w:pStyle w:val="142"/>
              <w:keepNext w:val="0"/>
              <w:keepLines w:val="0"/>
              <w:pageBreakBefore w:val="0"/>
              <w:widowControl w:val="0"/>
              <w:kinsoku/>
              <w:wordWrap/>
              <w:overflowPunct/>
              <w:topLinePunct w:val="0"/>
              <w:autoSpaceDE/>
              <w:autoSpaceDN/>
              <w:bidi w:val="0"/>
              <w:adjustRightInd/>
              <w:snapToGrid/>
              <w:ind w:left="0" w:leftChars="0" w:firstLine="482" w:firstLineChars="200"/>
              <w:jc w:val="both"/>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2）监测周期和频率</w:t>
            </w:r>
          </w:p>
          <w:p w14:paraId="687D5ABC">
            <w:pPr>
              <w:pStyle w:val="142"/>
              <w:keepNext w:val="0"/>
              <w:keepLines w:val="0"/>
              <w:pageBreakBefore w:val="0"/>
              <w:widowControl w:val="0"/>
              <w:kinsoku/>
              <w:wordWrap/>
              <w:overflowPunct/>
              <w:topLinePunct w:val="0"/>
              <w:autoSpaceDE/>
              <w:autoSpaceDN/>
              <w:bidi w:val="0"/>
              <w:adjustRightInd/>
              <w:snapToGrid/>
              <w:ind w:left="0" w:leftChars="0" w:firstLine="480" w:firstLineChars="200"/>
              <w:jc w:val="both"/>
              <w:textAlignment w:val="auto"/>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一期监测，</w:t>
            </w:r>
            <w:r>
              <w:rPr>
                <w:rFonts w:hint="eastAsia" w:cs="Times New Roman"/>
                <w:color w:val="000000" w:themeColor="text1"/>
                <w:highlight w:val="none"/>
                <w:lang w:val="en-US" w:eastAsia="zh-CN"/>
                <w14:textFill>
                  <w14:solidFill>
                    <w14:schemeClr w14:val="tx1"/>
                  </w14:solidFill>
                </w14:textFill>
              </w:rPr>
              <w:t>TSP</w:t>
            </w:r>
            <w:r>
              <w:rPr>
                <w:rFonts w:cs="Times New Roman"/>
                <w:color w:val="000000" w:themeColor="text1"/>
                <w:highlight w:val="none"/>
                <w14:textFill>
                  <w14:solidFill>
                    <w14:schemeClr w14:val="tx1"/>
                  </w14:solidFill>
                </w14:textFill>
              </w:rPr>
              <w:t>连续</w:t>
            </w:r>
            <w:r>
              <w:rPr>
                <w:rFonts w:hint="eastAsia" w:cs="Times New Roman"/>
                <w:color w:val="000000" w:themeColor="text1"/>
                <w:highlight w:val="none"/>
                <w:lang w:val="en-US" w:eastAsia="zh-CN"/>
                <w14:textFill>
                  <w14:solidFill>
                    <w14:schemeClr w14:val="tx1"/>
                  </w14:solidFill>
                </w14:textFill>
              </w:rPr>
              <w:t>七</w:t>
            </w:r>
            <w:r>
              <w:rPr>
                <w:rFonts w:cs="Times New Roman"/>
                <w:color w:val="000000" w:themeColor="text1"/>
                <w:highlight w:val="none"/>
                <w14:textFill>
                  <w14:solidFill>
                    <w14:schemeClr w14:val="tx1"/>
                  </w14:solidFill>
                </w14:textFill>
              </w:rPr>
              <w:t>天</w:t>
            </w:r>
            <w:r>
              <w:rPr>
                <w:rFonts w:hint="eastAsia" w:cs="Times New Roman"/>
                <w:color w:val="000000" w:themeColor="text1"/>
                <w:highlight w:val="none"/>
                <w:lang w:eastAsia="zh-CN"/>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引用数据</w:t>
            </w:r>
            <w:r>
              <w:rPr>
                <w:rFonts w:hint="eastAsia" w:cs="Times New Roman"/>
                <w:color w:val="000000" w:themeColor="text1"/>
                <w:highlight w:val="none"/>
                <w:lang w:eastAsia="zh-CN"/>
                <w14:textFill>
                  <w14:solidFill>
                    <w14:schemeClr w14:val="tx1"/>
                  </w14:solidFill>
                </w14:textFill>
              </w:rPr>
              <w:t>）</w:t>
            </w:r>
            <w:r>
              <w:rPr>
                <w:rFonts w:cs="Times New Roman"/>
                <w:color w:val="000000" w:themeColor="text1"/>
                <w:highlight w:val="none"/>
                <w14:textFill>
                  <w14:solidFill>
                    <w14:schemeClr w14:val="tx1"/>
                  </w14:solidFill>
                </w14:textFill>
              </w:rPr>
              <w:t>。监测和分析按《环境空气质量标准》（GB3095-20</w:t>
            </w:r>
            <w:r>
              <w:rPr>
                <w:rFonts w:hint="eastAsia" w:cs="Times New Roman"/>
                <w:color w:val="000000" w:themeColor="text1"/>
                <w:highlight w:val="none"/>
                <w:lang w:val="en-US" w:eastAsia="zh-CN"/>
                <w14:textFill>
                  <w14:solidFill>
                    <w14:schemeClr w14:val="tx1"/>
                  </w14:solidFill>
                </w14:textFill>
              </w:rPr>
              <w:t>26</w:t>
            </w:r>
            <w:r>
              <w:rPr>
                <w:rFonts w:cs="Times New Roman"/>
                <w:color w:val="000000" w:themeColor="text1"/>
                <w:highlight w:val="none"/>
                <w14:textFill>
                  <w14:solidFill>
                    <w14:schemeClr w14:val="tx1"/>
                  </w14:solidFill>
                </w14:textFill>
              </w:rPr>
              <w:t>）和国家环保局颁布的《环境监测技术规范》执行，获取日平均浓度。</w:t>
            </w:r>
          </w:p>
          <w:p w14:paraId="5C7FAFC0">
            <w:pPr>
              <w:pStyle w:val="142"/>
              <w:keepNext w:val="0"/>
              <w:keepLines w:val="0"/>
              <w:pageBreakBefore w:val="0"/>
              <w:widowControl w:val="0"/>
              <w:kinsoku/>
              <w:wordWrap/>
              <w:overflowPunct/>
              <w:topLinePunct w:val="0"/>
              <w:autoSpaceDE/>
              <w:autoSpaceDN/>
              <w:bidi w:val="0"/>
              <w:adjustRightInd/>
              <w:snapToGrid/>
              <w:ind w:left="0" w:leftChars="0" w:firstLine="482" w:firstLineChars="200"/>
              <w:jc w:val="both"/>
              <w:textAlignment w:val="auto"/>
              <w:rPr>
                <w:rFonts w:hint="eastAsia" w:cs="Times New Roman"/>
                <w:b/>
                <w:bCs/>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3）评价方法</w:t>
            </w:r>
          </w:p>
          <w:p w14:paraId="194CFBF7">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统计各监测点分析结果，对照相关</w:t>
            </w:r>
            <w:r>
              <w:rPr>
                <w:rFonts w:cs="Times New Roman"/>
                <w:color w:val="000000" w:themeColor="text1"/>
                <w:highlight w:val="none"/>
                <w:lang w:val="en-US"/>
                <w14:textFill>
                  <w14:solidFill>
                    <w14:schemeClr w14:val="tx1"/>
                  </w14:solidFill>
                </w14:textFill>
              </w:rPr>
              <w:t>标准要求</w:t>
            </w:r>
            <w:r>
              <w:rPr>
                <w:rFonts w:cs="Times New Roman"/>
                <w:bCs/>
                <w:color w:val="000000" w:themeColor="text1"/>
                <w:highlight w:val="none"/>
                <w:lang w:val="en-US"/>
                <w14:textFill>
                  <w14:solidFill>
                    <w14:schemeClr w14:val="tx1"/>
                  </w14:solidFill>
                </w14:textFill>
              </w:rPr>
              <w:t>。</w:t>
            </w:r>
            <w:r>
              <w:rPr>
                <w:rFonts w:cs="Times New Roman"/>
                <w:color w:val="000000" w:themeColor="text1"/>
                <w:highlight w:val="none"/>
                <w14:textFill>
                  <w14:solidFill>
                    <w14:schemeClr w14:val="tx1"/>
                  </w14:solidFill>
                </w14:textFill>
              </w:rPr>
              <w:t>采用单因子指数法进行评价。</w:t>
            </w:r>
          </w:p>
          <w:p w14:paraId="6825B331">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其计算公式如下：</w:t>
            </w:r>
          </w:p>
          <w:p w14:paraId="66AB568A">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cs="Times New Roman"/>
                <w:color w:val="000000" w:themeColor="text1"/>
                <w:highlight w:val="none"/>
                <w14:textFill>
                  <w14:solidFill>
                    <w14:schemeClr w14:val="tx1"/>
                  </w14:solidFill>
                </w14:textFill>
              </w:rPr>
            </w:pPr>
            <w:r>
              <w:rPr>
                <w:rFonts w:cs="Times New Roman"/>
                <w:i/>
                <w:color w:val="000000" w:themeColor="text1"/>
                <w:highlight w:val="none"/>
                <w14:textFill>
                  <w14:solidFill>
                    <w14:schemeClr w14:val="tx1"/>
                  </w14:solidFill>
                </w14:textFill>
              </w:rPr>
              <w:t>S</w:t>
            </w:r>
            <w:r>
              <w:rPr>
                <w:rFonts w:cs="Times New Roman"/>
                <w:color w:val="000000" w:themeColor="text1"/>
                <w:highlight w:val="none"/>
                <w:vertAlign w:val="subscript"/>
                <w14:textFill>
                  <w14:solidFill>
                    <w14:schemeClr w14:val="tx1"/>
                  </w14:solidFill>
                </w14:textFill>
              </w:rPr>
              <w:t>i</w:t>
            </w:r>
            <w:r>
              <w:rPr>
                <w:rFonts w:cs="Times New Roman"/>
                <w:color w:val="000000" w:themeColor="text1"/>
                <w:highlight w:val="none"/>
                <w14:textFill>
                  <w14:solidFill>
                    <w14:schemeClr w14:val="tx1"/>
                  </w14:solidFill>
                </w14:textFill>
              </w:rPr>
              <w:t>=</w:t>
            </w:r>
            <w:r>
              <w:rPr>
                <w:rFonts w:cs="Times New Roman"/>
                <w:i/>
                <w:color w:val="000000" w:themeColor="text1"/>
                <w:highlight w:val="none"/>
                <w14:textFill>
                  <w14:solidFill>
                    <w14:schemeClr w14:val="tx1"/>
                  </w14:solidFill>
                </w14:textFill>
              </w:rPr>
              <w:t>C</w:t>
            </w:r>
            <w:r>
              <w:rPr>
                <w:rFonts w:cs="Times New Roman"/>
                <w:color w:val="000000" w:themeColor="text1"/>
                <w:highlight w:val="none"/>
                <w:vertAlign w:val="subscript"/>
                <w14:textFill>
                  <w14:solidFill>
                    <w14:schemeClr w14:val="tx1"/>
                  </w14:solidFill>
                </w14:textFill>
              </w:rPr>
              <w:t>i</w:t>
            </w:r>
            <w:r>
              <w:rPr>
                <w:rFonts w:cs="Times New Roman"/>
                <w:color w:val="000000" w:themeColor="text1"/>
                <w:highlight w:val="none"/>
                <w14:textFill>
                  <w14:solidFill>
                    <w14:schemeClr w14:val="tx1"/>
                  </w14:solidFill>
                </w14:textFill>
              </w:rPr>
              <w:t>/</w:t>
            </w:r>
            <w:r>
              <w:rPr>
                <w:rFonts w:cs="Times New Roman"/>
                <w:i/>
                <w:color w:val="000000" w:themeColor="text1"/>
                <w:highlight w:val="none"/>
                <w14:textFill>
                  <w14:solidFill>
                    <w14:schemeClr w14:val="tx1"/>
                  </w14:solidFill>
                </w14:textFill>
              </w:rPr>
              <w:t>C</w:t>
            </w:r>
            <w:r>
              <w:rPr>
                <w:rFonts w:cs="Times New Roman"/>
                <w:color w:val="000000" w:themeColor="text1"/>
                <w:highlight w:val="none"/>
                <w:vertAlign w:val="subscript"/>
                <w14:textFill>
                  <w14:solidFill>
                    <w14:schemeClr w14:val="tx1"/>
                  </w14:solidFill>
                </w14:textFill>
              </w:rPr>
              <w:t>io</w:t>
            </w:r>
          </w:p>
          <w:p w14:paraId="2C9693F3">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cs="Times New Roman"/>
                <w:color w:val="000000" w:themeColor="text1"/>
                <w:highlight w:val="none"/>
                <w14:textFill>
                  <w14:solidFill>
                    <w14:schemeClr w14:val="tx1"/>
                  </w14:solidFill>
                </w14:textFill>
              </w:rPr>
            </w:pPr>
            <w:r>
              <w:rPr>
                <w:rFonts w:cs="Times New Roman"/>
                <w:color w:val="000000" w:themeColor="text1"/>
                <w:highlight w:val="none"/>
                <w14:textFill>
                  <w14:solidFill>
                    <w14:schemeClr w14:val="tx1"/>
                  </w14:solidFill>
                </w14:textFill>
              </w:rPr>
              <w:t>式中：</w:t>
            </w:r>
            <w:r>
              <w:rPr>
                <w:rFonts w:cs="Times New Roman"/>
                <w:i/>
                <w:color w:val="000000" w:themeColor="text1"/>
                <w:highlight w:val="none"/>
                <w14:textFill>
                  <w14:solidFill>
                    <w14:schemeClr w14:val="tx1"/>
                  </w14:solidFill>
                </w14:textFill>
              </w:rPr>
              <w:t>S</w:t>
            </w:r>
            <w:r>
              <w:rPr>
                <w:rFonts w:cs="Times New Roman"/>
                <w:color w:val="000000" w:themeColor="text1"/>
                <w:highlight w:val="none"/>
                <w:vertAlign w:val="subscript"/>
                <w14:textFill>
                  <w14:solidFill>
                    <w14:schemeClr w14:val="tx1"/>
                  </w14:solidFill>
                </w14:textFill>
              </w:rPr>
              <w:t>i</w:t>
            </w:r>
            <w:r>
              <w:rPr>
                <w:rFonts w:cs="Times New Roman"/>
                <w:color w:val="000000" w:themeColor="text1"/>
                <w:highlight w:val="none"/>
                <w14:textFill>
                  <w14:solidFill>
                    <w14:schemeClr w14:val="tx1"/>
                  </w14:solidFill>
                </w14:textFill>
              </w:rPr>
              <w:t>——第</w:t>
            </w:r>
            <w:r>
              <w:rPr>
                <w:rFonts w:cs="Times New Roman"/>
                <w:i/>
                <w:color w:val="000000" w:themeColor="text1"/>
                <w:highlight w:val="none"/>
                <w14:textFill>
                  <w14:solidFill>
                    <w14:schemeClr w14:val="tx1"/>
                  </w14:solidFill>
                </w14:textFill>
              </w:rPr>
              <w:t>i</w:t>
            </w:r>
            <w:r>
              <w:rPr>
                <w:rFonts w:cs="Times New Roman"/>
                <w:color w:val="000000" w:themeColor="text1"/>
                <w:highlight w:val="none"/>
                <w14:textFill>
                  <w14:solidFill>
                    <w14:schemeClr w14:val="tx1"/>
                  </w14:solidFill>
                </w14:textFill>
              </w:rPr>
              <w:t>类污染物的标准指数；</w:t>
            </w:r>
          </w:p>
          <w:p w14:paraId="09379933">
            <w:pPr>
              <w:pStyle w:val="149"/>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cs="Times New Roman"/>
                <w:color w:val="000000" w:themeColor="text1"/>
                <w:highlight w:val="none"/>
                <w14:textFill>
                  <w14:solidFill>
                    <w14:schemeClr w14:val="tx1"/>
                  </w14:solidFill>
                </w14:textFill>
              </w:rPr>
            </w:pPr>
            <w:r>
              <w:rPr>
                <w:rFonts w:cs="Times New Roman"/>
                <w:i/>
                <w:color w:val="000000" w:themeColor="text1"/>
                <w:highlight w:val="none"/>
                <w14:textFill>
                  <w14:solidFill>
                    <w14:schemeClr w14:val="tx1"/>
                  </w14:solidFill>
                </w14:textFill>
              </w:rPr>
              <w:t>C</w:t>
            </w:r>
            <w:r>
              <w:rPr>
                <w:rFonts w:cs="Times New Roman"/>
                <w:color w:val="000000" w:themeColor="text1"/>
                <w:highlight w:val="none"/>
                <w:vertAlign w:val="subscript"/>
                <w14:textFill>
                  <w14:solidFill>
                    <w14:schemeClr w14:val="tx1"/>
                  </w14:solidFill>
                </w14:textFill>
              </w:rPr>
              <w:t>i</w:t>
            </w:r>
            <w:r>
              <w:rPr>
                <w:rFonts w:cs="Times New Roman"/>
                <w:color w:val="000000" w:themeColor="text1"/>
                <w:highlight w:val="none"/>
                <w14:textFill>
                  <w14:solidFill>
                    <w14:schemeClr w14:val="tx1"/>
                  </w14:solidFill>
                </w14:textFill>
              </w:rPr>
              <w:t>——第</w:t>
            </w:r>
            <w:r>
              <w:rPr>
                <w:rFonts w:cs="Times New Roman"/>
                <w:i/>
                <w:color w:val="000000" w:themeColor="text1"/>
                <w:highlight w:val="none"/>
                <w14:textFill>
                  <w14:solidFill>
                    <w14:schemeClr w14:val="tx1"/>
                  </w14:solidFill>
                </w14:textFill>
              </w:rPr>
              <w:t>i</w:t>
            </w:r>
            <w:r>
              <w:rPr>
                <w:rFonts w:cs="Times New Roman"/>
                <w:color w:val="000000" w:themeColor="text1"/>
                <w:highlight w:val="none"/>
                <w14:textFill>
                  <w14:solidFill>
                    <w14:schemeClr w14:val="tx1"/>
                  </w14:solidFill>
                </w14:textFill>
              </w:rPr>
              <w:t>类污染物的实测浓度，mg/m</w:t>
            </w:r>
            <w:r>
              <w:rPr>
                <w:rFonts w:cs="Times New Roman"/>
                <w:color w:val="000000" w:themeColor="text1"/>
                <w:highlight w:val="none"/>
                <w:vertAlign w:val="superscript"/>
                <w14:textFill>
                  <w14:solidFill>
                    <w14:schemeClr w14:val="tx1"/>
                  </w14:solidFill>
                </w14:textFill>
              </w:rPr>
              <w:t>3</w:t>
            </w:r>
            <w:r>
              <w:rPr>
                <w:rFonts w:cs="Times New Roman"/>
                <w:color w:val="000000" w:themeColor="text1"/>
                <w:highlight w:val="none"/>
                <w14:textFill>
                  <w14:solidFill>
                    <w14:schemeClr w14:val="tx1"/>
                  </w14:solidFill>
                </w14:textFill>
              </w:rPr>
              <w:t>；</w:t>
            </w:r>
          </w:p>
          <w:p w14:paraId="2265A4AE">
            <w:pPr>
              <w:pStyle w:val="149"/>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cs="Times New Roman"/>
                <w:color w:val="000000" w:themeColor="text1"/>
                <w:highlight w:val="none"/>
                <w14:textFill>
                  <w14:solidFill>
                    <w14:schemeClr w14:val="tx1"/>
                  </w14:solidFill>
                </w14:textFill>
              </w:rPr>
            </w:pPr>
            <w:r>
              <w:rPr>
                <w:rFonts w:cs="Times New Roman"/>
                <w:i/>
                <w:color w:val="000000" w:themeColor="text1"/>
                <w:highlight w:val="none"/>
                <w14:textFill>
                  <w14:solidFill>
                    <w14:schemeClr w14:val="tx1"/>
                  </w14:solidFill>
                </w14:textFill>
              </w:rPr>
              <w:t>C</w:t>
            </w:r>
            <w:r>
              <w:rPr>
                <w:rFonts w:cs="Times New Roman"/>
                <w:color w:val="000000" w:themeColor="text1"/>
                <w:highlight w:val="none"/>
                <w:vertAlign w:val="subscript"/>
                <w14:textFill>
                  <w14:solidFill>
                    <w14:schemeClr w14:val="tx1"/>
                  </w14:solidFill>
                </w14:textFill>
              </w:rPr>
              <w:t>io</w:t>
            </w:r>
            <w:r>
              <w:rPr>
                <w:rFonts w:cs="Times New Roman"/>
                <w:color w:val="000000" w:themeColor="text1"/>
                <w:highlight w:val="none"/>
                <w14:textFill>
                  <w14:solidFill>
                    <w14:schemeClr w14:val="tx1"/>
                  </w14:solidFill>
                </w14:textFill>
              </w:rPr>
              <w:t>——第</w:t>
            </w:r>
            <w:r>
              <w:rPr>
                <w:rFonts w:cs="Times New Roman"/>
                <w:i/>
                <w:color w:val="000000" w:themeColor="text1"/>
                <w:highlight w:val="none"/>
                <w14:textFill>
                  <w14:solidFill>
                    <w14:schemeClr w14:val="tx1"/>
                  </w14:solidFill>
                </w14:textFill>
              </w:rPr>
              <w:t>i</w:t>
            </w:r>
            <w:r>
              <w:rPr>
                <w:rFonts w:cs="Times New Roman"/>
                <w:color w:val="000000" w:themeColor="text1"/>
                <w:highlight w:val="none"/>
                <w14:textFill>
                  <w14:solidFill>
                    <w14:schemeClr w14:val="tx1"/>
                  </w14:solidFill>
                </w14:textFill>
              </w:rPr>
              <w:t>类污染物的环境空气质量评价标准，mg/m</w:t>
            </w:r>
            <w:r>
              <w:rPr>
                <w:rFonts w:cs="Times New Roman"/>
                <w:color w:val="000000" w:themeColor="text1"/>
                <w:highlight w:val="none"/>
                <w:vertAlign w:val="superscript"/>
                <w14:textFill>
                  <w14:solidFill>
                    <w14:schemeClr w14:val="tx1"/>
                  </w14:solidFill>
                </w14:textFill>
              </w:rPr>
              <w:t>3</w:t>
            </w:r>
            <w:r>
              <w:rPr>
                <w:rFonts w:cs="Times New Roman"/>
                <w:color w:val="000000" w:themeColor="text1"/>
                <w:highlight w:val="none"/>
                <w14:textFill>
                  <w14:solidFill>
                    <w14:schemeClr w14:val="tx1"/>
                  </w14:solidFill>
                </w14:textFill>
              </w:rPr>
              <w:t>。</w:t>
            </w:r>
          </w:p>
          <w:p w14:paraId="27B9D303">
            <w:pPr>
              <w:pStyle w:val="142"/>
              <w:keepNext w:val="0"/>
              <w:keepLines w:val="0"/>
              <w:pageBreakBefore w:val="0"/>
              <w:widowControl w:val="0"/>
              <w:kinsoku/>
              <w:wordWrap/>
              <w:overflowPunct/>
              <w:topLinePunct w:val="0"/>
              <w:autoSpaceDE/>
              <w:autoSpaceDN/>
              <w:bidi w:val="0"/>
              <w:adjustRightInd/>
              <w:snapToGrid/>
              <w:ind w:left="0" w:leftChars="0" w:firstLine="482" w:firstLineChars="200"/>
              <w:jc w:val="both"/>
              <w:textAlignment w:val="auto"/>
              <w:rPr>
                <w:rFonts w:hint="default" w:cs="Times New Roman"/>
                <w:b/>
                <w:bCs/>
                <w:color w:val="000000" w:themeColor="text1"/>
                <w:highlight w:val="none"/>
                <w:lang w:val="en-US" w:eastAsia="zh-CN"/>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4）监测结果与评价</w:t>
            </w:r>
          </w:p>
          <w:p w14:paraId="0664AE5B">
            <w:pPr>
              <w:pStyle w:val="57"/>
              <w:numPr>
                <w:ilvl w:val="3"/>
                <w:numId w:val="19"/>
              </w:numPr>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环境空气现状监测</w:t>
            </w:r>
            <w:r>
              <w:rPr>
                <w:rFonts w:hint="eastAsia"/>
                <w:color w:val="000000" w:themeColor="text1"/>
                <w:lang w:val="en-US" w:eastAsia="zh-CN"/>
                <w14:textFill>
                  <w14:solidFill>
                    <w14:schemeClr w14:val="tx1"/>
                  </w14:solidFill>
                </w14:textFill>
              </w:rPr>
              <w:t>结果与评价表</w:t>
            </w:r>
          </w:p>
          <w:tbl>
            <w:tblPr>
              <w:tblStyle w:val="36"/>
              <w:tblW w:w="4997"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963"/>
              <w:gridCol w:w="1035"/>
              <w:gridCol w:w="953"/>
              <w:gridCol w:w="953"/>
              <w:gridCol w:w="694"/>
              <w:gridCol w:w="698"/>
              <w:gridCol w:w="2115"/>
              <w:gridCol w:w="954"/>
            </w:tblGrid>
            <w:tr w14:paraId="669C695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621" w:type="pct"/>
                  <w:vMerge w:val="restart"/>
                  <w:tcBorders>
                    <w:tl2br w:val="nil"/>
                    <w:tr2bl w:val="nil"/>
                  </w:tcBorders>
                  <w:noWrap/>
                  <w:vAlign w:val="center"/>
                </w:tcPr>
                <w:p w14:paraId="5F8198F9">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监测点位</w:t>
                  </w:r>
                </w:p>
              </w:tc>
              <w:tc>
                <w:tcPr>
                  <w:tcW w:w="676" w:type="pct"/>
                  <w:vMerge w:val="restart"/>
                  <w:tcBorders>
                    <w:tl2br w:val="nil"/>
                    <w:tr2bl w:val="nil"/>
                  </w:tcBorders>
                  <w:noWrap/>
                  <w:vAlign w:val="center"/>
                </w:tcPr>
                <w:p w14:paraId="09D65FFA">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污染物</w:t>
                  </w:r>
                </w:p>
              </w:tc>
              <w:tc>
                <w:tcPr>
                  <w:tcW w:w="621" w:type="pct"/>
                  <w:vMerge w:val="restart"/>
                  <w:tcBorders>
                    <w:tl2br w:val="nil"/>
                    <w:tr2bl w:val="nil"/>
                  </w:tcBorders>
                  <w:noWrap/>
                  <w:vAlign w:val="center"/>
                </w:tcPr>
                <w:p w14:paraId="002CB34B">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平均时间</w:t>
                  </w:r>
                </w:p>
              </w:tc>
              <w:tc>
                <w:tcPr>
                  <w:tcW w:w="621" w:type="pct"/>
                  <w:vMerge w:val="restart"/>
                  <w:tcBorders>
                    <w:tl2br w:val="nil"/>
                    <w:tr2bl w:val="nil"/>
                  </w:tcBorders>
                  <w:noWrap/>
                  <w:vAlign w:val="center"/>
                </w:tcPr>
                <w:p w14:paraId="4DE703EF">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评价标准</w:t>
                  </w:r>
                </w:p>
                <w:p w14:paraId="328ED0CD">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mg/m³</w:t>
                  </w:r>
                </w:p>
              </w:tc>
              <w:tc>
                <w:tcPr>
                  <w:tcW w:w="934" w:type="pct"/>
                  <w:gridSpan w:val="2"/>
                  <w:tcBorders>
                    <w:tl2br w:val="nil"/>
                    <w:tr2bl w:val="nil"/>
                  </w:tcBorders>
                  <w:noWrap/>
                  <w:vAlign w:val="center"/>
                </w:tcPr>
                <w:p w14:paraId="2BED1CB2">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监测浓度范围</w:t>
                  </w:r>
                </w:p>
              </w:tc>
              <w:tc>
                <w:tcPr>
                  <w:tcW w:w="904" w:type="pct"/>
                  <w:vMerge w:val="restart"/>
                  <w:tcBorders>
                    <w:tl2br w:val="nil"/>
                    <w:tr2bl w:val="nil"/>
                  </w:tcBorders>
                  <w:noWrap/>
                  <w:vAlign w:val="center"/>
                </w:tcPr>
                <w:p w14:paraId="406887E3">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最大浓度占标率（%）</w:t>
                  </w:r>
                </w:p>
              </w:tc>
              <w:tc>
                <w:tcPr>
                  <w:tcW w:w="621" w:type="pct"/>
                  <w:vMerge w:val="restart"/>
                  <w:tcBorders>
                    <w:tl2br w:val="nil"/>
                    <w:tr2bl w:val="nil"/>
                  </w:tcBorders>
                  <w:noWrap/>
                  <w:vAlign w:val="center"/>
                </w:tcPr>
                <w:p w14:paraId="0531E7F6">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达标情况</w:t>
                  </w:r>
                </w:p>
              </w:tc>
            </w:tr>
            <w:tr w14:paraId="41D1978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0" w:type="auto"/>
                  <w:vMerge w:val="continue"/>
                  <w:tcBorders>
                    <w:tl2br w:val="nil"/>
                    <w:tr2bl w:val="nil"/>
                  </w:tcBorders>
                  <w:vAlign w:val="center"/>
                </w:tcPr>
                <w:p w14:paraId="1981DF16">
                  <w:pPr>
                    <w:pStyle w:val="142"/>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default"/>
                      <w:color w:val="000000" w:themeColor="text1"/>
                      <w:sz w:val="21"/>
                      <w:szCs w:val="21"/>
                      <w14:textFill>
                        <w14:solidFill>
                          <w14:schemeClr w14:val="tx1"/>
                        </w14:solidFill>
                      </w14:textFill>
                    </w:rPr>
                  </w:pPr>
                </w:p>
              </w:tc>
              <w:tc>
                <w:tcPr>
                  <w:tcW w:w="0" w:type="auto"/>
                  <w:vMerge w:val="continue"/>
                  <w:tcBorders>
                    <w:tl2br w:val="nil"/>
                    <w:tr2bl w:val="nil"/>
                  </w:tcBorders>
                  <w:vAlign w:val="center"/>
                </w:tcPr>
                <w:p w14:paraId="2658167A">
                  <w:pPr>
                    <w:pStyle w:val="142"/>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default"/>
                      <w:color w:val="000000" w:themeColor="text1"/>
                      <w:sz w:val="21"/>
                      <w:szCs w:val="21"/>
                      <w14:textFill>
                        <w14:solidFill>
                          <w14:schemeClr w14:val="tx1"/>
                        </w14:solidFill>
                      </w14:textFill>
                    </w:rPr>
                  </w:pPr>
                </w:p>
              </w:tc>
              <w:tc>
                <w:tcPr>
                  <w:tcW w:w="0" w:type="auto"/>
                  <w:vMerge w:val="continue"/>
                  <w:tcBorders>
                    <w:tl2br w:val="nil"/>
                    <w:tr2bl w:val="nil"/>
                  </w:tcBorders>
                  <w:vAlign w:val="center"/>
                </w:tcPr>
                <w:p w14:paraId="1C6304BD">
                  <w:pPr>
                    <w:pStyle w:val="142"/>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default"/>
                      <w:color w:val="000000" w:themeColor="text1"/>
                      <w:sz w:val="21"/>
                      <w:szCs w:val="21"/>
                      <w14:textFill>
                        <w14:solidFill>
                          <w14:schemeClr w14:val="tx1"/>
                        </w14:solidFill>
                      </w14:textFill>
                    </w:rPr>
                  </w:pPr>
                </w:p>
              </w:tc>
              <w:tc>
                <w:tcPr>
                  <w:tcW w:w="0" w:type="auto"/>
                  <w:vMerge w:val="continue"/>
                  <w:tcBorders>
                    <w:tl2br w:val="nil"/>
                    <w:tr2bl w:val="nil"/>
                  </w:tcBorders>
                  <w:vAlign w:val="center"/>
                </w:tcPr>
                <w:p w14:paraId="1DB985E7">
                  <w:pPr>
                    <w:pStyle w:val="142"/>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default"/>
                      <w:color w:val="000000" w:themeColor="text1"/>
                      <w:sz w:val="21"/>
                      <w:szCs w:val="21"/>
                      <w14:textFill>
                        <w14:solidFill>
                          <w14:schemeClr w14:val="tx1"/>
                        </w14:solidFill>
                      </w14:textFill>
                    </w:rPr>
                  </w:pPr>
                </w:p>
              </w:tc>
              <w:tc>
                <w:tcPr>
                  <w:tcW w:w="466" w:type="pct"/>
                  <w:tcBorders>
                    <w:tl2br w:val="nil"/>
                    <w:tr2bl w:val="nil"/>
                  </w:tcBorders>
                  <w:noWrap/>
                  <w:vAlign w:val="center"/>
                </w:tcPr>
                <w:p w14:paraId="7152AE14">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最小值</w:t>
                  </w:r>
                </w:p>
              </w:tc>
              <w:tc>
                <w:tcPr>
                  <w:tcW w:w="467" w:type="pct"/>
                  <w:tcBorders>
                    <w:tl2br w:val="nil"/>
                    <w:tr2bl w:val="nil"/>
                  </w:tcBorders>
                  <w:noWrap/>
                  <w:vAlign w:val="center"/>
                </w:tcPr>
                <w:p w14:paraId="0BED3A31">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最大值</w:t>
                  </w:r>
                </w:p>
              </w:tc>
              <w:tc>
                <w:tcPr>
                  <w:tcW w:w="0" w:type="auto"/>
                  <w:vMerge w:val="continue"/>
                  <w:tcBorders>
                    <w:tl2br w:val="nil"/>
                    <w:tr2bl w:val="nil"/>
                  </w:tcBorders>
                  <w:vAlign w:val="center"/>
                </w:tcPr>
                <w:p w14:paraId="26DE2645">
                  <w:pPr>
                    <w:pStyle w:val="142"/>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default"/>
                      <w:color w:val="000000" w:themeColor="text1"/>
                      <w:sz w:val="21"/>
                      <w:szCs w:val="21"/>
                      <w14:textFill>
                        <w14:solidFill>
                          <w14:schemeClr w14:val="tx1"/>
                        </w14:solidFill>
                      </w14:textFill>
                    </w:rPr>
                  </w:pPr>
                </w:p>
              </w:tc>
              <w:tc>
                <w:tcPr>
                  <w:tcW w:w="0" w:type="auto"/>
                  <w:vMerge w:val="continue"/>
                  <w:tcBorders>
                    <w:tl2br w:val="nil"/>
                    <w:tr2bl w:val="nil"/>
                  </w:tcBorders>
                  <w:vAlign w:val="center"/>
                </w:tcPr>
                <w:p w14:paraId="336EEEF2">
                  <w:pPr>
                    <w:pStyle w:val="142"/>
                    <w:keepNext w:val="0"/>
                    <w:keepLines w:val="0"/>
                    <w:pageBreakBefore w:val="0"/>
                    <w:widowControl w:val="0"/>
                    <w:kinsoku/>
                    <w:wordWrap/>
                    <w:overflowPunct/>
                    <w:topLinePunct w:val="0"/>
                    <w:autoSpaceDE/>
                    <w:autoSpaceDN/>
                    <w:bidi w:val="0"/>
                    <w:adjustRightInd/>
                    <w:snapToGrid/>
                    <w:spacing w:line="240" w:lineRule="auto"/>
                    <w:ind w:firstLine="420"/>
                    <w:jc w:val="center"/>
                    <w:textAlignment w:val="auto"/>
                    <w:rPr>
                      <w:rFonts w:hint="default"/>
                      <w:color w:val="000000" w:themeColor="text1"/>
                      <w:sz w:val="21"/>
                      <w:szCs w:val="21"/>
                      <w14:textFill>
                        <w14:solidFill>
                          <w14:schemeClr w14:val="tx1"/>
                        </w14:solidFill>
                      </w14:textFill>
                    </w:rPr>
                  </w:pPr>
                </w:p>
              </w:tc>
            </w:tr>
            <w:tr w14:paraId="652CC16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621" w:type="pct"/>
                  <w:tcBorders>
                    <w:tl2br w:val="nil"/>
                    <w:tr2bl w:val="nil"/>
                  </w:tcBorders>
                  <w:noWrap/>
                  <w:vAlign w:val="center"/>
                </w:tcPr>
                <w:p w14:paraId="2AFBFB5C">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江西千通</w:t>
                  </w:r>
                </w:p>
                <w:p w14:paraId="20ADDE52">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lang w:val="en-US"/>
                      <w14:textFill>
                        <w14:solidFill>
                          <w14:schemeClr w14:val="tx1"/>
                        </w14:solidFill>
                      </w14:textFill>
                    </w:rPr>
                  </w:pPr>
                  <w:r>
                    <w:rPr>
                      <w:rFonts w:hint="eastAsia"/>
                      <w:color w:val="000000" w:themeColor="text1"/>
                      <w:lang w:val="en-US" w:eastAsia="zh-CN"/>
                      <w14:textFill>
                        <w14:solidFill>
                          <w14:schemeClr w14:val="tx1"/>
                        </w14:solidFill>
                      </w14:textFill>
                    </w:rPr>
                    <w:t>管业A1</w:t>
                  </w:r>
                </w:p>
              </w:tc>
              <w:tc>
                <w:tcPr>
                  <w:tcW w:w="676" w:type="pct"/>
                  <w:tcBorders>
                    <w:tl2br w:val="nil"/>
                    <w:tr2bl w:val="nil"/>
                  </w:tcBorders>
                  <w:noWrap/>
                  <w:vAlign w:val="center"/>
                </w:tcPr>
                <w:p w14:paraId="4936BAF1">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TSP</w:t>
                  </w:r>
                </w:p>
              </w:tc>
              <w:tc>
                <w:tcPr>
                  <w:tcW w:w="621" w:type="pct"/>
                  <w:tcBorders>
                    <w:tl2br w:val="nil"/>
                    <w:tr2bl w:val="nil"/>
                  </w:tcBorders>
                  <w:noWrap/>
                  <w:vAlign w:val="center"/>
                </w:tcPr>
                <w:p w14:paraId="53AE9082">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日均值</w:t>
                  </w:r>
                </w:p>
              </w:tc>
              <w:tc>
                <w:tcPr>
                  <w:tcW w:w="621" w:type="pct"/>
                  <w:tcBorders>
                    <w:tl2br w:val="nil"/>
                    <w:tr2bl w:val="nil"/>
                  </w:tcBorders>
                  <w:noWrap/>
                  <w:vAlign w:val="center"/>
                </w:tcPr>
                <w:p w14:paraId="6AEAA6B6">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0.3</w:t>
                  </w:r>
                </w:p>
              </w:tc>
              <w:tc>
                <w:tcPr>
                  <w:tcW w:w="466" w:type="pct"/>
                  <w:tcBorders>
                    <w:tl2br w:val="nil"/>
                    <w:tr2bl w:val="nil"/>
                  </w:tcBorders>
                  <w:noWrap/>
                  <w:vAlign w:val="center"/>
                </w:tcPr>
                <w:p w14:paraId="470A8C01">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0.1</w:t>
                  </w:r>
                  <w:r>
                    <w:rPr>
                      <w:rFonts w:hint="eastAsia"/>
                      <w:color w:val="000000" w:themeColor="text1"/>
                      <w:sz w:val="21"/>
                      <w:szCs w:val="21"/>
                      <w:lang w:val="en-US" w:eastAsia="zh-CN"/>
                      <w14:textFill>
                        <w14:solidFill>
                          <w14:schemeClr w14:val="tx1"/>
                        </w14:solidFill>
                      </w14:textFill>
                    </w:rPr>
                    <w:t>4</w:t>
                  </w:r>
                  <w:r>
                    <w:rPr>
                      <w:color w:val="000000" w:themeColor="text1"/>
                      <w:sz w:val="21"/>
                      <w:szCs w:val="21"/>
                      <w14:textFill>
                        <w14:solidFill>
                          <w14:schemeClr w14:val="tx1"/>
                        </w14:solidFill>
                      </w14:textFill>
                    </w:rPr>
                    <w:t>3</w:t>
                  </w:r>
                </w:p>
              </w:tc>
              <w:tc>
                <w:tcPr>
                  <w:tcW w:w="467" w:type="pct"/>
                  <w:tcBorders>
                    <w:tl2br w:val="nil"/>
                    <w:tr2bl w:val="nil"/>
                  </w:tcBorders>
                  <w:noWrap/>
                  <w:vAlign w:val="center"/>
                </w:tcPr>
                <w:p w14:paraId="7AA9CDD0">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0.</w:t>
                  </w:r>
                  <w:r>
                    <w:rPr>
                      <w:rFonts w:hint="eastAsia"/>
                      <w:color w:val="000000" w:themeColor="text1"/>
                      <w:sz w:val="21"/>
                      <w:szCs w:val="21"/>
                      <w:lang w:val="en-US" w:eastAsia="zh-CN"/>
                      <w14:textFill>
                        <w14:solidFill>
                          <w14:schemeClr w14:val="tx1"/>
                        </w14:solidFill>
                      </w14:textFill>
                    </w:rPr>
                    <w:t>149</w:t>
                  </w:r>
                </w:p>
              </w:tc>
              <w:tc>
                <w:tcPr>
                  <w:tcW w:w="904" w:type="pct"/>
                  <w:tcBorders>
                    <w:tl2br w:val="nil"/>
                    <w:tr2bl w:val="nil"/>
                  </w:tcBorders>
                  <w:noWrap/>
                  <w:vAlign w:val="center"/>
                </w:tcPr>
                <w:p w14:paraId="5F49A164">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49.67</w:t>
                  </w:r>
                </w:p>
              </w:tc>
              <w:tc>
                <w:tcPr>
                  <w:tcW w:w="621" w:type="pct"/>
                  <w:tcBorders>
                    <w:tl2br w:val="nil"/>
                    <w:tr2bl w:val="nil"/>
                  </w:tcBorders>
                  <w:noWrap/>
                  <w:vAlign w:val="center"/>
                </w:tcPr>
                <w:p w14:paraId="26C16AD9">
                  <w:pPr>
                    <w:pStyle w:val="14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bl>
          <w:p w14:paraId="01054E17">
            <w:pPr>
              <w:pStyle w:val="142"/>
              <w:ind w:firstLine="480"/>
              <w:rPr>
                <w:rFonts w:hint="default"/>
                <w:color w:val="000000" w:themeColor="text1"/>
                <w14:textFill>
                  <w14:solidFill>
                    <w14:schemeClr w14:val="tx1"/>
                  </w14:solidFill>
                </w14:textFill>
              </w:rPr>
            </w:pPr>
            <w:r>
              <w:rPr>
                <w:rFonts w:cs="Times New Roman"/>
                <w:color w:val="000000" w:themeColor="text1"/>
                <w:highlight w:val="none"/>
                <w14:textFill>
                  <w14:solidFill>
                    <w14:schemeClr w14:val="tx1"/>
                  </w14:solidFill>
                </w14:textFill>
              </w:rPr>
              <w:t>统计结果表明，项目</w:t>
            </w:r>
            <w:r>
              <w:rPr>
                <w:rFonts w:hint="eastAsia" w:cs="Times New Roman"/>
                <w:color w:val="000000" w:themeColor="text1"/>
                <w:highlight w:val="none"/>
                <w:lang w:val="en-US" w:eastAsia="zh-CN"/>
                <w14:textFill>
                  <w14:solidFill>
                    <w14:schemeClr w14:val="tx1"/>
                  </w14:solidFill>
                </w14:textFill>
              </w:rPr>
              <w:t>现状</w:t>
            </w:r>
            <w:r>
              <w:rPr>
                <w:rFonts w:cs="Times New Roman"/>
                <w:color w:val="000000" w:themeColor="text1"/>
                <w:highlight w:val="none"/>
                <w14:textFill>
                  <w14:solidFill>
                    <w14:schemeClr w14:val="tx1"/>
                  </w14:solidFill>
                </w14:textFill>
              </w:rPr>
              <w:t>监测点</w:t>
            </w:r>
            <w:r>
              <w:rPr>
                <w:rFonts w:hint="eastAsia"/>
                <w:b w:val="0"/>
                <w:color w:val="000000" w:themeColor="text1"/>
                <w:sz w:val="24"/>
                <w:highlight w:val="none"/>
                <w:lang w:val="en-US" w:eastAsia="zh-CN"/>
                <w14:textFill>
                  <w14:solidFill>
                    <w14:schemeClr w14:val="tx1"/>
                  </w14:solidFill>
                </w14:textFill>
              </w:rPr>
              <w:t>TSP浓度</w:t>
            </w:r>
            <w:r>
              <w:rPr>
                <w:b w:val="0"/>
                <w:color w:val="000000" w:themeColor="text1"/>
                <w:sz w:val="24"/>
                <w:highlight w:val="none"/>
                <w:lang w:val="zh-CN"/>
                <w14:textFill>
                  <w14:solidFill>
                    <w14:schemeClr w14:val="tx1"/>
                  </w14:solidFill>
                </w14:textFill>
              </w:rPr>
              <w:t>满足</w:t>
            </w:r>
            <w:r>
              <w:rPr>
                <w:b w:val="0"/>
                <w:color w:val="000000" w:themeColor="text1"/>
                <w:sz w:val="24"/>
                <w:highlight w:val="none"/>
                <w14:textFill>
                  <w14:solidFill>
                    <w14:schemeClr w14:val="tx1"/>
                  </w14:solidFill>
                </w14:textFill>
              </w:rPr>
              <w:t>《环境空气质量标准》（GB3095-20</w:t>
            </w:r>
            <w:r>
              <w:rPr>
                <w:rFonts w:hint="eastAsia"/>
                <w:b w:val="0"/>
                <w:color w:val="000000" w:themeColor="text1"/>
                <w:sz w:val="24"/>
                <w:highlight w:val="none"/>
                <w:lang w:val="en-US" w:eastAsia="zh-CN"/>
                <w14:textFill>
                  <w14:solidFill>
                    <w14:schemeClr w14:val="tx1"/>
                  </w14:solidFill>
                </w14:textFill>
              </w:rPr>
              <w:t>26</w:t>
            </w:r>
            <w:r>
              <w:rPr>
                <w:b w:val="0"/>
                <w:color w:val="000000" w:themeColor="text1"/>
                <w:sz w:val="24"/>
                <w:highlight w:val="none"/>
                <w14:textFill>
                  <w14:solidFill>
                    <w14:schemeClr w14:val="tx1"/>
                  </w14:solidFill>
                </w14:textFill>
              </w:rPr>
              <w:t>）中</w:t>
            </w:r>
            <w:r>
              <w:rPr>
                <w:rFonts w:hint="eastAsia"/>
                <w:b w:val="0"/>
                <w:color w:val="000000" w:themeColor="text1"/>
                <w:sz w:val="24"/>
                <w:highlight w:val="none"/>
                <w:lang w:val="en-US" w:eastAsia="zh-CN"/>
                <w14:textFill>
                  <w14:solidFill>
                    <w14:schemeClr w14:val="tx1"/>
                  </w14:solidFill>
                </w14:textFill>
              </w:rPr>
              <w:t>过渡阶段</w:t>
            </w:r>
            <w:r>
              <w:rPr>
                <w:b w:val="0"/>
                <w:color w:val="000000" w:themeColor="text1"/>
                <w:sz w:val="24"/>
                <w:highlight w:val="none"/>
                <w14:textFill>
                  <w14:solidFill>
                    <w14:schemeClr w14:val="tx1"/>
                  </w14:solidFill>
                </w14:textFill>
              </w:rPr>
              <w:t>二级标准</w:t>
            </w:r>
            <w:r>
              <w:rPr>
                <w:rFonts w:hint="eastAsia"/>
                <w:b w:val="0"/>
                <w:color w:val="000000" w:themeColor="text1"/>
                <w:sz w:val="24"/>
                <w:highlight w:val="none"/>
                <w:lang w:val="en-US" w:eastAsia="zh-CN"/>
                <w14:textFill>
                  <w14:solidFill>
                    <w14:schemeClr w14:val="tx1"/>
                  </w14:solidFill>
                </w14:textFill>
              </w:rPr>
              <w:t>限值要求</w:t>
            </w:r>
            <w:r>
              <w:rPr>
                <w:color w:val="000000" w:themeColor="text1"/>
                <w14:textFill>
                  <w14:solidFill>
                    <w14:schemeClr w14:val="tx1"/>
                  </w14:solidFill>
                </w14:textFill>
              </w:rPr>
              <w:t>。</w:t>
            </w:r>
          </w:p>
          <w:p w14:paraId="098FDB8B">
            <w:pPr>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2、地表水环境质量现状</w:t>
            </w:r>
          </w:p>
          <w:p w14:paraId="1FEB9E51">
            <w:pPr>
              <w:adjustRightInd/>
              <w:ind w:firstLine="480"/>
              <w:rPr>
                <w:rFonts w:cs="等线"/>
                <w:color w:val="000000" w:themeColor="text1"/>
                <w:kern w:val="0"/>
                <w14:textFill>
                  <w14:solidFill>
                    <w14:schemeClr w14:val="tx1"/>
                  </w14:solidFill>
                </w14:textFill>
              </w:rPr>
            </w:pPr>
            <w:r>
              <w:rPr>
                <w:rFonts w:hint="eastAsia" w:ascii="宋体" w:hAnsi="宋体" w:cs="等线"/>
                <w:color w:val="000000" w:themeColor="text1"/>
                <w:kern w:val="0"/>
                <w14:textFill>
                  <w14:solidFill>
                    <w14:schemeClr w14:val="tx1"/>
                  </w14:solidFill>
                </w14:textFill>
              </w:rPr>
              <w:t>项目所在区域地表水为锦江，本项目采用</w:t>
            </w:r>
            <w:r>
              <w:rPr>
                <w:rFonts w:hint="eastAsia"/>
                <w:color w:val="000000" w:themeColor="text1"/>
                <w:kern w:val="0"/>
                <w14:textFill>
                  <w14:solidFill>
                    <w14:schemeClr w14:val="tx1"/>
                  </w14:solidFill>
                </w14:textFill>
              </w:rPr>
              <w:t>2025</w:t>
            </w:r>
            <w:r>
              <w:rPr>
                <w:rFonts w:hint="eastAsia" w:ascii="宋体" w:hAnsi="宋体" w:cs="等线"/>
                <w:color w:val="000000" w:themeColor="text1"/>
                <w:kern w:val="0"/>
                <w14:textFill>
                  <w14:solidFill>
                    <w14:schemeClr w14:val="tx1"/>
                  </w14:solidFill>
                </w14:textFill>
              </w:rPr>
              <w:t>年</w:t>
            </w:r>
            <w:r>
              <w:rPr>
                <w:rFonts w:hint="eastAsia"/>
                <w:color w:val="000000" w:themeColor="text1"/>
                <w:kern w:val="0"/>
                <w14:textFill>
                  <w14:solidFill>
                    <w14:schemeClr w14:val="tx1"/>
                  </w14:solidFill>
                </w14:textFill>
              </w:rPr>
              <w:t>5</w:t>
            </w:r>
            <w:r>
              <w:rPr>
                <w:rFonts w:hint="eastAsia" w:ascii="宋体" w:hAnsi="宋体" w:cs="等线"/>
                <w:color w:val="000000" w:themeColor="text1"/>
                <w:kern w:val="0"/>
                <w14:textFill>
                  <w14:solidFill>
                    <w14:schemeClr w14:val="tx1"/>
                  </w14:solidFill>
                </w14:textFill>
              </w:rPr>
              <w:t>月</w:t>
            </w:r>
            <w:bookmarkStart w:id="25" w:name="OLE_LINK14"/>
            <w:r>
              <w:rPr>
                <w:rFonts w:hint="eastAsia" w:ascii="宋体" w:hAnsi="宋体" w:cs="等线"/>
                <w:color w:val="000000" w:themeColor="text1"/>
                <w:kern w:val="0"/>
                <w14:textFill>
                  <w14:solidFill>
                    <w14:schemeClr w14:val="tx1"/>
                  </w14:solidFill>
                </w14:textFill>
              </w:rPr>
              <w:t>宜春市环境质量月报</w:t>
            </w:r>
            <w:bookmarkEnd w:id="25"/>
            <w:r>
              <w:rPr>
                <w:rFonts w:hint="eastAsia" w:ascii="宋体" w:hAnsi="宋体" w:cs="等线"/>
                <w:color w:val="000000" w:themeColor="text1"/>
                <w:kern w:val="0"/>
                <w14:textFill>
                  <w14:solidFill>
                    <w14:schemeClr w14:val="tx1"/>
                  </w14:solidFill>
                </w14:textFill>
              </w:rPr>
              <w:t>中锦江的监测数据了解项目所在区域的水环境质量现状：</w:t>
            </w:r>
            <w:r>
              <w:rPr>
                <w:rFonts w:hint="eastAsia"/>
                <w:color w:val="000000" w:themeColor="text1"/>
                <w:kern w:val="0"/>
                <w14:textFill>
                  <w14:solidFill>
                    <w14:schemeClr w14:val="tx1"/>
                  </w14:solidFill>
                </w14:textFill>
              </w:rPr>
              <w:t>2025</w:t>
            </w:r>
            <w:r>
              <w:rPr>
                <w:rFonts w:hint="eastAsia" w:ascii="宋体" w:hAnsi="宋体" w:cs="等线"/>
                <w:color w:val="000000" w:themeColor="text1"/>
                <w:kern w:val="0"/>
                <w14:textFill>
                  <w14:solidFill>
                    <w14:schemeClr w14:val="tx1"/>
                  </w14:solidFill>
                </w14:textFill>
              </w:rPr>
              <w:t>年</w:t>
            </w:r>
            <w:r>
              <w:rPr>
                <w:rFonts w:hint="eastAsia"/>
                <w:color w:val="000000" w:themeColor="text1"/>
                <w:kern w:val="0"/>
                <w14:textFill>
                  <w14:solidFill>
                    <w14:schemeClr w14:val="tx1"/>
                  </w14:solidFill>
                </w14:textFill>
              </w:rPr>
              <w:t>5</w:t>
            </w:r>
            <w:r>
              <w:rPr>
                <w:rFonts w:hint="eastAsia" w:ascii="宋体" w:hAnsi="宋体" w:cs="等线"/>
                <w:color w:val="000000" w:themeColor="text1"/>
                <w:kern w:val="0"/>
                <w14:textFill>
                  <w14:solidFill>
                    <w14:schemeClr w14:val="tx1"/>
                  </w14:solidFill>
                </w14:textFill>
              </w:rPr>
              <w:t>月江西省宜春生态环境监测中心对全市主要流域</w:t>
            </w:r>
            <w:r>
              <w:rPr>
                <w:rFonts w:hint="eastAsia"/>
                <w:color w:val="000000" w:themeColor="text1"/>
                <w:kern w:val="0"/>
                <w14:textFill>
                  <w14:solidFill>
                    <w14:schemeClr w14:val="tx1"/>
                  </w14:solidFill>
                </w14:textFill>
              </w:rPr>
              <w:t>21</w:t>
            </w:r>
            <w:r>
              <w:rPr>
                <w:rFonts w:hint="eastAsia" w:ascii="宋体" w:hAnsi="宋体" w:cs="等线"/>
                <w:color w:val="000000" w:themeColor="text1"/>
                <w:kern w:val="0"/>
                <w14:textFill>
                  <w14:solidFill>
                    <w14:schemeClr w14:val="tx1"/>
                  </w14:solidFill>
                </w14:textFill>
              </w:rPr>
              <w:t>个断面水质进行了监测，监测项目为</w:t>
            </w:r>
            <w:r>
              <w:rPr>
                <w:rFonts w:hint="eastAsia"/>
                <w:color w:val="000000" w:themeColor="text1"/>
                <w:kern w:val="0"/>
                <w14:textFill>
                  <w14:solidFill>
                    <w14:schemeClr w14:val="tx1"/>
                  </w14:solidFill>
                </w14:textFill>
              </w:rPr>
              <w:t>21</w:t>
            </w:r>
            <w:r>
              <w:rPr>
                <w:rFonts w:hint="eastAsia" w:ascii="宋体" w:hAnsi="宋体" w:cs="等线"/>
                <w:color w:val="000000" w:themeColor="text1"/>
                <w:kern w:val="0"/>
                <w14:textFill>
                  <w14:solidFill>
                    <w14:schemeClr w14:val="tx1"/>
                  </w14:solidFill>
                </w14:textFill>
              </w:rPr>
              <w:t>项。监测评价指标为</w:t>
            </w:r>
            <w:r>
              <w:rPr>
                <w:rFonts w:hint="eastAsia"/>
                <w:color w:val="000000" w:themeColor="text1"/>
                <w:kern w:val="0"/>
                <w14:textFill>
                  <w14:solidFill>
                    <w14:schemeClr w14:val="tx1"/>
                  </w14:solidFill>
                </w14:textFill>
              </w:rPr>
              <w:t>pH</w:t>
            </w:r>
            <w:r>
              <w:rPr>
                <w:rFonts w:hint="eastAsia" w:ascii="宋体" w:hAnsi="宋体" w:cs="等线"/>
                <w:color w:val="000000" w:themeColor="text1"/>
                <w:kern w:val="0"/>
                <w14:textFill>
                  <w14:solidFill>
                    <w14:schemeClr w14:val="tx1"/>
                  </w14:solidFill>
                </w14:textFill>
              </w:rPr>
              <w:t>、溶解氧、高锰酸盐指数、化学需氧量、五日生化需氧量、氨氮、总磷、铜、锌、氟化物、硒、砷、汞、镉、六价铬、铅、氰化物、挥发酚、石油类、阴离子表面活性剂、硫化物。监测评价标准为《地表水环境质量标准》（</w:t>
            </w:r>
            <w:r>
              <w:rPr>
                <w:rFonts w:hint="eastAsia"/>
                <w:color w:val="000000" w:themeColor="text1"/>
                <w:kern w:val="0"/>
                <w14:textFill>
                  <w14:solidFill>
                    <w14:schemeClr w14:val="tx1"/>
                  </w14:solidFill>
                </w14:textFill>
              </w:rPr>
              <w:t>GB3838-2002</w:t>
            </w:r>
            <w:r>
              <w:rPr>
                <w:rFonts w:hint="eastAsia" w:ascii="宋体" w:hAnsi="宋体" w:cs="等线"/>
                <w:color w:val="000000" w:themeColor="text1"/>
                <w:kern w:val="0"/>
                <w14:textFill>
                  <w14:solidFill>
                    <w14:schemeClr w14:val="tx1"/>
                  </w14:solidFill>
                </w14:textFill>
              </w:rPr>
              <w:t>），具体见表</w:t>
            </w:r>
            <w:r>
              <w:rPr>
                <w:rFonts w:hint="eastAsia"/>
                <w:color w:val="000000" w:themeColor="text1"/>
                <w:kern w:val="0"/>
                <w14:textFill>
                  <w14:solidFill>
                    <w14:schemeClr w14:val="tx1"/>
                  </w14:solidFill>
                </w14:textFill>
              </w:rPr>
              <w:t>3-3</w:t>
            </w:r>
            <w:r>
              <w:rPr>
                <w:rFonts w:hint="eastAsia" w:ascii="宋体" w:hAnsi="宋体" w:cs="等线"/>
                <w:color w:val="000000" w:themeColor="text1"/>
                <w:kern w:val="0"/>
                <w14:textFill>
                  <w14:solidFill>
                    <w14:schemeClr w14:val="tx1"/>
                  </w14:solidFill>
                </w14:textFill>
              </w:rPr>
              <w:t>。</w:t>
            </w:r>
          </w:p>
          <w:p w14:paraId="2D2552A2">
            <w:pPr>
              <w:pStyle w:val="57"/>
              <w:numPr>
                <w:ilvl w:val="3"/>
                <w:numId w:val="19"/>
              </w:numPr>
              <w:rPr>
                <w:color w:val="000000" w:themeColor="text1"/>
                <w:lang w:eastAsia="zh-CN"/>
                <w14:textFill>
                  <w14:solidFill>
                    <w14:schemeClr w14:val="tx1"/>
                  </w14:solidFill>
                </w14:textFill>
              </w:rPr>
            </w:pPr>
            <w:r>
              <w:rPr>
                <w:color w:val="000000" w:themeColor="text1"/>
                <w:lang w:eastAsia="zh-CN"/>
                <w14:textFill>
                  <w14:solidFill>
                    <w14:schemeClr w14:val="tx1"/>
                  </w14:solidFill>
                </w14:textFill>
              </w:rPr>
              <w:t>2024年</w:t>
            </w:r>
            <w:r>
              <w:rPr>
                <w:rFonts w:hint="eastAsia"/>
                <w:color w:val="000000" w:themeColor="text1"/>
                <w:lang w:eastAsia="zh-CN"/>
                <w14:textFill>
                  <w14:solidFill>
                    <w14:schemeClr w14:val="tx1"/>
                  </w14:solidFill>
                </w14:textFill>
              </w:rPr>
              <w:t>11</w:t>
            </w:r>
            <w:r>
              <w:rPr>
                <w:color w:val="000000" w:themeColor="text1"/>
                <w:lang w:eastAsia="zh-CN"/>
                <w14:textFill>
                  <w14:solidFill>
                    <w14:schemeClr w14:val="tx1"/>
                  </w14:solidFill>
                </w14:textFill>
              </w:rPr>
              <w:t>月</w:t>
            </w:r>
            <w:r>
              <w:rPr>
                <w:rFonts w:hint="eastAsia"/>
                <w:color w:val="000000" w:themeColor="text1"/>
                <w:lang w:eastAsia="zh-CN"/>
                <w14:textFill>
                  <w14:solidFill>
                    <w14:schemeClr w14:val="tx1"/>
                  </w14:solidFill>
                </w14:textFill>
              </w:rPr>
              <w:t>宜春</w:t>
            </w:r>
            <w:r>
              <w:rPr>
                <w:color w:val="000000" w:themeColor="text1"/>
                <w:lang w:eastAsia="zh-CN"/>
                <w14:textFill>
                  <w14:solidFill>
                    <w14:schemeClr w14:val="tx1"/>
                  </w14:solidFill>
                </w14:textFill>
              </w:rPr>
              <w:t>市环境质量状况公报评价表</w:t>
            </w:r>
          </w:p>
          <w:tbl>
            <w:tblPr>
              <w:tblStyle w:val="36"/>
              <w:tblW w:w="5000" w:type="pct"/>
              <w:jc w:val="center"/>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17"/>
              <w:gridCol w:w="1189"/>
              <w:gridCol w:w="1676"/>
              <w:gridCol w:w="1197"/>
              <w:gridCol w:w="1197"/>
              <w:gridCol w:w="1197"/>
              <w:gridCol w:w="1197"/>
            </w:tblGrid>
            <w:tr w14:paraId="7C644B38">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18" w:space="0"/>
                    <w:left w:val="nil"/>
                    <w:bottom w:val="single" w:color="auto" w:sz="6" w:space="0"/>
                    <w:right w:val="single" w:color="auto" w:sz="6" w:space="0"/>
                  </w:tcBorders>
                  <w:vAlign w:val="center"/>
                </w:tcPr>
                <w:p w14:paraId="0BDFD617">
                  <w:pPr>
                    <w:spacing w:before="24" w:after="24" w:line="240" w:lineRule="auto"/>
                    <w:ind w:firstLine="0" w:firstLineChars="0"/>
                    <w:jc w:val="center"/>
                    <w:textAlignment w:val="baseline"/>
                    <w:rPr>
                      <w:b/>
                      <w:bCs/>
                      <w:color w:val="000000" w:themeColor="text1"/>
                      <w:spacing w:val="4"/>
                      <w:kern w:val="0"/>
                      <w:sz w:val="21"/>
                      <w:szCs w:val="21"/>
                      <w14:textFill>
                        <w14:solidFill>
                          <w14:schemeClr w14:val="tx1"/>
                        </w14:solidFill>
                      </w14:textFill>
                    </w:rPr>
                  </w:pPr>
                  <w:r>
                    <w:rPr>
                      <w:rFonts w:ascii="宋体" w:hAnsi="宋体"/>
                      <w:b/>
                      <w:bCs/>
                      <w:color w:val="000000" w:themeColor="text1"/>
                      <w:spacing w:val="4"/>
                      <w:kern w:val="0"/>
                      <w:sz w:val="21"/>
                      <w:szCs w:val="21"/>
                      <w14:textFill>
                        <w14:solidFill>
                          <w14:schemeClr w14:val="tx1"/>
                        </w14:solidFill>
                      </w14:textFill>
                    </w:rPr>
                    <w:t>序号</w:t>
                  </w:r>
                </w:p>
              </w:tc>
              <w:tc>
                <w:tcPr>
                  <w:tcW w:w="710" w:type="pct"/>
                  <w:tcBorders>
                    <w:top w:val="single" w:color="auto" w:sz="18" w:space="0"/>
                    <w:left w:val="single" w:color="auto" w:sz="6" w:space="0"/>
                    <w:bottom w:val="single" w:color="auto" w:sz="6" w:space="0"/>
                    <w:right w:val="single" w:color="auto" w:sz="6" w:space="0"/>
                  </w:tcBorders>
                  <w:tcMar>
                    <w:top w:w="0" w:type="dxa"/>
                    <w:left w:w="105" w:type="dxa"/>
                    <w:bottom w:w="0" w:type="dxa"/>
                    <w:right w:w="105" w:type="dxa"/>
                  </w:tcMar>
                  <w:vAlign w:val="center"/>
                </w:tcPr>
                <w:p w14:paraId="2524DD8A">
                  <w:pPr>
                    <w:spacing w:before="24" w:after="24" w:line="240" w:lineRule="auto"/>
                    <w:ind w:firstLine="0" w:firstLineChars="0"/>
                    <w:jc w:val="center"/>
                    <w:textAlignment w:val="baseline"/>
                    <w:rPr>
                      <w:b/>
                      <w:bCs/>
                      <w:color w:val="000000" w:themeColor="text1"/>
                      <w:spacing w:val="4"/>
                      <w:kern w:val="0"/>
                      <w:sz w:val="21"/>
                      <w:szCs w:val="21"/>
                      <w14:textFill>
                        <w14:solidFill>
                          <w14:schemeClr w14:val="tx1"/>
                        </w14:solidFill>
                      </w14:textFill>
                    </w:rPr>
                  </w:pPr>
                  <w:r>
                    <w:rPr>
                      <w:rFonts w:ascii="宋体" w:hAnsi="宋体"/>
                      <w:b/>
                      <w:bCs/>
                      <w:color w:val="000000" w:themeColor="text1"/>
                      <w:spacing w:val="4"/>
                      <w:kern w:val="0"/>
                      <w:sz w:val="21"/>
                      <w:szCs w:val="21"/>
                      <w14:textFill>
                        <w14:solidFill>
                          <w14:schemeClr w14:val="tx1"/>
                        </w14:solidFill>
                      </w14:textFill>
                    </w:rPr>
                    <w:t>河流名称</w:t>
                  </w:r>
                </w:p>
              </w:tc>
              <w:tc>
                <w:tcPr>
                  <w:tcW w:w="1001" w:type="pct"/>
                  <w:tcBorders>
                    <w:top w:val="single" w:color="auto" w:sz="18" w:space="0"/>
                    <w:left w:val="single" w:color="auto" w:sz="6" w:space="0"/>
                    <w:bottom w:val="single" w:color="auto" w:sz="6" w:space="0"/>
                    <w:right w:val="single" w:color="auto" w:sz="6" w:space="0"/>
                  </w:tcBorders>
                  <w:vAlign w:val="center"/>
                </w:tcPr>
                <w:p w14:paraId="1253BEEB">
                  <w:pPr>
                    <w:spacing w:before="24" w:after="24" w:line="240" w:lineRule="auto"/>
                    <w:ind w:firstLine="0" w:firstLineChars="0"/>
                    <w:jc w:val="center"/>
                    <w:textAlignment w:val="baseline"/>
                    <w:rPr>
                      <w:b/>
                      <w:bCs/>
                      <w:color w:val="000000" w:themeColor="text1"/>
                      <w:spacing w:val="4"/>
                      <w:kern w:val="0"/>
                      <w:sz w:val="21"/>
                      <w:szCs w:val="21"/>
                      <w14:textFill>
                        <w14:solidFill>
                          <w14:schemeClr w14:val="tx1"/>
                        </w14:solidFill>
                      </w14:textFill>
                    </w:rPr>
                  </w:pPr>
                  <w:r>
                    <w:rPr>
                      <w:rFonts w:ascii="宋体" w:hAnsi="宋体"/>
                      <w:b/>
                      <w:bCs/>
                      <w:color w:val="000000" w:themeColor="text1"/>
                      <w:spacing w:val="4"/>
                      <w:kern w:val="0"/>
                      <w:sz w:val="21"/>
                      <w:szCs w:val="21"/>
                      <w14:textFill>
                        <w14:solidFill>
                          <w14:schemeClr w14:val="tx1"/>
                        </w14:solidFill>
                      </w14:textFill>
                    </w:rPr>
                    <w:t>断面名称</w:t>
                  </w:r>
                </w:p>
              </w:tc>
              <w:tc>
                <w:tcPr>
                  <w:tcW w:w="715" w:type="pct"/>
                  <w:tcBorders>
                    <w:top w:val="single" w:color="auto" w:sz="18" w:space="0"/>
                    <w:left w:val="single" w:color="auto" w:sz="6" w:space="0"/>
                    <w:bottom w:val="single" w:color="auto" w:sz="6" w:space="0"/>
                    <w:right w:val="single" w:color="auto" w:sz="6" w:space="0"/>
                  </w:tcBorders>
                  <w:vAlign w:val="center"/>
                </w:tcPr>
                <w:p w14:paraId="31CFF14C">
                  <w:pPr>
                    <w:spacing w:before="24" w:after="24" w:line="240" w:lineRule="auto"/>
                    <w:ind w:firstLine="0" w:firstLineChars="0"/>
                    <w:jc w:val="center"/>
                    <w:textAlignment w:val="baseline"/>
                    <w:rPr>
                      <w:b/>
                      <w:bCs/>
                      <w:color w:val="000000" w:themeColor="text1"/>
                      <w:spacing w:val="4"/>
                      <w:kern w:val="0"/>
                      <w:sz w:val="21"/>
                      <w:szCs w:val="21"/>
                      <w14:textFill>
                        <w14:solidFill>
                          <w14:schemeClr w14:val="tx1"/>
                        </w14:solidFill>
                      </w14:textFill>
                    </w:rPr>
                  </w:pPr>
                  <w:r>
                    <w:rPr>
                      <w:rFonts w:ascii="宋体" w:hAnsi="宋体"/>
                      <w:b/>
                      <w:bCs/>
                      <w:color w:val="000000" w:themeColor="text1"/>
                      <w:spacing w:val="4"/>
                      <w:kern w:val="0"/>
                      <w:sz w:val="21"/>
                      <w:szCs w:val="21"/>
                      <w14:textFill>
                        <w14:solidFill>
                          <w14:schemeClr w14:val="tx1"/>
                        </w14:solidFill>
                      </w14:textFill>
                    </w:rPr>
                    <w:t>执行类别</w:t>
                  </w:r>
                </w:p>
              </w:tc>
              <w:tc>
                <w:tcPr>
                  <w:tcW w:w="715" w:type="pct"/>
                  <w:tcBorders>
                    <w:top w:val="single" w:color="auto" w:sz="18" w:space="0"/>
                    <w:left w:val="single" w:color="auto" w:sz="6" w:space="0"/>
                    <w:bottom w:val="single" w:color="auto" w:sz="6" w:space="0"/>
                    <w:right w:val="single" w:color="auto" w:sz="6" w:space="0"/>
                  </w:tcBorders>
                  <w:vAlign w:val="center"/>
                </w:tcPr>
                <w:p w14:paraId="1168C5BB">
                  <w:pPr>
                    <w:spacing w:before="24" w:after="24" w:line="240" w:lineRule="auto"/>
                    <w:ind w:firstLine="0" w:firstLineChars="0"/>
                    <w:jc w:val="center"/>
                    <w:textAlignment w:val="baseline"/>
                    <w:rPr>
                      <w:b/>
                      <w:bCs/>
                      <w:color w:val="000000" w:themeColor="text1"/>
                      <w:spacing w:val="4"/>
                      <w:kern w:val="0"/>
                      <w:sz w:val="21"/>
                      <w:szCs w:val="21"/>
                      <w14:textFill>
                        <w14:solidFill>
                          <w14:schemeClr w14:val="tx1"/>
                        </w14:solidFill>
                      </w14:textFill>
                    </w:rPr>
                  </w:pPr>
                  <w:r>
                    <w:rPr>
                      <w:rFonts w:ascii="宋体" w:hAnsi="宋体"/>
                      <w:b/>
                      <w:bCs/>
                      <w:color w:val="000000" w:themeColor="text1"/>
                      <w:spacing w:val="4"/>
                      <w:kern w:val="0"/>
                      <w:sz w:val="21"/>
                      <w:szCs w:val="21"/>
                      <w14:textFill>
                        <w14:solidFill>
                          <w14:schemeClr w14:val="tx1"/>
                        </w14:solidFill>
                      </w14:textFill>
                    </w:rPr>
                    <w:t>水质类别</w:t>
                  </w:r>
                </w:p>
              </w:tc>
              <w:tc>
                <w:tcPr>
                  <w:tcW w:w="715" w:type="pct"/>
                  <w:tcBorders>
                    <w:top w:val="single" w:color="auto" w:sz="18" w:space="0"/>
                    <w:left w:val="single" w:color="auto" w:sz="6" w:space="0"/>
                    <w:bottom w:val="single" w:color="auto" w:sz="6" w:space="0"/>
                    <w:right w:val="single" w:color="auto" w:sz="6" w:space="0"/>
                  </w:tcBorders>
                  <w:vAlign w:val="center"/>
                </w:tcPr>
                <w:p w14:paraId="7B765798">
                  <w:pPr>
                    <w:spacing w:before="24" w:after="24" w:line="240" w:lineRule="auto"/>
                    <w:ind w:firstLine="0" w:firstLineChars="0"/>
                    <w:jc w:val="center"/>
                    <w:textAlignment w:val="baseline"/>
                    <w:rPr>
                      <w:b/>
                      <w:bCs/>
                      <w:color w:val="000000" w:themeColor="text1"/>
                      <w:spacing w:val="4"/>
                      <w:kern w:val="0"/>
                      <w:sz w:val="21"/>
                      <w:szCs w:val="21"/>
                      <w14:textFill>
                        <w14:solidFill>
                          <w14:schemeClr w14:val="tx1"/>
                        </w14:solidFill>
                      </w14:textFill>
                    </w:rPr>
                  </w:pPr>
                  <w:r>
                    <w:rPr>
                      <w:rFonts w:ascii="宋体" w:hAnsi="宋体"/>
                      <w:b/>
                      <w:bCs/>
                      <w:color w:val="000000" w:themeColor="text1"/>
                      <w:spacing w:val="4"/>
                      <w:kern w:val="0"/>
                      <w:sz w:val="21"/>
                      <w:szCs w:val="21"/>
                      <w14:textFill>
                        <w14:solidFill>
                          <w14:schemeClr w14:val="tx1"/>
                        </w14:solidFill>
                      </w14:textFill>
                    </w:rPr>
                    <w:t>达标情况</w:t>
                  </w:r>
                </w:p>
              </w:tc>
              <w:tc>
                <w:tcPr>
                  <w:tcW w:w="715" w:type="pct"/>
                  <w:tcBorders>
                    <w:top w:val="single" w:color="auto" w:sz="18" w:space="0"/>
                    <w:left w:val="single" w:color="auto" w:sz="6" w:space="0"/>
                    <w:bottom w:val="single" w:color="auto" w:sz="6" w:space="0"/>
                    <w:right w:val="nil"/>
                  </w:tcBorders>
                  <w:vAlign w:val="center"/>
                </w:tcPr>
                <w:p w14:paraId="060B590F">
                  <w:pPr>
                    <w:spacing w:before="24" w:after="24" w:line="240" w:lineRule="auto"/>
                    <w:ind w:firstLine="0" w:firstLineChars="0"/>
                    <w:jc w:val="center"/>
                    <w:textAlignment w:val="baseline"/>
                    <w:rPr>
                      <w:b/>
                      <w:bCs/>
                      <w:color w:val="000000" w:themeColor="text1"/>
                      <w:spacing w:val="4"/>
                      <w:kern w:val="0"/>
                      <w:sz w:val="21"/>
                      <w:szCs w:val="21"/>
                      <w14:textFill>
                        <w14:solidFill>
                          <w14:schemeClr w14:val="tx1"/>
                        </w14:solidFill>
                      </w14:textFill>
                    </w:rPr>
                  </w:pPr>
                  <w:r>
                    <w:rPr>
                      <w:rFonts w:ascii="宋体" w:hAnsi="宋体"/>
                      <w:b/>
                      <w:bCs/>
                      <w:color w:val="000000" w:themeColor="text1"/>
                      <w:spacing w:val="4"/>
                      <w:kern w:val="0"/>
                      <w:sz w:val="21"/>
                      <w:szCs w:val="21"/>
                      <w14:textFill>
                        <w14:solidFill>
                          <w14:schemeClr w14:val="tx1"/>
                        </w14:solidFill>
                      </w14:textFill>
                    </w:rPr>
                    <w:t>超标因子</w:t>
                  </w:r>
                </w:p>
              </w:tc>
            </w:tr>
            <w:tr w14:paraId="2051F7E4">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6" w:space="0"/>
                    <w:left w:val="nil"/>
                    <w:bottom w:val="single" w:color="auto" w:sz="6" w:space="0"/>
                    <w:right w:val="single" w:color="auto" w:sz="6" w:space="0"/>
                  </w:tcBorders>
                  <w:vAlign w:val="center"/>
                </w:tcPr>
                <w:p w14:paraId="2EA69B15">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1</w:t>
                  </w:r>
                </w:p>
              </w:tc>
              <w:tc>
                <w:tcPr>
                  <w:tcW w:w="710"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4898324B">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锦江</w:t>
                  </w:r>
                </w:p>
              </w:tc>
              <w:tc>
                <w:tcPr>
                  <w:tcW w:w="1001" w:type="pct"/>
                  <w:tcBorders>
                    <w:top w:val="single" w:color="auto" w:sz="6" w:space="0"/>
                    <w:left w:val="single" w:color="auto" w:sz="6" w:space="0"/>
                    <w:bottom w:val="single" w:color="auto" w:sz="6" w:space="0"/>
                    <w:right w:val="single" w:color="auto" w:sz="6" w:space="0"/>
                  </w:tcBorders>
                  <w:vAlign w:val="center"/>
                </w:tcPr>
                <w:p w14:paraId="11CE53E5">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锦江江口</w:t>
                  </w:r>
                </w:p>
              </w:tc>
              <w:tc>
                <w:tcPr>
                  <w:tcW w:w="715" w:type="pct"/>
                  <w:tcBorders>
                    <w:top w:val="single" w:color="auto" w:sz="6" w:space="0"/>
                    <w:left w:val="single" w:color="auto" w:sz="6" w:space="0"/>
                    <w:bottom w:val="single" w:color="auto" w:sz="6" w:space="0"/>
                    <w:right w:val="single" w:color="auto" w:sz="6" w:space="0"/>
                  </w:tcBorders>
                  <w:vAlign w:val="center"/>
                </w:tcPr>
                <w:p w14:paraId="33753A34">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Ⅲ</w:t>
                  </w:r>
                </w:p>
              </w:tc>
              <w:tc>
                <w:tcPr>
                  <w:tcW w:w="715" w:type="pct"/>
                  <w:tcBorders>
                    <w:top w:val="single" w:color="auto" w:sz="6" w:space="0"/>
                    <w:left w:val="single" w:color="auto" w:sz="6" w:space="0"/>
                    <w:bottom w:val="single" w:color="auto" w:sz="6" w:space="0"/>
                    <w:right w:val="single" w:color="auto" w:sz="6" w:space="0"/>
                  </w:tcBorders>
                  <w:vAlign w:val="center"/>
                </w:tcPr>
                <w:p w14:paraId="3346B7B4">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Ⅲ</w:t>
                  </w:r>
                </w:p>
              </w:tc>
              <w:tc>
                <w:tcPr>
                  <w:tcW w:w="715" w:type="pct"/>
                  <w:tcBorders>
                    <w:top w:val="single" w:color="auto" w:sz="6" w:space="0"/>
                    <w:left w:val="single" w:color="auto" w:sz="6" w:space="0"/>
                    <w:bottom w:val="single" w:color="auto" w:sz="6" w:space="0"/>
                    <w:right w:val="single" w:color="auto" w:sz="6" w:space="0"/>
                  </w:tcBorders>
                  <w:vAlign w:val="center"/>
                </w:tcPr>
                <w:p w14:paraId="3B0253ED">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达标</w:t>
                  </w:r>
                </w:p>
              </w:tc>
              <w:tc>
                <w:tcPr>
                  <w:tcW w:w="715" w:type="pct"/>
                  <w:tcBorders>
                    <w:top w:val="single" w:color="auto" w:sz="6" w:space="0"/>
                    <w:left w:val="single" w:color="auto" w:sz="6" w:space="0"/>
                    <w:bottom w:val="single" w:color="auto" w:sz="6" w:space="0"/>
                    <w:right w:val="nil"/>
                  </w:tcBorders>
                  <w:vAlign w:val="center"/>
                </w:tcPr>
                <w:p w14:paraId="635A7546">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无</w:t>
                  </w:r>
                </w:p>
              </w:tc>
            </w:tr>
            <w:tr w14:paraId="05D59AB8">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6" w:space="0"/>
                    <w:left w:val="nil"/>
                    <w:bottom w:val="single" w:color="auto" w:sz="6" w:space="0"/>
                    <w:right w:val="single" w:color="auto" w:sz="6" w:space="0"/>
                  </w:tcBorders>
                  <w:vAlign w:val="center"/>
                </w:tcPr>
                <w:p w14:paraId="039FAA2B">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2</w:t>
                  </w:r>
                </w:p>
              </w:tc>
              <w:tc>
                <w:tcPr>
                  <w:tcW w:w="710"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1F4FD9E9">
                  <w:pPr>
                    <w:adjustRightInd/>
                    <w:snapToGrid/>
                    <w:spacing w:before="24" w:after="24" w:line="240" w:lineRule="auto"/>
                    <w:ind w:firstLine="0" w:firstLineChars="0"/>
                    <w:jc w:val="center"/>
                    <w:rPr>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锦江</w:t>
                  </w:r>
                </w:p>
              </w:tc>
              <w:tc>
                <w:tcPr>
                  <w:tcW w:w="1001" w:type="pct"/>
                  <w:tcBorders>
                    <w:top w:val="single" w:color="auto" w:sz="6" w:space="0"/>
                    <w:left w:val="single" w:color="auto" w:sz="6" w:space="0"/>
                    <w:bottom w:val="single" w:color="auto" w:sz="6" w:space="0"/>
                    <w:right w:val="single" w:color="auto" w:sz="6" w:space="0"/>
                  </w:tcBorders>
                  <w:vAlign w:val="center"/>
                </w:tcPr>
                <w:p w14:paraId="55679284">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上高凌江大桥</w:t>
                  </w:r>
                </w:p>
              </w:tc>
              <w:tc>
                <w:tcPr>
                  <w:tcW w:w="715" w:type="pct"/>
                  <w:tcBorders>
                    <w:top w:val="single" w:color="auto" w:sz="6" w:space="0"/>
                    <w:left w:val="single" w:color="auto" w:sz="6" w:space="0"/>
                    <w:bottom w:val="single" w:color="auto" w:sz="6" w:space="0"/>
                    <w:right w:val="single" w:color="auto" w:sz="6" w:space="0"/>
                  </w:tcBorders>
                  <w:vAlign w:val="center"/>
                </w:tcPr>
                <w:p w14:paraId="016CA7C0">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Ⅱ</w:t>
                  </w:r>
                </w:p>
              </w:tc>
              <w:tc>
                <w:tcPr>
                  <w:tcW w:w="715" w:type="pct"/>
                  <w:tcBorders>
                    <w:top w:val="single" w:color="auto" w:sz="6" w:space="0"/>
                    <w:left w:val="single" w:color="auto" w:sz="6" w:space="0"/>
                    <w:bottom w:val="single" w:color="auto" w:sz="6" w:space="0"/>
                    <w:right w:val="single" w:color="auto" w:sz="6" w:space="0"/>
                  </w:tcBorders>
                  <w:vAlign w:val="center"/>
                </w:tcPr>
                <w:p w14:paraId="406C2367">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bookmarkStart w:id="26" w:name="OLE_LINK15"/>
                  <w:r>
                    <w:rPr>
                      <w:color w:val="000000" w:themeColor="text1"/>
                      <w:spacing w:val="4"/>
                      <w:kern w:val="0"/>
                      <w:sz w:val="21"/>
                      <w:szCs w:val="21"/>
                      <w14:textFill>
                        <w14:solidFill>
                          <w14:schemeClr w14:val="tx1"/>
                        </w14:solidFill>
                      </w14:textFill>
                    </w:rPr>
                    <w:t>Ⅱ</w:t>
                  </w:r>
                  <w:bookmarkEnd w:id="26"/>
                </w:p>
              </w:tc>
              <w:tc>
                <w:tcPr>
                  <w:tcW w:w="715" w:type="pct"/>
                  <w:tcBorders>
                    <w:top w:val="single" w:color="auto" w:sz="6" w:space="0"/>
                    <w:left w:val="single" w:color="auto" w:sz="6" w:space="0"/>
                    <w:bottom w:val="single" w:color="auto" w:sz="6" w:space="0"/>
                    <w:right w:val="single" w:color="auto" w:sz="6" w:space="0"/>
                  </w:tcBorders>
                  <w:vAlign w:val="center"/>
                </w:tcPr>
                <w:p w14:paraId="0F96F82B">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达标</w:t>
                  </w:r>
                </w:p>
              </w:tc>
              <w:tc>
                <w:tcPr>
                  <w:tcW w:w="715" w:type="pct"/>
                  <w:tcBorders>
                    <w:top w:val="single" w:color="auto" w:sz="6" w:space="0"/>
                    <w:left w:val="single" w:color="auto" w:sz="6" w:space="0"/>
                    <w:bottom w:val="single" w:color="auto" w:sz="6" w:space="0"/>
                    <w:right w:val="nil"/>
                  </w:tcBorders>
                  <w:vAlign w:val="center"/>
                </w:tcPr>
                <w:p w14:paraId="2DBB4F15">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无</w:t>
                  </w:r>
                </w:p>
              </w:tc>
            </w:tr>
            <w:tr w14:paraId="3EFB1DDF">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6" w:space="0"/>
                    <w:left w:val="nil"/>
                    <w:bottom w:val="single" w:color="auto" w:sz="6" w:space="0"/>
                    <w:right w:val="single" w:color="auto" w:sz="6" w:space="0"/>
                  </w:tcBorders>
                  <w:vAlign w:val="center"/>
                </w:tcPr>
                <w:p w14:paraId="6E9D4042">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3</w:t>
                  </w:r>
                </w:p>
              </w:tc>
              <w:tc>
                <w:tcPr>
                  <w:tcW w:w="710"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21B725C1">
                  <w:pPr>
                    <w:adjustRightInd/>
                    <w:snapToGrid/>
                    <w:spacing w:before="24" w:after="24" w:line="240" w:lineRule="auto"/>
                    <w:ind w:firstLine="0" w:firstLineChars="0"/>
                    <w:jc w:val="center"/>
                    <w:rPr>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锦江</w:t>
                  </w:r>
                </w:p>
              </w:tc>
              <w:tc>
                <w:tcPr>
                  <w:tcW w:w="1001" w:type="pct"/>
                  <w:tcBorders>
                    <w:top w:val="single" w:color="auto" w:sz="6" w:space="0"/>
                    <w:left w:val="single" w:color="auto" w:sz="6" w:space="0"/>
                    <w:bottom w:val="single" w:color="auto" w:sz="6" w:space="0"/>
                    <w:right w:val="single" w:color="auto" w:sz="6" w:space="0"/>
                  </w:tcBorders>
                  <w:vAlign w:val="center"/>
                </w:tcPr>
                <w:p w14:paraId="0A3027AC">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均车村</w:t>
                  </w:r>
                </w:p>
              </w:tc>
              <w:tc>
                <w:tcPr>
                  <w:tcW w:w="715" w:type="pct"/>
                  <w:tcBorders>
                    <w:top w:val="single" w:color="auto" w:sz="6" w:space="0"/>
                    <w:left w:val="single" w:color="auto" w:sz="6" w:space="0"/>
                    <w:bottom w:val="single" w:color="auto" w:sz="6" w:space="0"/>
                    <w:right w:val="single" w:color="auto" w:sz="6" w:space="0"/>
                  </w:tcBorders>
                  <w:vAlign w:val="center"/>
                </w:tcPr>
                <w:p w14:paraId="746E9AB1">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Ⅲ</w:t>
                  </w:r>
                </w:p>
              </w:tc>
              <w:tc>
                <w:tcPr>
                  <w:tcW w:w="715" w:type="pct"/>
                  <w:tcBorders>
                    <w:top w:val="single" w:color="auto" w:sz="6" w:space="0"/>
                    <w:left w:val="single" w:color="auto" w:sz="6" w:space="0"/>
                    <w:bottom w:val="single" w:color="auto" w:sz="6" w:space="0"/>
                    <w:right w:val="single" w:color="auto" w:sz="6" w:space="0"/>
                  </w:tcBorders>
                  <w:vAlign w:val="center"/>
                </w:tcPr>
                <w:p w14:paraId="523174C2">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Ⅱ</w:t>
                  </w:r>
                </w:p>
              </w:tc>
              <w:tc>
                <w:tcPr>
                  <w:tcW w:w="715" w:type="pct"/>
                  <w:tcBorders>
                    <w:top w:val="single" w:color="auto" w:sz="6" w:space="0"/>
                    <w:left w:val="single" w:color="auto" w:sz="6" w:space="0"/>
                    <w:bottom w:val="single" w:color="auto" w:sz="6" w:space="0"/>
                    <w:right w:val="single" w:color="auto" w:sz="6" w:space="0"/>
                  </w:tcBorders>
                  <w:vAlign w:val="center"/>
                </w:tcPr>
                <w:p w14:paraId="4E590513">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达标</w:t>
                  </w:r>
                </w:p>
              </w:tc>
              <w:tc>
                <w:tcPr>
                  <w:tcW w:w="715" w:type="pct"/>
                  <w:tcBorders>
                    <w:top w:val="single" w:color="auto" w:sz="6" w:space="0"/>
                    <w:left w:val="single" w:color="auto" w:sz="6" w:space="0"/>
                    <w:bottom w:val="single" w:color="auto" w:sz="6" w:space="0"/>
                    <w:right w:val="nil"/>
                  </w:tcBorders>
                  <w:vAlign w:val="center"/>
                </w:tcPr>
                <w:p w14:paraId="4824987F">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无</w:t>
                  </w:r>
                </w:p>
              </w:tc>
            </w:tr>
            <w:tr w14:paraId="28A9B824">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6" w:space="0"/>
                    <w:left w:val="nil"/>
                    <w:bottom w:val="single" w:color="auto" w:sz="6" w:space="0"/>
                    <w:right w:val="single" w:color="auto" w:sz="6" w:space="0"/>
                  </w:tcBorders>
                  <w:vAlign w:val="center"/>
                </w:tcPr>
                <w:p w14:paraId="42B5D6C4">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4</w:t>
                  </w:r>
                </w:p>
              </w:tc>
              <w:tc>
                <w:tcPr>
                  <w:tcW w:w="710"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54FD067A">
                  <w:pPr>
                    <w:adjustRightInd/>
                    <w:snapToGrid/>
                    <w:spacing w:before="24" w:after="24" w:line="240" w:lineRule="auto"/>
                    <w:ind w:firstLine="0" w:firstLineChars="0"/>
                    <w:jc w:val="center"/>
                    <w:rPr>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锦江</w:t>
                  </w:r>
                </w:p>
              </w:tc>
              <w:tc>
                <w:tcPr>
                  <w:tcW w:w="1001" w:type="pct"/>
                  <w:tcBorders>
                    <w:top w:val="single" w:color="auto" w:sz="6" w:space="0"/>
                    <w:left w:val="single" w:color="auto" w:sz="6" w:space="0"/>
                    <w:bottom w:val="single" w:color="auto" w:sz="6" w:space="0"/>
                    <w:right w:val="single" w:color="auto" w:sz="6" w:space="0"/>
                  </w:tcBorders>
                  <w:vAlign w:val="center"/>
                </w:tcPr>
                <w:p w14:paraId="09EE5808">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上高徐家渡</w:t>
                  </w:r>
                </w:p>
              </w:tc>
              <w:tc>
                <w:tcPr>
                  <w:tcW w:w="715" w:type="pct"/>
                  <w:tcBorders>
                    <w:top w:val="single" w:color="auto" w:sz="6" w:space="0"/>
                    <w:left w:val="single" w:color="auto" w:sz="6" w:space="0"/>
                    <w:bottom w:val="single" w:color="auto" w:sz="6" w:space="0"/>
                    <w:right w:val="single" w:color="auto" w:sz="6" w:space="0"/>
                  </w:tcBorders>
                  <w:vAlign w:val="center"/>
                </w:tcPr>
                <w:p w14:paraId="17B3D8FD">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Ⅱ</w:t>
                  </w:r>
                </w:p>
              </w:tc>
              <w:tc>
                <w:tcPr>
                  <w:tcW w:w="715" w:type="pct"/>
                  <w:tcBorders>
                    <w:top w:val="single" w:color="auto" w:sz="6" w:space="0"/>
                    <w:left w:val="single" w:color="auto" w:sz="6" w:space="0"/>
                    <w:bottom w:val="single" w:color="auto" w:sz="6" w:space="0"/>
                    <w:right w:val="single" w:color="auto" w:sz="6" w:space="0"/>
                  </w:tcBorders>
                  <w:vAlign w:val="center"/>
                </w:tcPr>
                <w:p w14:paraId="69983095">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Ⅱ</w:t>
                  </w:r>
                </w:p>
              </w:tc>
              <w:tc>
                <w:tcPr>
                  <w:tcW w:w="715" w:type="pct"/>
                  <w:tcBorders>
                    <w:top w:val="single" w:color="auto" w:sz="6" w:space="0"/>
                    <w:left w:val="single" w:color="auto" w:sz="6" w:space="0"/>
                    <w:bottom w:val="single" w:color="auto" w:sz="6" w:space="0"/>
                    <w:right w:val="single" w:color="auto" w:sz="6" w:space="0"/>
                  </w:tcBorders>
                  <w:vAlign w:val="center"/>
                </w:tcPr>
                <w:p w14:paraId="0E8CB9B2">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达标</w:t>
                  </w:r>
                </w:p>
              </w:tc>
              <w:tc>
                <w:tcPr>
                  <w:tcW w:w="715" w:type="pct"/>
                  <w:tcBorders>
                    <w:top w:val="single" w:color="auto" w:sz="6" w:space="0"/>
                    <w:left w:val="single" w:color="auto" w:sz="6" w:space="0"/>
                    <w:bottom w:val="single" w:color="auto" w:sz="6" w:space="0"/>
                    <w:right w:val="nil"/>
                  </w:tcBorders>
                  <w:vAlign w:val="center"/>
                </w:tcPr>
                <w:p w14:paraId="47BC94EA">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无</w:t>
                  </w:r>
                </w:p>
              </w:tc>
            </w:tr>
            <w:tr w14:paraId="6645F59B">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6" w:space="0"/>
                    <w:left w:val="nil"/>
                    <w:bottom w:val="single" w:color="auto" w:sz="6" w:space="0"/>
                    <w:right w:val="single" w:color="auto" w:sz="6" w:space="0"/>
                  </w:tcBorders>
                  <w:vAlign w:val="center"/>
                </w:tcPr>
                <w:p w14:paraId="1209FC78">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5</w:t>
                  </w:r>
                </w:p>
              </w:tc>
              <w:tc>
                <w:tcPr>
                  <w:tcW w:w="710"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242754B2">
                  <w:pPr>
                    <w:adjustRightInd/>
                    <w:snapToGrid/>
                    <w:spacing w:before="24" w:after="24" w:line="240" w:lineRule="auto"/>
                    <w:ind w:firstLine="0" w:firstLineChars="0"/>
                    <w:jc w:val="center"/>
                    <w:rPr>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锦江</w:t>
                  </w:r>
                </w:p>
              </w:tc>
              <w:tc>
                <w:tcPr>
                  <w:tcW w:w="1001" w:type="pct"/>
                  <w:tcBorders>
                    <w:top w:val="single" w:color="auto" w:sz="6" w:space="0"/>
                    <w:left w:val="single" w:color="auto" w:sz="6" w:space="0"/>
                    <w:bottom w:val="single" w:color="auto" w:sz="6" w:space="0"/>
                    <w:right w:val="single" w:color="auto" w:sz="6" w:space="0"/>
                  </w:tcBorders>
                  <w:vAlign w:val="center"/>
                </w:tcPr>
                <w:p w14:paraId="13E906FC">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万载枣木村</w:t>
                  </w:r>
                </w:p>
              </w:tc>
              <w:tc>
                <w:tcPr>
                  <w:tcW w:w="715" w:type="pct"/>
                  <w:tcBorders>
                    <w:top w:val="single" w:color="auto" w:sz="6" w:space="0"/>
                    <w:left w:val="single" w:color="auto" w:sz="6" w:space="0"/>
                    <w:bottom w:val="single" w:color="auto" w:sz="6" w:space="0"/>
                    <w:right w:val="single" w:color="auto" w:sz="6" w:space="0"/>
                  </w:tcBorders>
                  <w:vAlign w:val="center"/>
                </w:tcPr>
                <w:p w14:paraId="6DBDAE9C">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Ⅱ</w:t>
                  </w:r>
                </w:p>
              </w:tc>
              <w:tc>
                <w:tcPr>
                  <w:tcW w:w="715" w:type="pct"/>
                  <w:tcBorders>
                    <w:top w:val="single" w:color="auto" w:sz="6" w:space="0"/>
                    <w:left w:val="single" w:color="auto" w:sz="6" w:space="0"/>
                    <w:bottom w:val="single" w:color="auto" w:sz="6" w:space="0"/>
                    <w:right w:val="single" w:color="auto" w:sz="6" w:space="0"/>
                  </w:tcBorders>
                  <w:vAlign w:val="center"/>
                </w:tcPr>
                <w:p w14:paraId="20E0984D">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Ⅱ</w:t>
                  </w:r>
                </w:p>
              </w:tc>
              <w:tc>
                <w:tcPr>
                  <w:tcW w:w="715" w:type="pct"/>
                  <w:tcBorders>
                    <w:top w:val="single" w:color="auto" w:sz="6" w:space="0"/>
                    <w:left w:val="single" w:color="auto" w:sz="6" w:space="0"/>
                    <w:bottom w:val="single" w:color="auto" w:sz="6" w:space="0"/>
                    <w:right w:val="single" w:color="auto" w:sz="6" w:space="0"/>
                  </w:tcBorders>
                  <w:vAlign w:val="center"/>
                </w:tcPr>
                <w:p w14:paraId="633F7EBD">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达标</w:t>
                  </w:r>
                </w:p>
              </w:tc>
              <w:tc>
                <w:tcPr>
                  <w:tcW w:w="715" w:type="pct"/>
                  <w:tcBorders>
                    <w:top w:val="single" w:color="auto" w:sz="6" w:space="0"/>
                    <w:left w:val="single" w:color="auto" w:sz="6" w:space="0"/>
                    <w:bottom w:val="single" w:color="auto" w:sz="6" w:space="0"/>
                    <w:right w:val="nil"/>
                  </w:tcBorders>
                  <w:vAlign w:val="center"/>
                </w:tcPr>
                <w:p w14:paraId="15EDFE6A">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无</w:t>
                  </w:r>
                </w:p>
              </w:tc>
            </w:tr>
            <w:tr w14:paraId="3F9A0D0B">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6" w:space="0"/>
                    <w:left w:val="nil"/>
                    <w:bottom w:val="single" w:color="auto" w:sz="6" w:space="0"/>
                    <w:right w:val="single" w:color="auto" w:sz="6" w:space="0"/>
                  </w:tcBorders>
                  <w:vAlign w:val="center"/>
                </w:tcPr>
                <w:p w14:paraId="24EC37FE">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6</w:t>
                  </w:r>
                </w:p>
              </w:tc>
              <w:tc>
                <w:tcPr>
                  <w:tcW w:w="710"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14:paraId="152CC858">
                  <w:pPr>
                    <w:adjustRightInd/>
                    <w:snapToGrid/>
                    <w:spacing w:before="24" w:after="24" w:line="240" w:lineRule="auto"/>
                    <w:ind w:firstLine="0" w:firstLineChars="0"/>
                    <w:jc w:val="center"/>
                    <w:rPr>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锦江</w:t>
                  </w:r>
                </w:p>
              </w:tc>
              <w:tc>
                <w:tcPr>
                  <w:tcW w:w="1001" w:type="pct"/>
                  <w:tcBorders>
                    <w:top w:val="single" w:color="auto" w:sz="6" w:space="0"/>
                    <w:left w:val="single" w:color="auto" w:sz="6" w:space="0"/>
                    <w:bottom w:val="single" w:color="auto" w:sz="6" w:space="0"/>
                    <w:right w:val="single" w:color="auto" w:sz="6" w:space="0"/>
                  </w:tcBorders>
                  <w:vAlign w:val="center"/>
                </w:tcPr>
                <w:p w14:paraId="720E8CDE">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良田村</w:t>
                  </w:r>
                </w:p>
              </w:tc>
              <w:tc>
                <w:tcPr>
                  <w:tcW w:w="715" w:type="pct"/>
                  <w:tcBorders>
                    <w:top w:val="single" w:color="auto" w:sz="6" w:space="0"/>
                    <w:left w:val="single" w:color="auto" w:sz="6" w:space="0"/>
                    <w:bottom w:val="single" w:color="auto" w:sz="6" w:space="0"/>
                    <w:right w:val="single" w:color="auto" w:sz="6" w:space="0"/>
                  </w:tcBorders>
                  <w:vAlign w:val="center"/>
                </w:tcPr>
                <w:p w14:paraId="333F03A1">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Ⅲ</w:t>
                  </w:r>
                </w:p>
              </w:tc>
              <w:tc>
                <w:tcPr>
                  <w:tcW w:w="715" w:type="pct"/>
                  <w:tcBorders>
                    <w:top w:val="single" w:color="auto" w:sz="6" w:space="0"/>
                    <w:left w:val="single" w:color="auto" w:sz="6" w:space="0"/>
                    <w:bottom w:val="single" w:color="auto" w:sz="6" w:space="0"/>
                    <w:right w:val="single" w:color="auto" w:sz="6" w:space="0"/>
                  </w:tcBorders>
                  <w:vAlign w:val="center"/>
                </w:tcPr>
                <w:p w14:paraId="137B0F62">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Ⅲ</w:t>
                  </w:r>
                </w:p>
              </w:tc>
              <w:tc>
                <w:tcPr>
                  <w:tcW w:w="715" w:type="pct"/>
                  <w:tcBorders>
                    <w:top w:val="single" w:color="auto" w:sz="6" w:space="0"/>
                    <w:left w:val="single" w:color="auto" w:sz="6" w:space="0"/>
                    <w:bottom w:val="single" w:color="auto" w:sz="6" w:space="0"/>
                    <w:right w:val="single" w:color="auto" w:sz="6" w:space="0"/>
                  </w:tcBorders>
                  <w:vAlign w:val="center"/>
                </w:tcPr>
                <w:p w14:paraId="7309D88C">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达标</w:t>
                  </w:r>
                </w:p>
              </w:tc>
              <w:tc>
                <w:tcPr>
                  <w:tcW w:w="715" w:type="pct"/>
                  <w:tcBorders>
                    <w:top w:val="single" w:color="auto" w:sz="6" w:space="0"/>
                    <w:left w:val="single" w:color="auto" w:sz="6" w:space="0"/>
                    <w:bottom w:val="single" w:color="auto" w:sz="6" w:space="0"/>
                    <w:right w:val="nil"/>
                  </w:tcBorders>
                  <w:vAlign w:val="center"/>
                </w:tcPr>
                <w:p w14:paraId="5BC56AAB">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无</w:t>
                  </w:r>
                </w:p>
              </w:tc>
            </w:tr>
            <w:tr w14:paraId="4C4947D2">
              <w:tblPrEx>
                <w:tblBorders>
                  <w:top w:val="single" w:color="auto" w:sz="18" w:space="0"/>
                  <w:left w:val="none" w:color="auto" w:sz="0" w:space="0"/>
                  <w:bottom w:val="single" w:color="auto" w:sz="1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28" w:type="pct"/>
                  <w:tcBorders>
                    <w:top w:val="single" w:color="auto" w:sz="6" w:space="0"/>
                    <w:left w:val="nil"/>
                    <w:bottom w:val="single" w:color="auto" w:sz="18" w:space="0"/>
                    <w:right w:val="single" w:color="auto" w:sz="6" w:space="0"/>
                  </w:tcBorders>
                  <w:vAlign w:val="center"/>
                </w:tcPr>
                <w:p w14:paraId="13F3408E">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7</w:t>
                  </w:r>
                </w:p>
              </w:tc>
              <w:tc>
                <w:tcPr>
                  <w:tcW w:w="710" w:type="pct"/>
                  <w:tcBorders>
                    <w:top w:val="single" w:color="auto" w:sz="6" w:space="0"/>
                    <w:left w:val="single" w:color="auto" w:sz="6" w:space="0"/>
                    <w:bottom w:val="single" w:color="auto" w:sz="18" w:space="0"/>
                    <w:right w:val="single" w:color="auto" w:sz="6" w:space="0"/>
                  </w:tcBorders>
                  <w:tcMar>
                    <w:top w:w="0" w:type="dxa"/>
                    <w:left w:w="105" w:type="dxa"/>
                    <w:bottom w:w="0" w:type="dxa"/>
                    <w:right w:w="105" w:type="dxa"/>
                  </w:tcMar>
                  <w:vAlign w:val="center"/>
                </w:tcPr>
                <w:p w14:paraId="76004E17">
                  <w:pPr>
                    <w:adjustRightInd/>
                    <w:snapToGrid/>
                    <w:spacing w:before="24" w:after="24" w:line="240" w:lineRule="auto"/>
                    <w:ind w:firstLine="0" w:firstLineChars="0"/>
                    <w:jc w:val="center"/>
                    <w:rPr>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锦江</w:t>
                  </w:r>
                </w:p>
              </w:tc>
              <w:tc>
                <w:tcPr>
                  <w:tcW w:w="1001" w:type="pct"/>
                  <w:tcBorders>
                    <w:top w:val="single" w:color="auto" w:sz="6" w:space="0"/>
                    <w:left w:val="single" w:color="auto" w:sz="6" w:space="0"/>
                    <w:bottom w:val="single" w:color="auto" w:sz="18" w:space="0"/>
                    <w:right w:val="single" w:color="auto" w:sz="6" w:space="0"/>
                  </w:tcBorders>
                  <w:vAlign w:val="center"/>
                </w:tcPr>
                <w:p w14:paraId="04C0C5A4">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高安市青州村</w:t>
                  </w:r>
                </w:p>
              </w:tc>
              <w:tc>
                <w:tcPr>
                  <w:tcW w:w="715" w:type="pct"/>
                  <w:tcBorders>
                    <w:top w:val="single" w:color="auto" w:sz="6" w:space="0"/>
                    <w:left w:val="single" w:color="auto" w:sz="6" w:space="0"/>
                    <w:bottom w:val="single" w:color="auto" w:sz="18" w:space="0"/>
                    <w:right w:val="single" w:color="auto" w:sz="6" w:space="0"/>
                  </w:tcBorders>
                  <w:vAlign w:val="center"/>
                </w:tcPr>
                <w:p w14:paraId="726ACCA9">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Ⅲ</w:t>
                  </w:r>
                </w:p>
              </w:tc>
              <w:tc>
                <w:tcPr>
                  <w:tcW w:w="715" w:type="pct"/>
                  <w:tcBorders>
                    <w:top w:val="single" w:color="auto" w:sz="6" w:space="0"/>
                    <w:left w:val="single" w:color="auto" w:sz="6" w:space="0"/>
                    <w:bottom w:val="single" w:color="auto" w:sz="18" w:space="0"/>
                    <w:right w:val="single" w:color="auto" w:sz="6" w:space="0"/>
                  </w:tcBorders>
                  <w:vAlign w:val="center"/>
                </w:tcPr>
                <w:p w14:paraId="063A766B">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color w:val="000000" w:themeColor="text1"/>
                      <w:spacing w:val="4"/>
                      <w:kern w:val="0"/>
                      <w:sz w:val="21"/>
                      <w:szCs w:val="21"/>
                      <w14:textFill>
                        <w14:solidFill>
                          <w14:schemeClr w14:val="tx1"/>
                        </w14:solidFill>
                      </w14:textFill>
                    </w:rPr>
                    <w:t>Ⅲ</w:t>
                  </w:r>
                </w:p>
              </w:tc>
              <w:tc>
                <w:tcPr>
                  <w:tcW w:w="715" w:type="pct"/>
                  <w:tcBorders>
                    <w:top w:val="single" w:color="auto" w:sz="6" w:space="0"/>
                    <w:left w:val="single" w:color="auto" w:sz="6" w:space="0"/>
                    <w:bottom w:val="single" w:color="auto" w:sz="18" w:space="0"/>
                    <w:right w:val="single" w:color="auto" w:sz="6" w:space="0"/>
                  </w:tcBorders>
                  <w:vAlign w:val="center"/>
                </w:tcPr>
                <w:p w14:paraId="0BDDA6A3">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达标</w:t>
                  </w:r>
                </w:p>
              </w:tc>
              <w:tc>
                <w:tcPr>
                  <w:tcW w:w="715" w:type="pct"/>
                  <w:tcBorders>
                    <w:top w:val="single" w:color="auto" w:sz="6" w:space="0"/>
                    <w:left w:val="single" w:color="auto" w:sz="6" w:space="0"/>
                    <w:bottom w:val="single" w:color="auto" w:sz="18" w:space="0"/>
                    <w:right w:val="nil"/>
                  </w:tcBorders>
                  <w:vAlign w:val="center"/>
                </w:tcPr>
                <w:p w14:paraId="514E84CB">
                  <w:pPr>
                    <w:spacing w:before="24" w:after="24" w:line="240" w:lineRule="auto"/>
                    <w:ind w:firstLine="0" w:firstLineChars="0"/>
                    <w:jc w:val="center"/>
                    <w:textAlignment w:val="baseline"/>
                    <w:rPr>
                      <w:color w:val="000000" w:themeColor="text1"/>
                      <w:spacing w:val="4"/>
                      <w:kern w:val="0"/>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无</w:t>
                  </w:r>
                </w:p>
              </w:tc>
            </w:tr>
          </w:tbl>
          <w:p w14:paraId="7B6D350B">
            <w:pPr>
              <w:keepNext w:val="0"/>
              <w:keepLines w:val="0"/>
              <w:pageBreakBefore w:val="0"/>
              <w:widowControl w:val="0"/>
              <w:kinsoku/>
              <w:wordWrap/>
              <w:overflowPunct/>
              <w:topLinePunct w:val="0"/>
              <w:autoSpaceDE w:val="0"/>
              <w:autoSpaceDN/>
              <w:bidi w:val="0"/>
              <w:adjustRightInd/>
              <w:snapToGrid/>
              <w:spacing w:before="157" w:beforeLines="50"/>
              <w:ind w:firstLine="480"/>
              <w:textAlignment w:val="auto"/>
              <w:rPr>
                <w:color w:val="000000" w:themeColor="text1"/>
                <w14:textFill>
                  <w14:solidFill>
                    <w14:schemeClr w14:val="tx1"/>
                  </w14:solidFill>
                </w14:textFill>
              </w:rPr>
            </w:pPr>
            <w:r>
              <w:rPr>
                <w:rFonts w:ascii="宋体" w:hAnsi="宋体"/>
                <w:color w:val="000000" w:themeColor="text1"/>
                <w14:textFill>
                  <w14:solidFill>
                    <w14:schemeClr w14:val="tx1"/>
                  </w14:solidFill>
                </w14:textFill>
              </w:rPr>
              <w:t>从上表监测数据可知，</w:t>
            </w:r>
            <w:r>
              <w:rPr>
                <w:rFonts w:hint="eastAsia" w:ascii="宋体" w:hAnsi="宋体"/>
                <w:color w:val="000000" w:themeColor="text1"/>
                <w14:textFill>
                  <w14:solidFill>
                    <w14:schemeClr w14:val="tx1"/>
                  </w14:solidFill>
                </w14:textFill>
              </w:rPr>
              <w:t>锦江</w:t>
            </w:r>
            <w:r>
              <w:rPr>
                <w:rFonts w:ascii="宋体" w:hAnsi="宋体"/>
                <w:color w:val="000000" w:themeColor="text1"/>
                <w14:textFill>
                  <w14:solidFill>
                    <w14:schemeClr w14:val="tx1"/>
                  </w14:solidFill>
                </w14:textFill>
              </w:rPr>
              <w:t>各监测指标均达到了《地表水环境质量标准》</w:t>
            </w:r>
            <w:r>
              <w:rPr>
                <w:color w:val="000000" w:themeColor="text1"/>
                <w14:textFill>
                  <w14:solidFill>
                    <w14:schemeClr w14:val="tx1"/>
                  </w14:solidFill>
                </w14:textFill>
              </w:rPr>
              <w:t>(GB3838-2002)</w:t>
            </w:r>
            <w:r>
              <w:rPr>
                <w:rFonts w:hint="eastAsia"/>
                <w:color w:val="000000" w:themeColor="text1"/>
                <w14:textFill>
                  <w14:solidFill>
                    <w14:schemeClr w14:val="tx1"/>
                  </w14:solidFill>
                </w14:textFill>
              </w:rPr>
              <w:t>中</w:t>
            </w:r>
            <w:r>
              <w:rPr>
                <w:color w:val="000000" w:themeColor="text1"/>
                <w:spacing w:val="4"/>
                <w:kern w:val="0"/>
                <w:sz w:val="21"/>
                <w:szCs w:val="21"/>
                <w14:textFill>
                  <w14:solidFill>
                    <w14:schemeClr w14:val="tx1"/>
                  </w14:solidFill>
                </w14:textFill>
              </w:rPr>
              <w:t>Ⅲ</w:t>
            </w:r>
            <w:r>
              <w:rPr>
                <w:rFonts w:hint="eastAsia"/>
                <w:color w:val="000000" w:themeColor="text1"/>
                <w:spacing w:val="4"/>
                <w:kern w:val="0"/>
                <w:sz w:val="21"/>
                <w:szCs w:val="21"/>
                <w:lang w:val="en-US" w:eastAsia="zh-CN"/>
                <w14:textFill>
                  <w14:solidFill>
                    <w14:schemeClr w14:val="tx1"/>
                  </w14:solidFill>
                </w14:textFill>
              </w:rPr>
              <w:t>类水质标准</w:t>
            </w:r>
            <w:r>
              <w:rPr>
                <w:rFonts w:hint="eastAsia"/>
                <w:color w:val="000000" w:themeColor="text1"/>
                <w14:textFill>
                  <w14:solidFill>
                    <w14:schemeClr w14:val="tx1"/>
                  </w14:solidFill>
                </w14:textFill>
              </w:rPr>
              <w:t>要求</w:t>
            </w:r>
            <w:r>
              <w:rPr>
                <w:color w:val="000000" w:themeColor="text1"/>
                <w14:textFill>
                  <w14:solidFill>
                    <w14:schemeClr w14:val="tx1"/>
                  </w14:solidFill>
                </w14:textFill>
              </w:rPr>
              <w:t>。</w:t>
            </w:r>
          </w:p>
          <w:p w14:paraId="2798DC56">
            <w:pPr>
              <w:pStyle w:val="48"/>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声环境质量现状</w:t>
            </w:r>
          </w:p>
          <w:p w14:paraId="2E49941A">
            <w:pPr>
              <w:pStyle w:val="48"/>
              <w:spacing w:line="336"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项目厂界外周边50米范围内</w:t>
            </w:r>
            <w:r>
              <w:rPr>
                <w:rFonts w:hint="eastAsia"/>
                <w:color w:val="000000" w:themeColor="text1"/>
                <w14:textFill>
                  <w14:solidFill>
                    <w14:schemeClr w14:val="tx1"/>
                  </w14:solidFill>
                </w14:textFill>
              </w:rPr>
              <w:t>不</w:t>
            </w:r>
            <w:r>
              <w:rPr>
                <w:color w:val="000000" w:themeColor="text1"/>
                <w14:textFill>
                  <w14:solidFill>
                    <w14:schemeClr w14:val="tx1"/>
                  </w14:solidFill>
                </w14:textFill>
              </w:rPr>
              <w:t>存在环境保护目标，根据《建设项目环境影响报告表编制技术指南》（污染影响类）（试行），</w:t>
            </w:r>
            <w:r>
              <w:rPr>
                <w:rFonts w:ascii="Times New Roman" w:hAnsi="Times New Roman" w:cs="Times New Roman"/>
                <w:color w:val="000000" w:themeColor="text1"/>
                <w:sz w:val="24"/>
                <w:highlight w:val="none"/>
                <w14:textFill>
                  <w14:solidFill>
                    <w14:schemeClr w14:val="tx1"/>
                  </w14:solidFill>
                </w14:textFill>
              </w:rPr>
              <w:t>可不需开展声环境现状监测</w:t>
            </w:r>
            <w:r>
              <w:rPr>
                <w:color w:val="000000" w:themeColor="text1"/>
                <w14:textFill>
                  <w14:solidFill>
                    <w14:schemeClr w14:val="tx1"/>
                  </w14:solidFill>
                </w14:textFill>
              </w:rPr>
              <w:t>。</w:t>
            </w:r>
          </w:p>
          <w:p w14:paraId="57C38083">
            <w:pPr>
              <w:ind w:firstLine="482"/>
              <w:rPr>
                <w:b/>
                <w:bCs/>
                <w:color w:val="000000" w:themeColor="text1"/>
                <w:lang w:val="zh-CN"/>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lang w:val="zh-CN"/>
                <w14:textFill>
                  <w14:solidFill>
                    <w14:schemeClr w14:val="tx1"/>
                  </w14:solidFill>
                </w14:textFill>
              </w:rPr>
              <w:t>生态环境</w:t>
            </w:r>
            <w:r>
              <w:rPr>
                <w:rFonts w:hint="eastAsia"/>
                <w:b/>
                <w:bCs/>
                <w:color w:val="000000" w:themeColor="text1"/>
                <w14:textFill>
                  <w14:solidFill>
                    <w14:schemeClr w14:val="tx1"/>
                  </w14:solidFill>
                </w14:textFill>
              </w:rPr>
              <w:t>现状</w:t>
            </w:r>
          </w:p>
          <w:p w14:paraId="0225FDFB">
            <w:pPr>
              <w:ind w:firstLine="480"/>
              <w:rPr>
                <w:color w:val="000000" w:themeColor="text1"/>
                <w14:textFill>
                  <w14:solidFill>
                    <w14:schemeClr w14:val="tx1"/>
                  </w14:solidFill>
                </w14:textFill>
              </w:rPr>
            </w:pPr>
            <w:r>
              <w:rPr>
                <w:color w:val="000000" w:themeColor="text1"/>
                <w14:textFill>
                  <w14:solidFill>
                    <w14:schemeClr w14:val="tx1"/>
                  </w14:solidFill>
                </w14:textFill>
              </w:rPr>
              <w:t>项目位于</w:t>
            </w:r>
            <w:r>
              <w:rPr>
                <w:rFonts w:hint="eastAsia"/>
                <w:color w:val="000000" w:themeColor="text1"/>
                <w:lang w:val="en-US" w:eastAsia="zh-CN"/>
                <w14:textFill>
                  <w14:solidFill>
                    <w14:schemeClr w14:val="tx1"/>
                  </w14:solidFill>
                </w14:textFill>
              </w:rPr>
              <w:t>江西高安</w:t>
            </w:r>
            <w:r>
              <w:rPr>
                <w:rFonts w:hint="eastAsia"/>
                <w:color w:val="000000" w:themeColor="text1"/>
                <w14:textFill>
                  <w14:solidFill>
                    <w14:schemeClr w14:val="tx1"/>
                  </w14:solidFill>
                </w14:textFill>
              </w:rPr>
              <w:t>宜</w:t>
            </w:r>
            <w:r>
              <w:rPr>
                <w:rFonts w:hint="eastAsia"/>
                <w:color w:val="000000" w:themeColor="text1"/>
                <w:szCs w:val="21"/>
                <w14:textFill>
                  <w14:solidFill>
                    <w14:schemeClr w14:val="tx1"/>
                  </w14:solidFill>
                </w14:textFill>
              </w:rPr>
              <w:t>高新技术产业园区</w:t>
            </w:r>
            <w:r>
              <w:rPr>
                <w:rFonts w:hint="eastAsia"/>
                <w:color w:val="000000" w:themeColor="text1"/>
                <w:szCs w:val="21"/>
                <w:lang w:val="en-US" w:eastAsia="zh-CN"/>
                <w14:textFill>
                  <w14:solidFill>
                    <w14:schemeClr w14:val="tx1"/>
                  </w14:solidFill>
                </w14:textFill>
              </w:rPr>
              <w:t>新世纪产业园</w:t>
            </w:r>
            <w:r>
              <w:rPr>
                <w:color w:val="000000" w:themeColor="text1"/>
                <w14:textFill>
                  <w14:solidFill>
                    <w14:schemeClr w14:val="tx1"/>
                  </w14:solidFill>
                </w14:textFill>
              </w:rPr>
              <w:t>，项目场址周围人类活动频繁，植被覆盖度不高，生物多样性较差。经调查，建设用地区域无珍稀动植物存在，无珍稀古树木。</w:t>
            </w:r>
          </w:p>
          <w:p w14:paraId="2FA395F4">
            <w:pPr>
              <w:pStyle w:val="167"/>
              <w:keepNext/>
              <w:widowControl w:val="0"/>
              <w:kinsoku w:val="0"/>
              <w:adjustRightInd/>
              <w:ind w:firstLine="482" w:firstLineChars="200"/>
              <w:jc w:val="both"/>
              <w:rPr>
                <w:rFonts w:ascii="Times New Roman" w:hAnsi="Times New Roman" w:eastAsia="宋体" w:cs="Times New Roman"/>
                <w:b/>
                <w:color w:val="000000" w:themeColor="text1"/>
                <w:kern w:val="2"/>
                <w:highlight w:val="none"/>
                <w14:textFill>
                  <w14:solidFill>
                    <w14:schemeClr w14:val="tx1"/>
                  </w14:solidFill>
                </w14:textFill>
              </w:rPr>
            </w:pPr>
            <w:r>
              <w:rPr>
                <w:rFonts w:ascii="Times New Roman" w:hAnsi="Times New Roman" w:eastAsia="宋体" w:cs="Times New Roman"/>
                <w:b/>
                <w:color w:val="000000" w:themeColor="text1"/>
                <w:kern w:val="2"/>
                <w:highlight w:val="none"/>
                <w14:textFill>
                  <w14:solidFill>
                    <w14:schemeClr w14:val="tx1"/>
                  </w14:solidFill>
                </w14:textFill>
              </w:rPr>
              <w:t>5、电磁辐射</w:t>
            </w:r>
          </w:p>
          <w:p w14:paraId="564C24EB">
            <w:pPr>
              <w:widowControl w:val="0"/>
              <w:spacing w:line="360" w:lineRule="auto"/>
              <w:ind w:firstLine="480" w:firstLineChars="200"/>
              <w:jc w:val="both"/>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本项目不涉及辐射环境影响。</w:t>
            </w:r>
          </w:p>
          <w:p w14:paraId="03ED33E8">
            <w:pPr>
              <w:ind w:firstLine="482"/>
              <w:rPr>
                <w:b/>
                <w:bCs/>
                <w:color w:val="000000" w:themeColor="text1"/>
                <w:lang w:val="zh-CN"/>
                <w14:textFill>
                  <w14:solidFill>
                    <w14:schemeClr w14:val="tx1"/>
                  </w14:solidFill>
                </w14:textFill>
              </w:rPr>
            </w:pPr>
            <w:r>
              <w:rPr>
                <w:rFonts w:hint="eastAsia"/>
                <w:b/>
                <w:bCs/>
                <w:color w:val="000000" w:themeColor="text1"/>
                <w:lang w:val="en-US" w:eastAsia="zh-CN"/>
                <w14:textFill>
                  <w14:solidFill>
                    <w14:schemeClr w14:val="tx1"/>
                  </w14:solidFill>
                </w14:textFill>
              </w:rPr>
              <w:t>6</w:t>
            </w:r>
            <w:r>
              <w:rPr>
                <w:rFonts w:hint="eastAsia"/>
                <w:b/>
                <w:bCs/>
                <w:color w:val="000000" w:themeColor="text1"/>
                <w14:textFill>
                  <w14:solidFill>
                    <w14:schemeClr w14:val="tx1"/>
                  </w14:solidFill>
                </w14:textFill>
              </w:rPr>
              <w:t>、</w:t>
            </w:r>
            <w:r>
              <w:rPr>
                <w:rFonts w:hint="eastAsia"/>
                <w:b/>
                <w:bCs/>
                <w:color w:val="000000" w:themeColor="text1"/>
                <w:lang w:val="zh-CN"/>
                <w14:textFill>
                  <w14:solidFill>
                    <w14:schemeClr w14:val="tx1"/>
                  </w14:solidFill>
                </w14:textFill>
              </w:rPr>
              <w:t>地下水、土壤环境质量</w:t>
            </w:r>
          </w:p>
          <w:p w14:paraId="5357CEB9">
            <w:pPr>
              <w:pStyle w:val="149"/>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宋体"/>
                <w:color w:val="000000" w:themeColor="text1"/>
                <w:highlight w:val="none"/>
                <w:lang w:val="en-US" w:eastAsia="zh-CN"/>
                <w14:textFill>
                  <w14:solidFill>
                    <w14:schemeClr w14:val="tx1"/>
                  </w14:solidFill>
                </w14:textFill>
              </w:rPr>
            </w:pPr>
            <w:r>
              <w:rPr>
                <w:rFonts w:hint="eastAsia" w:ascii="Times New Roman" w:hAnsi="Times New Roman" w:eastAsia="宋体" w:cs="宋体"/>
                <w:color w:val="000000" w:themeColor="text1"/>
                <w:highlight w:val="none"/>
                <w:lang w:val="en-US" w:eastAsia="zh-CN"/>
                <w14:textFill>
                  <w14:solidFill>
                    <w14:schemeClr w14:val="tx1"/>
                  </w14:solidFill>
                </w14:textFill>
              </w:rPr>
              <w:t>根据《建设项目环境影响报告表编制技术指南（污染影响类）（试行）》，原则上不开展环境质量现状调查。建设项目存在土壤、地下水环境污染途径的，应结合污染源、保护目标分布情况开展现状调查以留作背景值。</w:t>
            </w:r>
          </w:p>
          <w:p w14:paraId="068D383D">
            <w:pPr>
              <w:ind w:firstLine="480"/>
              <w:rPr>
                <w:rFonts w:hint="eastAsia" w:ascii="宋体" w:hAnsi="宋体" w:cs="宋体"/>
                <w:color w:val="000000" w:themeColor="text1"/>
                <w:kern w:val="0"/>
                <w:szCs w:val="21"/>
                <w14:textFill>
                  <w14:solidFill>
                    <w14:schemeClr w14:val="tx1"/>
                  </w14:solidFill>
                </w14:textFill>
              </w:rPr>
            </w:pPr>
            <w:r>
              <w:rPr>
                <w:rFonts w:hint="eastAsia" w:ascii="Times New Roman" w:hAnsi="Times New Roman" w:eastAsia="宋体" w:cs="宋体"/>
                <w:color w:val="000000" w:themeColor="text1"/>
                <w:highlight w:val="none"/>
                <w:lang w:val="en-US" w:eastAsia="zh-CN"/>
                <w14:textFill>
                  <w14:solidFill>
                    <w14:schemeClr w14:val="tx1"/>
                  </w14:solidFill>
                </w14:textFill>
              </w:rPr>
              <w:t>结合本项目工程特点，项目化粪池等按防渗要求设计，正常情况下不会有泄漏，不存在废水回灌地下水。生产车间、</w:t>
            </w:r>
            <w:r>
              <w:rPr>
                <w:rFonts w:hint="default" w:ascii="Times New Roman" w:hAnsi="Times New Roman" w:eastAsia="宋体" w:cs="宋体"/>
                <w:color w:val="000000" w:themeColor="text1"/>
                <w:highlight w:val="none"/>
                <w:lang w:val="en-US" w:eastAsia="zh-CN"/>
                <w14:textFill>
                  <w14:solidFill>
                    <w14:schemeClr w14:val="tx1"/>
                  </w14:solidFill>
                </w14:textFill>
              </w:rPr>
              <w:t>危废</w:t>
            </w:r>
            <w:r>
              <w:rPr>
                <w:rFonts w:hint="eastAsia" w:ascii="Times New Roman" w:hAnsi="Times New Roman" w:eastAsia="宋体" w:cs="宋体"/>
                <w:color w:val="000000" w:themeColor="text1"/>
                <w:highlight w:val="none"/>
                <w:lang w:val="en-US" w:eastAsia="zh-CN"/>
                <w14:textFill>
                  <w14:solidFill>
                    <w14:schemeClr w14:val="tx1"/>
                  </w14:solidFill>
                </w14:textFill>
              </w:rPr>
              <w:t>暂存</w:t>
            </w:r>
            <w:r>
              <w:rPr>
                <w:rFonts w:hint="eastAsia" w:cs="宋体"/>
                <w:color w:val="000000" w:themeColor="text1"/>
                <w:highlight w:val="none"/>
                <w:lang w:val="en-US" w:eastAsia="zh-CN"/>
                <w14:textFill>
                  <w14:solidFill>
                    <w14:schemeClr w14:val="tx1"/>
                  </w14:solidFill>
                </w14:textFill>
              </w:rPr>
              <w:t>间</w:t>
            </w:r>
            <w:r>
              <w:rPr>
                <w:rFonts w:hint="default" w:ascii="Times New Roman" w:hAnsi="Times New Roman" w:eastAsia="宋体" w:cs="宋体"/>
                <w:color w:val="000000" w:themeColor="text1"/>
                <w:highlight w:val="none"/>
                <w:lang w:val="en-US" w:eastAsia="zh-CN"/>
                <w14:textFill>
                  <w14:solidFill>
                    <w14:schemeClr w14:val="tx1"/>
                  </w14:solidFill>
                </w14:textFill>
              </w:rPr>
              <w:t>、</w:t>
            </w:r>
            <w:r>
              <w:rPr>
                <w:rFonts w:hint="eastAsia" w:ascii="Times New Roman" w:hAnsi="Times New Roman" w:eastAsia="宋体" w:cs="宋体"/>
                <w:color w:val="000000" w:themeColor="text1"/>
                <w:highlight w:val="none"/>
                <w:lang w:val="en-US" w:eastAsia="zh-CN"/>
                <w14:textFill>
                  <w14:solidFill>
                    <w14:schemeClr w14:val="tx1"/>
                  </w14:solidFill>
                </w14:textFill>
              </w:rPr>
              <w:t>一般固废暂存</w:t>
            </w:r>
            <w:r>
              <w:rPr>
                <w:rFonts w:hint="eastAsia" w:cs="宋体"/>
                <w:color w:val="000000" w:themeColor="text1"/>
                <w:highlight w:val="none"/>
                <w:lang w:val="en-US" w:eastAsia="zh-CN"/>
                <w14:textFill>
                  <w14:solidFill>
                    <w14:schemeClr w14:val="tx1"/>
                  </w14:solidFill>
                </w14:textFill>
              </w:rPr>
              <w:t>间</w:t>
            </w:r>
            <w:r>
              <w:rPr>
                <w:rFonts w:hint="eastAsia" w:ascii="Times New Roman" w:hAnsi="Times New Roman" w:eastAsia="宋体" w:cs="宋体"/>
                <w:color w:val="000000" w:themeColor="text1"/>
                <w:highlight w:val="none"/>
                <w:lang w:val="en-US" w:eastAsia="zh-CN"/>
                <w14:textFill>
                  <w14:solidFill>
                    <w14:schemeClr w14:val="tx1"/>
                  </w14:solidFill>
                </w14:textFill>
              </w:rPr>
              <w:t>等</w:t>
            </w:r>
            <w:r>
              <w:rPr>
                <w:rFonts w:hint="default" w:ascii="Times New Roman" w:hAnsi="Times New Roman" w:eastAsia="宋体" w:cs="宋体"/>
                <w:color w:val="000000" w:themeColor="text1"/>
                <w:highlight w:val="none"/>
                <w:lang w:val="en-US" w:eastAsia="zh-CN"/>
                <w14:textFill>
                  <w14:solidFill>
                    <w14:schemeClr w14:val="tx1"/>
                  </w14:solidFill>
                </w14:textFill>
              </w:rPr>
              <w:t>均按防渗要求设计，正常情况下不会有泄漏，不存在土壤、地下水环境污染途径。</w:t>
            </w:r>
            <w:r>
              <w:rPr>
                <w:rFonts w:hint="default" w:ascii="Times New Roman" w:hAnsi="Times New Roman" w:eastAsia="宋体" w:cs="宋体"/>
                <w:color w:val="000000" w:themeColor="text1"/>
                <w:highlight w:val="none"/>
                <w14:textFill>
                  <w14:solidFill>
                    <w14:schemeClr w14:val="tx1"/>
                  </w14:solidFill>
                </w14:textFill>
              </w:rPr>
              <w:t>项目厂界外500米范围内无地下水集中式饮用水水源和热水、矿泉水、温泉等特殊地下水资源。项目正常运营情况下，不存在污染土壤及地下水环境的途径，故不开展地下水、土壤环境现状调查</w:t>
            </w:r>
            <w:r>
              <w:rPr>
                <w:rFonts w:hint="eastAsia" w:ascii="宋体" w:hAnsi="宋体" w:cs="宋体"/>
                <w:color w:val="000000" w:themeColor="text1"/>
                <w:kern w:val="0"/>
                <w:szCs w:val="21"/>
                <w14:textFill>
                  <w14:solidFill>
                    <w14:schemeClr w14:val="tx1"/>
                  </w14:solidFill>
                </w14:textFill>
              </w:rPr>
              <w:t>。</w:t>
            </w:r>
          </w:p>
          <w:p w14:paraId="62C91181">
            <w:pPr>
              <w:ind w:firstLine="480"/>
              <w:rPr>
                <w:rFonts w:hint="eastAsia" w:ascii="宋体" w:hAnsi="宋体" w:cs="宋体"/>
                <w:color w:val="000000" w:themeColor="text1"/>
                <w:kern w:val="0"/>
                <w:szCs w:val="21"/>
                <w14:textFill>
                  <w14:solidFill>
                    <w14:schemeClr w14:val="tx1"/>
                  </w14:solidFill>
                </w14:textFill>
              </w:rPr>
            </w:pPr>
          </w:p>
          <w:p w14:paraId="0B4B8325">
            <w:pPr>
              <w:ind w:firstLine="480"/>
              <w:rPr>
                <w:rFonts w:hint="eastAsia" w:ascii="宋体" w:hAnsi="宋体" w:cs="宋体"/>
                <w:color w:val="000000" w:themeColor="text1"/>
                <w:kern w:val="0"/>
                <w:szCs w:val="21"/>
                <w14:textFill>
                  <w14:solidFill>
                    <w14:schemeClr w14:val="tx1"/>
                  </w14:solidFill>
                </w14:textFill>
              </w:rPr>
            </w:pPr>
          </w:p>
          <w:p w14:paraId="69604174">
            <w:pPr>
              <w:ind w:firstLine="480"/>
              <w:rPr>
                <w:rFonts w:hint="eastAsia" w:ascii="宋体" w:hAnsi="宋体" w:cs="宋体"/>
                <w:color w:val="000000" w:themeColor="text1"/>
                <w:kern w:val="0"/>
                <w:szCs w:val="21"/>
                <w14:textFill>
                  <w14:solidFill>
                    <w14:schemeClr w14:val="tx1"/>
                  </w14:solidFill>
                </w14:textFill>
              </w:rPr>
            </w:pPr>
          </w:p>
          <w:p w14:paraId="2AF49FF0">
            <w:pPr>
              <w:ind w:firstLine="480"/>
              <w:rPr>
                <w:rFonts w:hint="eastAsia" w:ascii="宋体" w:hAnsi="宋体" w:cs="宋体"/>
                <w:color w:val="000000" w:themeColor="text1"/>
                <w:kern w:val="0"/>
                <w:szCs w:val="21"/>
                <w14:textFill>
                  <w14:solidFill>
                    <w14:schemeClr w14:val="tx1"/>
                  </w14:solidFill>
                </w14:textFill>
              </w:rPr>
            </w:pPr>
          </w:p>
          <w:p w14:paraId="23D6D3C8">
            <w:pPr>
              <w:ind w:firstLine="480"/>
              <w:rPr>
                <w:rFonts w:hint="eastAsia" w:ascii="宋体" w:hAnsi="宋体" w:cs="宋体"/>
                <w:color w:val="000000" w:themeColor="text1"/>
                <w:kern w:val="0"/>
                <w:szCs w:val="21"/>
                <w14:textFill>
                  <w14:solidFill>
                    <w14:schemeClr w14:val="tx1"/>
                  </w14:solidFill>
                </w14:textFill>
              </w:rPr>
            </w:pPr>
          </w:p>
          <w:p w14:paraId="4B19F9E3">
            <w:pPr>
              <w:ind w:firstLine="480"/>
              <w:rPr>
                <w:rFonts w:hint="eastAsia" w:ascii="宋体" w:hAnsi="宋体" w:cs="宋体"/>
                <w:color w:val="000000" w:themeColor="text1"/>
                <w:kern w:val="0"/>
                <w:szCs w:val="21"/>
                <w14:textFill>
                  <w14:solidFill>
                    <w14:schemeClr w14:val="tx1"/>
                  </w14:solidFill>
                </w14:textFill>
              </w:rPr>
            </w:pPr>
          </w:p>
          <w:p w14:paraId="66D4D8B0">
            <w:pPr>
              <w:ind w:firstLine="480"/>
              <w:rPr>
                <w:rFonts w:hint="eastAsia" w:ascii="宋体" w:hAnsi="宋体" w:cs="宋体"/>
                <w:color w:val="000000" w:themeColor="text1"/>
                <w:kern w:val="0"/>
                <w:szCs w:val="21"/>
                <w14:textFill>
                  <w14:solidFill>
                    <w14:schemeClr w14:val="tx1"/>
                  </w14:solidFill>
                </w14:textFill>
              </w:rPr>
            </w:pPr>
          </w:p>
          <w:p w14:paraId="032A85AC">
            <w:pPr>
              <w:ind w:left="0" w:leftChars="0" w:firstLine="0" w:firstLineChars="0"/>
              <w:rPr>
                <w:rFonts w:hint="eastAsia" w:ascii="宋体" w:hAnsi="宋体" w:cs="宋体"/>
                <w:color w:val="000000" w:themeColor="text1"/>
                <w:kern w:val="0"/>
                <w:szCs w:val="21"/>
                <w14:textFill>
                  <w14:solidFill>
                    <w14:schemeClr w14:val="tx1"/>
                  </w14:solidFill>
                </w14:textFill>
              </w:rPr>
            </w:pPr>
          </w:p>
        </w:tc>
      </w:tr>
      <w:tr w14:paraId="6FA2D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667" w:type="dxa"/>
            <w:tcBorders>
              <w:tl2br w:val="nil"/>
              <w:tr2bl w:val="nil"/>
            </w:tcBorders>
            <w:vAlign w:val="center"/>
          </w:tcPr>
          <w:p w14:paraId="6125D2A2">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环境</w:t>
            </w:r>
          </w:p>
          <w:p w14:paraId="030E8C6A">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保护</w:t>
            </w:r>
          </w:p>
          <w:p w14:paraId="602D5FC6">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目标</w:t>
            </w:r>
          </w:p>
        </w:tc>
        <w:tc>
          <w:tcPr>
            <w:tcW w:w="8559" w:type="dxa"/>
            <w:tcBorders>
              <w:tl2br w:val="nil"/>
              <w:tr2bl w:val="nil"/>
            </w:tcBorders>
            <w:vAlign w:val="center"/>
          </w:tcPr>
          <w:p w14:paraId="47C021A6">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（1）大气环境保护目标</w:t>
            </w:r>
          </w:p>
          <w:p w14:paraId="30D7AB4E">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据现场踏勘，项目位于</w:t>
            </w:r>
            <w:r>
              <w:rPr>
                <w:rFonts w:hint="eastAsia"/>
                <w:color w:val="000000" w:themeColor="text1"/>
                <w:lang w:val="en-US" w:eastAsia="zh-CN"/>
                <w14:textFill>
                  <w14:solidFill>
                    <w14:schemeClr w14:val="tx1"/>
                  </w14:solidFill>
                </w14:textFill>
              </w:rPr>
              <w:t>江西高安高新技术产业园区新世纪产业园</w:t>
            </w:r>
            <w:r>
              <w:rPr>
                <w:rFonts w:hint="eastAsia"/>
                <w:color w:val="000000" w:themeColor="text1"/>
                <w14:textFill>
                  <w14:solidFill>
                    <w14:schemeClr w14:val="tx1"/>
                  </w14:solidFill>
                </w14:textFill>
              </w:rPr>
              <w:t>，项目500m评价范围内</w:t>
            </w:r>
            <w:r>
              <w:rPr>
                <w:rFonts w:hint="eastAsia"/>
                <w:color w:val="000000" w:themeColor="text1"/>
                <w:lang w:val="en-US" w:eastAsia="zh-CN"/>
                <w14:textFill>
                  <w14:solidFill>
                    <w14:schemeClr w14:val="tx1"/>
                  </w14:solidFill>
                </w14:textFill>
              </w:rPr>
              <w:t>主要环境</w:t>
            </w:r>
            <w:r>
              <w:rPr>
                <w:rFonts w:hint="eastAsia"/>
                <w:color w:val="000000" w:themeColor="text1"/>
                <w14:textFill>
                  <w14:solidFill>
                    <w14:schemeClr w14:val="tx1"/>
                  </w14:solidFill>
                </w14:textFill>
              </w:rPr>
              <w:t>保护目标</w:t>
            </w:r>
            <w:r>
              <w:rPr>
                <w:rFonts w:hint="eastAsia"/>
                <w:color w:val="000000" w:themeColor="text1"/>
                <w:lang w:val="en-US" w:eastAsia="zh-CN"/>
                <w14:textFill>
                  <w14:solidFill>
                    <w14:schemeClr w14:val="tx1"/>
                  </w14:solidFill>
                </w14:textFill>
              </w:rPr>
              <w:t>见表3-4</w:t>
            </w:r>
            <w:r>
              <w:rPr>
                <w:rFonts w:hint="eastAsia"/>
                <w:color w:val="000000" w:themeColor="text1"/>
                <w14:textFill>
                  <w14:solidFill>
                    <w14:schemeClr w14:val="tx1"/>
                  </w14:solidFill>
                </w14:textFill>
              </w:rPr>
              <w:t>。</w:t>
            </w:r>
          </w:p>
          <w:p w14:paraId="5CD3AC8C">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（2）声环境保护目标</w:t>
            </w:r>
          </w:p>
          <w:p w14:paraId="3F8F4F33">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项目厂界外50米范围内无声环境保护目标。</w:t>
            </w:r>
          </w:p>
          <w:p w14:paraId="3098631E">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（3）地下水环境保护目标</w:t>
            </w:r>
          </w:p>
          <w:p w14:paraId="611F4253">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项目厂界外500米范围内无地下水集中式饮用水水源和热水、矿泉水、温泉等特殊地下水资源环境保护目标。</w:t>
            </w:r>
          </w:p>
          <w:p w14:paraId="07404E7C">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（4）生态环境保护目标</w:t>
            </w:r>
          </w:p>
          <w:p w14:paraId="3BBAE458">
            <w:pPr>
              <w:adjustRightInd/>
              <w:snapToGrid/>
              <w:ind w:firstLine="496"/>
              <w:rPr>
                <w:rFonts w:hint="eastAsia" w:ascii="宋体" w:hAnsi="宋体"/>
                <w:color w:val="000000" w:themeColor="text1"/>
                <w:spacing w:val="4"/>
                <w14:textFill>
                  <w14:solidFill>
                    <w14:schemeClr w14:val="tx1"/>
                  </w14:solidFill>
                </w14:textFill>
              </w:rPr>
            </w:pPr>
            <w:r>
              <w:rPr>
                <w:rFonts w:hint="eastAsia" w:ascii="宋体" w:hAnsi="宋体"/>
                <w:color w:val="000000" w:themeColor="text1"/>
                <w:spacing w:val="4"/>
                <w:kern w:val="18"/>
                <w14:textFill>
                  <w14:solidFill>
                    <w14:schemeClr w14:val="tx1"/>
                  </w14:solidFill>
                </w14:textFill>
              </w:rPr>
              <w:t>本项目位于</w:t>
            </w:r>
            <w:r>
              <w:rPr>
                <w:rFonts w:hint="eastAsia"/>
                <w:color w:val="000000" w:themeColor="text1"/>
                <w:lang w:val="en-US" w:eastAsia="zh-CN"/>
                <w14:textFill>
                  <w14:solidFill>
                    <w14:schemeClr w14:val="tx1"/>
                  </w14:solidFill>
                </w14:textFill>
              </w:rPr>
              <w:t>江西高安高新技术产业园区新世纪产业园</w:t>
            </w:r>
            <w:r>
              <w:rPr>
                <w:rFonts w:hint="eastAsia" w:ascii="宋体" w:hAnsi="宋体"/>
                <w:color w:val="000000" w:themeColor="text1"/>
                <w14:textFill>
                  <w14:solidFill>
                    <w14:schemeClr w14:val="tx1"/>
                  </w14:solidFill>
                </w14:textFill>
              </w:rPr>
              <w:t>，</w:t>
            </w:r>
            <w:r>
              <w:rPr>
                <w:rFonts w:hint="eastAsia" w:ascii="宋体" w:hAnsi="宋体"/>
                <w:color w:val="000000" w:themeColor="text1"/>
                <w:spacing w:val="4"/>
                <w:kern w:val="18"/>
                <w14:textFill>
                  <w14:solidFill>
                    <w14:schemeClr w14:val="tx1"/>
                  </w14:solidFill>
                </w14:textFill>
              </w:rPr>
              <w:t>用地范围内不涉及生态环境保护目标。</w:t>
            </w:r>
          </w:p>
          <w:p w14:paraId="6582FACA">
            <w:pPr>
              <w:pStyle w:val="57"/>
              <w:numPr>
                <w:ilvl w:val="3"/>
                <w:numId w:val="19"/>
              </w:numPr>
              <w:rPr>
                <w:color w:val="000000" w:themeColor="text1"/>
                <w:lang w:eastAsia="zh-CN"/>
                <w14:textFill>
                  <w14:solidFill>
                    <w14:schemeClr w14:val="tx1"/>
                  </w14:solidFill>
                </w14:textFill>
              </w:rPr>
            </w:pPr>
            <w:r>
              <w:rPr>
                <w:color w:val="000000" w:themeColor="text1"/>
                <w:lang w:eastAsia="zh-CN"/>
                <w14:textFill>
                  <w14:solidFill>
                    <w14:schemeClr w14:val="tx1"/>
                  </w14:solidFill>
                </w14:textFill>
              </w:rPr>
              <w:t>项目主要环境保护目标</w:t>
            </w:r>
          </w:p>
          <w:tbl>
            <w:tblPr>
              <w:tblStyle w:val="36"/>
              <w:tblW w:w="5000" w:type="pct"/>
              <w:jc w:val="center"/>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108" w:type="dxa"/>
                <w:bottom w:w="0" w:type="dxa"/>
                <w:right w:w="108" w:type="dxa"/>
              </w:tblCellMar>
            </w:tblPr>
            <w:tblGrid>
              <w:gridCol w:w="928"/>
              <w:gridCol w:w="874"/>
              <w:gridCol w:w="648"/>
              <w:gridCol w:w="695"/>
              <w:gridCol w:w="767"/>
              <w:gridCol w:w="887"/>
              <w:gridCol w:w="673"/>
              <w:gridCol w:w="891"/>
              <w:gridCol w:w="2007"/>
            </w:tblGrid>
            <w:tr w14:paraId="5132DF1F">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55" w:type="pct"/>
                  <w:vMerge w:val="restart"/>
                  <w:tcBorders>
                    <w:top w:val="single" w:color="000000" w:sz="2" w:space="0"/>
                    <w:left w:val="nil"/>
                    <w:bottom w:val="single" w:color="000000" w:sz="2" w:space="0"/>
                    <w:right w:val="single" w:color="000000" w:sz="2" w:space="0"/>
                  </w:tcBorders>
                  <w:vAlign w:val="center"/>
                </w:tcPr>
                <w:p w14:paraId="317952CD">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环境</w:t>
                  </w:r>
                </w:p>
                <w:p w14:paraId="23687AB8">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要素</w:t>
                  </w:r>
                </w:p>
              </w:tc>
              <w:tc>
                <w:tcPr>
                  <w:tcW w:w="522" w:type="pct"/>
                  <w:vMerge w:val="restart"/>
                  <w:tcBorders>
                    <w:top w:val="single" w:color="000000" w:sz="2" w:space="0"/>
                    <w:left w:val="single" w:color="000000" w:sz="2" w:space="0"/>
                    <w:bottom w:val="single" w:color="000000" w:sz="2" w:space="0"/>
                    <w:right w:val="single" w:color="000000" w:sz="2" w:space="0"/>
                  </w:tcBorders>
                  <w:vAlign w:val="center"/>
                </w:tcPr>
                <w:p w14:paraId="40D04261">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名称</w:t>
                  </w:r>
                </w:p>
              </w:tc>
              <w:tc>
                <w:tcPr>
                  <w:tcW w:w="802" w:type="pct"/>
                  <w:gridSpan w:val="2"/>
                  <w:tcBorders>
                    <w:top w:val="single" w:color="000000" w:sz="2" w:space="0"/>
                    <w:left w:val="single" w:color="000000" w:sz="2" w:space="0"/>
                    <w:bottom w:val="single" w:color="000000" w:sz="2" w:space="0"/>
                    <w:right w:val="single" w:color="000000" w:sz="2" w:space="0"/>
                  </w:tcBorders>
                  <w:vAlign w:val="center"/>
                </w:tcPr>
                <w:p w14:paraId="1E49FFFD">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坐标</w:t>
                  </w:r>
                  <w:r>
                    <w:rPr>
                      <w:rFonts w:hint="default" w:ascii="Times New Roman" w:hAnsi="Times New Roman" w:cs="Times New Roman"/>
                      <w:b/>
                      <w:bCs w:val="0"/>
                      <w:color w:val="000000" w:themeColor="text1"/>
                      <w:sz w:val="18"/>
                      <w:szCs w:val="18"/>
                      <w:lang w:val="en-US" w:eastAsia="zh-CN"/>
                      <w14:textFill>
                        <w14:solidFill>
                          <w14:schemeClr w14:val="tx1"/>
                        </w14:solidFill>
                      </w14:textFill>
                    </w:rPr>
                    <w:t>*</w:t>
                  </w:r>
                  <w:r>
                    <w:rPr>
                      <w:rFonts w:hint="default" w:ascii="Times New Roman" w:hAnsi="Times New Roman" w:cs="Times New Roman"/>
                      <w:b/>
                      <w:bCs w:val="0"/>
                      <w:color w:val="000000" w:themeColor="text1"/>
                      <w:sz w:val="18"/>
                      <w:szCs w:val="18"/>
                      <w14:textFill>
                        <w14:solidFill>
                          <w14:schemeClr w14:val="tx1"/>
                        </w14:solidFill>
                      </w14:textFill>
                    </w:rPr>
                    <w:t>（m）</w:t>
                  </w:r>
                </w:p>
              </w:tc>
              <w:tc>
                <w:tcPr>
                  <w:tcW w:w="458" w:type="pct"/>
                  <w:vMerge w:val="restart"/>
                  <w:tcBorders>
                    <w:top w:val="single" w:color="000000" w:sz="2" w:space="0"/>
                    <w:left w:val="single" w:color="000000" w:sz="2" w:space="0"/>
                    <w:bottom w:val="single" w:color="000000" w:sz="2" w:space="0"/>
                    <w:right w:val="single" w:color="000000" w:sz="2" w:space="0"/>
                  </w:tcBorders>
                  <w:vAlign w:val="center"/>
                </w:tcPr>
                <w:p w14:paraId="69DEB127">
                  <w:pPr>
                    <w:adjustRightInd/>
                    <w:snapToGrid/>
                    <w:spacing w:line="240" w:lineRule="auto"/>
                    <w:ind w:firstLine="0" w:firstLineChars="0"/>
                    <w:jc w:val="center"/>
                    <w:rPr>
                      <w:rFonts w:hint="default" w:ascii="Times New Roman" w:hAnsi="Times New Roman" w:cs="Times New Roman"/>
                      <w:b/>
                      <w:bCs w:val="0"/>
                      <w:color w:val="000000" w:themeColor="text1"/>
                      <w:sz w:val="18"/>
                      <w:szCs w:val="18"/>
                      <w:lang w:val="en-US" w:eastAsia="zh-CN"/>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保护</w:t>
                  </w:r>
                </w:p>
                <w:p w14:paraId="47C6CCD9">
                  <w:pPr>
                    <w:adjustRightInd/>
                    <w:snapToGrid/>
                    <w:spacing w:line="240" w:lineRule="auto"/>
                    <w:ind w:firstLine="0" w:firstLineChars="0"/>
                    <w:jc w:val="center"/>
                    <w:rPr>
                      <w:rFonts w:hint="default" w:ascii="Times New Roman" w:hAnsi="Times New Roman" w:eastAsia="宋体" w:cs="Times New Roman"/>
                      <w:b/>
                      <w:bCs w:val="0"/>
                      <w:color w:val="000000" w:themeColor="text1"/>
                      <w:sz w:val="18"/>
                      <w:szCs w:val="18"/>
                      <w:lang w:val="en-US" w:eastAsia="zh-CN"/>
                      <w14:textFill>
                        <w14:solidFill>
                          <w14:schemeClr w14:val="tx1"/>
                        </w14:solidFill>
                      </w14:textFill>
                    </w:rPr>
                  </w:pPr>
                  <w:r>
                    <w:rPr>
                      <w:rFonts w:hint="default" w:ascii="Times New Roman" w:hAnsi="Times New Roman" w:cs="Times New Roman"/>
                      <w:b/>
                      <w:bCs w:val="0"/>
                      <w:color w:val="000000" w:themeColor="text1"/>
                      <w:sz w:val="18"/>
                      <w:szCs w:val="18"/>
                      <w:lang w:val="en-US" w:eastAsia="zh-CN"/>
                      <w14:textFill>
                        <w14:solidFill>
                          <w14:schemeClr w14:val="tx1"/>
                        </w14:solidFill>
                      </w14:textFill>
                    </w:rPr>
                    <w:t>对象</w:t>
                  </w:r>
                </w:p>
              </w:tc>
              <w:tc>
                <w:tcPr>
                  <w:tcW w:w="529" w:type="pct"/>
                  <w:vMerge w:val="restart"/>
                  <w:tcBorders>
                    <w:top w:val="single" w:color="000000" w:sz="2" w:space="0"/>
                    <w:left w:val="single" w:color="000000" w:sz="2" w:space="0"/>
                    <w:bottom w:val="single" w:color="000000" w:sz="2" w:space="0"/>
                    <w:right w:val="single" w:color="000000" w:sz="2" w:space="0"/>
                  </w:tcBorders>
                  <w:vAlign w:val="center"/>
                </w:tcPr>
                <w:p w14:paraId="01FE7BF3">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规模（人）</w:t>
                  </w:r>
                </w:p>
              </w:tc>
              <w:tc>
                <w:tcPr>
                  <w:tcW w:w="402" w:type="pct"/>
                  <w:vMerge w:val="restart"/>
                  <w:tcBorders>
                    <w:top w:val="single" w:color="000000" w:sz="2" w:space="0"/>
                    <w:left w:val="single" w:color="000000" w:sz="2" w:space="0"/>
                    <w:bottom w:val="single" w:color="000000" w:sz="2" w:space="0"/>
                    <w:right w:val="single" w:color="000000" w:sz="2" w:space="0"/>
                  </w:tcBorders>
                  <w:vAlign w:val="center"/>
                </w:tcPr>
                <w:p w14:paraId="31BB397F">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方位</w:t>
                  </w:r>
                </w:p>
              </w:tc>
              <w:tc>
                <w:tcPr>
                  <w:tcW w:w="532" w:type="pct"/>
                  <w:vMerge w:val="restart"/>
                  <w:tcBorders>
                    <w:top w:val="single" w:color="000000" w:sz="2" w:space="0"/>
                    <w:left w:val="single" w:color="000000" w:sz="2" w:space="0"/>
                    <w:bottom w:val="single" w:color="000000" w:sz="2" w:space="0"/>
                    <w:right w:val="single" w:color="000000" w:sz="2" w:space="0"/>
                  </w:tcBorders>
                  <w:vAlign w:val="center"/>
                </w:tcPr>
                <w:p w14:paraId="1F663F27">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相对厂界距离（m）</w:t>
                  </w:r>
                </w:p>
              </w:tc>
              <w:tc>
                <w:tcPr>
                  <w:tcW w:w="1197" w:type="pct"/>
                  <w:vMerge w:val="restart"/>
                  <w:tcBorders>
                    <w:top w:val="single" w:color="000000" w:sz="2" w:space="0"/>
                    <w:left w:val="single" w:color="000000" w:sz="2" w:space="0"/>
                    <w:bottom w:val="single" w:color="000000" w:sz="2" w:space="0"/>
                    <w:right w:val="nil"/>
                  </w:tcBorders>
                  <w:vAlign w:val="center"/>
                </w:tcPr>
                <w:p w14:paraId="125CCF45">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环境</w:t>
                  </w:r>
                </w:p>
                <w:p w14:paraId="3E2EB9D8">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功能区</w:t>
                  </w:r>
                </w:p>
              </w:tc>
            </w:tr>
            <w:tr w14:paraId="7915C6F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55" w:type="pct"/>
                  <w:vMerge w:val="continue"/>
                  <w:tcBorders>
                    <w:top w:val="single" w:color="000000" w:sz="2" w:space="0"/>
                    <w:left w:val="nil"/>
                    <w:bottom w:val="single" w:color="000000" w:sz="2" w:space="0"/>
                    <w:right w:val="single" w:color="000000" w:sz="2" w:space="0"/>
                  </w:tcBorders>
                  <w:vAlign w:val="center"/>
                </w:tcPr>
                <w:p w14:paraId="056ADD0D">
                  <w:pPr>
                    <w:widowControl/>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p>
              </w:tc>
              <w:tc>
                <w:tcPr>
                  <w:tcW w:w="522" w:type="pct"/>
                  <w:vMerge w:val="continue"/>
                  <w:tcBorders>
                    <w:top w:val="single" w:color="000000" w:sz="2" w:space="0"/>
                    <w:left w:val="single" w:color="000000" w:sz="2" w:space="0"/>
                    <w:bottom w:val="single" w:color="000000" w:sz="2" w:space="0"/>
                    <w:right w:val="single" w:color="000000" w:sz="2" w:space="0"/>
                  </w:tcBorders>
                  <w:vAlign w:val="center"/>
                </w:tcPr>
                <w:p w14:paraId="76C8053F">
                  <w:pPr>
                    <w:widowControl/>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p>
              </w:tc>
              <w:tc>
                <w:tcPr>
                  <w:tcW w:w="387" w:type="pct"/>
                  <w:tcBorders>
                    <w:top w:val="single" w:color="000000" w:sz="2" w:space="0"/>
                    <w:left w:val="single" w:color="000000" w:sz="2" w:space="0"/>
                    <w:bottom w:val="single" w:color="000000" w:sz="2" w:space="0"/>
                    <w:right w:val="single" w:color="000000" w:sz="2" w:space="0"/>
                  </w:tcBorders>
                  <w:vAlign w:val="center"/>
                </w:tcPr>
                <w:p w14:paraId="0B8B4E6C">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X</w:t>
                  </w:r>
                </w:p>
              </w:tc>
              <w:tc>
                <w:tcPr>
                  <w:tcW w:w="415" w:type="pct"/>
                  <w:tcBorders>
                    <w:top w:val="single" w:color="000000" w:sz="2" w:space="0"/>
                    <w:left w:val="single" w:color="000000" w:sz="2" w:space="0"/>
                    <w:bottom w:val="single" w:color="000000" w:sz="2" w:space="0"/>
                    <w:right w:val="single" w:color="000000" w:sz="2" w:space="0"/>
                  </w:tcBorders>
                  <w:vAlign w:val="center"/>
                </w:tcPr>
                <w:p w14:paraId="226D848D">
                  <w:pPr>
                    <w:adjustRightInd/>
                    <w:snapToGrid/>
                    <w:spacing w:line="240" w:lineRule="auto"/>
                    <w:ind w:firstLine="0" w:firstLineChars="0"/>
                    <w:jc w:val="center"/>
                    <w:rPr>
                      <w:rFonts w:hint="default" w:ascii="Times New Roman" w:hAnsi="Times New Roman" w:cs="Times New Roman"/>
                      <w:b/>
                      <w:bCs w:val="0"/>
                      <w:color w:val="000000" w:themeColor="text1"/>
                      <w:sz w:val="18"/>
                      <w:szCs w:val="18"/>
                      <w14:textFill>
                        <w14:solidFill>
                          <w14:schemeClr w14:val="tx1"/>
                        </w14:solidFill>
                      </w14:textFill>
                    </w:rPr>
                  </w:pPr>
                  <w:r>
                    <w:rPr>
                      <w:rFonts w:hint="default" w:ascii="Times New Roman" w:hAnsi="Times New Roman" w:cs="Times New Roman"/>
                      <w:b/>
                      <w:bCs w:val="0"/>
                      <w:color w:val="000000" w:themeColor="text1"/>
                      <w:sz w:val="18"/>
                      <w:szCs w:val="18"/>
                      <w14:textFill>
                        <w14:solidFill>
                          <w14:schemeClr w14:val="tx1"/>
                        </w14:solidFill>
                      </w14:textFill>
                    </w:rPr>
                    <w:t>Y</w:t>
                  </w:r>
                </w:p>
              </w:tc>
              <w:tc>
                <w:tcPr>
                  <w:tcW w:w="458" w:type="pct"/>
                  <w:vMerge w:val="continue"/>
                  <w:tcBorders>
                    <w:top w:val="single" w:color="000000" w:sz="2" w:space="0"/>
                    <w:left w:val="single" w:color="000000" w:sz="2" w:space="0"/>
                    <w:bottom w:val="single" w:color="000000" w:sz="2" w:space="0"/>
                    <w:right w:val="single" w:color="000000" w:sz="2" w:space="0"/>
                  </w:tcBorders>
                  <w:vAlign w:val="center"/>
                </w:tcPr>
                <w:p w14:paraId="6F4280B1">
                  <w:pPr>
                    <w:widowControl/>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p>
              </w:tc>
              <w:tc>
                <w:tcPr>
                  <w:tcW w:w="529" w:type="pct"/>
                  <w:vMerge w:val="continue"/>
                  <w:tcBorders>
                    <w:top w:val="single" w:color="000000" w:sz="2" w:space="0"/>
                    <w:left w:val="single" w:color="000000" w:sz="2" w:space="0"/>
                    <w:bottom w:val="single" w:color="000000" w:sz="2" w:space="0"/>
                    <w:right w:val="single" w:color="000000" w:sz="2" w:space="0"/>
                  </w:tcBorders>
                  <w:vAlign w:val="center"/>
                </w:tcPr>
                <w:p w14:paraId="2EC10768">
                  <w:pPr>
                    <w:widowControl/>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p>
              </w:tc>
              <w:tc>
                <w:tcPr>
                  <w:tcW w:w="402" w:type="pct"/>
                  <w:vMerge w:val="continue"/>
                  <w:tcBorders>
                    <w:top w:val="single" w:color="000000" w:sz="2" w:space="0"/>
                    <w:left w:val="single" w:color="000000" w:sz="2" w:space="0"/>
                    <w:bottom w:val="single" w:color="000000" w:sz="2" w:space="0"/>
                    <w:right w:val="single" w:color="000000" w:sz="2" w:space="0"/>
                  </w:tcBorders>
                  <w:vAlign w:val="center"/>
                </w:tcPr>
                <w:p w14:paraId="2BD2B6B8">
                  <w:pPr>
                    <w:widowControl/>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p>
              </w:tc>
              <w:tc>
                <w:tcPr>
                  <w:tcW w:w="532" w:type="pct"/>
                  <w:vMerge w:val="continue"/>
                  <w:tcBorders>
                    <w:top w:val="single" w:color="000000" w:sz="2" w:space="0"/>
                    <w:left w:val="single" w:color="000000" w:sz="2" w:space="0"/>
                    <w:bottom w:val="single" w:color="000000" w:sz="2" w:space="0"/>
                    <w:right w:val="single" w:color="000000" w:sz="2" w:space="0"/>
                  </w:tcBorders>
                  <w:vAlign w:val="center"/>
                </w:tcPr>
                <w:p w14:paraId="4380EF86">
                  <w:pPr>
                    <w:widowControl/>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p>
              </w:tc>
              <w:tc>
                <w:tcPr>
                  <w:tcW w:w="1197" w:type="pct"/>
                  <w:vMerge w:val="continue"/>
                  <w:tcBorders>
                    <w:top w:val="single" w:color="000000" w:sz="2" w:space="0"/>
                    <w:left w:val="single" w:color="000000" w:sz="2" w:space="0"/>
                    <w:bottom w:val="single" w:color="000000" w:sz="2" w:space="0"/>
                    <w:right w:val="nil"/>
                  </w:tcBorders>
                  <w:vAlign w:val="center"/>
                </w:tcPr>
                <w:p w14:paraId="6F7DC0BA">
                  <w:pPr>
                    <w:widowControl/>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p>
              </w:tc>
            </w:tr>
            <w:tr w14:paraId="57FF228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55" w:type="pct"/>
                  <w:vMerge w:val="restart"/>
                  <w:tcBorders>
                    <w:top w:val="single" w:color="000000" w:sz="2" w:space="0"/>
                    <w:left w:val="nil"/>
                    <w:right w:val="single" w:color="000000" w:sz="2" w:space="0"/>
                  </w:tcBorders>
                  <w:vAlign w:val="center"/>
                </w:tcPr>
                <w:p w14:paraId="6925FE8A">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大气环境</w:t>
                  </w:r>
                </w:p>
              </w:tc>
              <w:tc>
                <w:tcPr>
                  <w:tcW w:w="522" w:type="pct"/>
                  <w:tcBorders>
                    <w:top w:val="single" w:color="000000" w:sz="2" w:space="0"/>
                    <w:left w:val="single" w:color="000000" w:sz="2" w:space="0"/>
                    <w:bottom w:val="single" w:color="000000" w:sz="2" w:space="0"/>
                    <w:right w:val="single" w:color="000000" w:sz="2" w:space="0"/>
                  </w:tcBorders>
                  <w:vAlign w:val="center"/>
                </w:tcPr>
                <w:p w14:paraId="28EB66D7">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坪上村</w:t>
                  </w:r>
                </w:p>
              </w:tc>
              <w:tc>
                <w:tcPr>
                  <w:tcW w:w="387" w:type="pct"/>
                  <w:tcBorders>
                    <w:top w:val="single" w:color="000000" w:sz="2" w:space="0"/>
                    <w:left w:val="single" w:color="000000" w:sz="2" w:space="0"/>
                    <w:bottom w:val="single" w:color="000000" w:sz="2" w:space="0"/>
                    <w:right w:val="single" w:color="000000" w:sz="2" w:space="0"/>
                  </w:tcBorders>
                  <w:vAlign w:val="center"/>
                </w:tcPr>
                <w:p w14:paraId="042AD1F5">
                  <w:pPr>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100</w:t>
                  </w:r>
                </w:p>
              </w:tc>
              <w:tc>
                <w:tcPr>
                  <w:tcW w:w="415" w:type="pct"/>
                  <w:tcBorders>
                    <w:top w:val="single" w:color="000000" w:sz="2" w:space="0"/>
                    <w:left w:val="single" w:color="000000" w:sz="2" w:space="0"/>
                    <w:bottom w:val="single" w:color="000000" w:sz="2" w:space="0"/>
                    <w:right w:val="single" w:color="000000" w:sz="2" w:space="0"/>
                  </w:tcBorders>
                  <w:vAlign w:val="center"/>
                </w:tcPr>
                <w:p w14:paraId="5B0648A4">
                  <w:pPr>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454</w:t>
                  </w:r>
                </w:p>
              </w:tc>
              <w:tc>
                <w:tcPr>
                  <w:tcW w:w="458" w:type="pct"/>
                  <w:tcBorders>
                    <w:top w:val="single" w:color="000000" w:sz="2" w:space="0"/>
                    <w:left w:val="single" w:color="000000" w:sz="2" w:space="0"/>
                    <w:bottom w:val="single" w:color="000000" w:sz="2" w:space="0"/>
                    <w:right w:val="single" w:color="000000" w:sz="2" w:space="0"/>
                  </w:tcBorders>
                  <w:vAlign w:val="center"/>
                </w:tcPr>
                <w:p w14:paraId="226FDF6E">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居民</w:t>
                  </w:r>
                </w:p>
              </w:tc>
              <w:tc>
                <w:tcPr>
                  <w:tcW w:w="529" w:type="pct"/>
                  <w:tcBorders>
                    <w:top w:val="single" w:color="000000" w:sz="2" w:space="0"/>
                    <w:left w:val="single" w:color="000000" w:sz="2" w:space="0"/>
                    <w:bottom w:val="single" w:color="000000" w:sz="2" w:space="0"/>
                    <w:right w:val="single" w:color="000000" w:sz="2" w:space="0"/>
                  </w:tcBorders>
                  <w:vAlign w:val="center"/>
                </w:tcPr>
                <w:p w14:paraId="07ACA779">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80</w:t>
                  </w:r>
                </w:p>
              </w:tc>
              <w:tc>
                <w:tcPr>
                  <w:tcW w:w="402" w:type="pct"/>
                  <w:tcBorders>
                    <w:top w:val="single" w:color="000000" w:sz="2" w:space="0"/>
                    <w:left w:val="single" w:color="000000" w:sz="2" w:space="0"/>
                    <w:bottom w:val="single" w:color="000000" w:sz="2" w:space="0"/>
                    <w:right w:val="single" w:color="000000" w:sz="2" w:space="0"/>
                  </w:tcBorders>
                  <w:vAlign w:val="center"/>
                </w:tcPr>
                <w:p w14:paraId="009D3DF9">
                  <w:pPr>
                    <w:widowControl/>
                    <w:adjustRightInd/>
                    <w:snapToGrid/>
                    <w:spacing w:line="240" w:lineRule="auto"/>
                    <w:ind w:firstLine="0" w:firstLineChars="0"/>
                    <w:jc w:val="cente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东北</w:t>
                  </w:r>
                </w:p>
              </w:tc>
              <w:tc>
                <w:tcPr>
                  <w:tcW w:w="532" w:type="pct"/>
                  <w:tcBorders>
                    <w:top w:val="single" w:color="000000" w:sz="2" w:space="0"/>
                    <w:left w:val="single" w:color="000000" w:sz="2" w:space="0"/>
                    <w:bottom w:val="single" w:color="000000" w:sz="2" w:space="0"/>
                    <w:right w:val="single" w:color="000000" w:sz="2" w:space="0"/>
                  </w:tcBorders>
                  <w:vAlign w:val="center"/>
                </w:tcPr>
                <w:p w14:paraId="4DC7C54B">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390</w:t>
                  </w:r>
                </w:p>
              </w:tc>
              <w:tc>
                <w:tcPr>
                  <w:tcW w:w="1197" w:type="pct"/>
                  <w:vMerge w:val="restart"/>
                  <w:tcBorders>
                    <w:top w:val="single" w:color="000000" w:sz="2" w:space="0"/>
                    <w:left w:val="single" w:color="000000" w:sz="2" w:space="0"/>
                    <w:right w:val="nil"/>
                  </w:tcBorders>
                  <w:vAlign w:val="center"/>
                </w:tcPr>
                <w:p w14:paraId="282FF1B7">
                  <w:pPr>
                    <w:widowControl/>
                    <w:adjustRightInd/>
                    <w:snapToGrid/>
                    <w:spacing w:line="240" w:lineRule="auto"/>
                    <w:ind w:firstLine="0" w:firstLineChars="0"/>
                    <w:jc w:val="cente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cs="Times New Roman"/>
                      <w:bCs/>
                      <w:color w:val="000000" w:themeColor="text1"/>
                      <w:sz w:val="18"/>
                      <w:szCs w:val="18"/>
                      <w:lang w:val="en-US" w:eastAsia="zh-CN"/>
                      <w14:textFill>
                        <w14:solidFill>
                          <w14:schemeClr w14:val="tx1"/>
                        </w14:solidFill>
                      </w14:textFill>
                    </w:rPr>
                    <w:t>二类区</w:t>
                  </w:r>
                </w:p>
              </w:tc>
            </w:tr>
            <w:tr w14:paraId="01251DE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55" w:type="pct"/>
                  <w:vMerge w:val="continue"/>
                  <w:tcBorders>
                    <w:left w:val="nil"/>
                    <w:bottom w:val="single" w:color="000000" w:sz="2" w:space="0"/>
                    <w:right w:val="single" w:color="000000" w:sz="2" w:space="0"/>
                  </w:tcBorders>
                  <w:vAlign w:val="center"/>
                </w:tcPr>
                <w:p w14:paraId="5F51C28D">
                  <w:pPr>
                    <w:widowControl/>
                    <w:adjustRightInd/>
                    <w:snapToGrid/>
                    <w:spacing w:line="240" w:lineRule="auto"/>
                    <w:ind w:firstLine="0" w:firstLineChars="0"/>
                    <w:jc w:val="center"/>
                    <w:rPr>
                      <w:rFonts w:hint="default" w:ascii="Times New Roman" w:hAnsi="Times New Roman" w:cs="Times New Roman"/>
                      <w:bCs/>
                      <w:color w:val="000000" w:themeColor="text1"/>
                      <w:sz w:val="18"/>
                      <w:szCs w:val="18"/>
                      <w14:textFill>
                        <w14:solidFill>
                          <w14:schemeClr w14:val="tx1"/>
                        </w14:solidFill>
                      </w14:textFill>
                    </w:rPr>
                  </w:pPr>
                </w:p>
              </w:tc>
              <w:tc>
                <w:tcPr>
                  <w:tcW w:w="522" w:type="pct"/>
                  <w:tcBorders>
                    <w:top w:val="single" w:color="000000" w:sz="2" w:space="0"/>
                    <w:left w:val="single" w:color="000000" w:sz="2" w:space="0"/>
                    <w:bottom w:val="single" w:color="000000" w:sz="2" w:space="0"/>
                    <w:right w:val="single" w:color="000000" w:sz="2" w:space="0"/>
                  </w:tcBorders>
                  <w:vAlign w:val="center"/>
                </w:tcPr>
                <w:p w14:paraId="15E294E0">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牛背村</w:t>
                  </w:r>
                </w:p>
              </w:tc>
              <w:tc>
                <w:tcPr>
                  <w:tcW w:w="387" w:type="pct"/>
                  <w:tcBorders>
                    <w:top w:val="single" w:color="000000" w:sz="2" w:space="0"/>
                    <w:left w:val="single" w:color="000000" w:sz="2" w:space="0"/>
                    <w:bottom w:val="single" w:color="000000" w:sz="2" w:space="0"/>
                    <w:right w:val="single" w:color="000000" w:sz="2" w:space="0"/>
                  </w:tcBorders>
                  <w:vAlign w:val="center"/>
                </w:tcPr>
                <w:p w14:paraId="4CE10C8D">
                  <w:pPr>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350</w:t>
                  </w:r>
                </w:p>
              </w:tc>
              <w:tc>
                <w:tcPr>
                  <w:tcW w:w="415" w:type="pct"/>
                  <w:tcBorders>
                    <w:top w:val="single" w:color="000000" w:sz="2" w:space="0"/>
                    <w:left w:val="single" w:color="000000" w:sz="2" w:space="0"/>
                    <w:bottom w:val="single" w:color="000000" w:sz="2" w:space="0"/>
                    <w:right w:val="single" w:color="000000" w:sz="2" w:space="0"/>
                  </w:tcBorders>
                  <w:vAlign w:val="center"/>
                </w:tcPr>
                <w:p w14:paraId="0B1A0196">
                  <w:pPr>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242</w:t>
                  </w:r>
                </w:p>
              </w:tc>
              <w:tc>
                <w:tcPr>
                  <w:tcW w:w="458" w:type="pct"/>
                  <w:tcBorders>
                    <w:top w:val="single" w:color="000000" w:sz="2" w:space="0"/>
                    <w:left w:val="single" w:color="000000" w:sz="2" w:space="0"/>
                    <w:bottom w:val="single" w:color="000000" w:sz="2" w:space="0"/>
                    <w:right w:val="single" w:color="000000" w:sz="2" w:space="0"/>
                  </w:tcBorders>
                  <w:vAlign w:val="center"/>
                </w:tcPr>
                <w:p w14:paraId="754A52A7">
                  <w:pPr>
                    <w:widowControl/>
                    <w:adjustRightInd/>
                    <w:snapToGrid/>
                    <w:spacing w:line="240" w:lineRule="auto"/>
                    <w:ind w:firstLine="0" w:firstLine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居民</w:t>
                  </w:r>
                </w:p>
              </w:tc>
              <w:tc>
                <w:tcPr>
                  <w:tcW w:w="529" w:type="pct"/>
                  <w:tcBorders>
                    <w:top w:val="single" w:color="000000" w:sz="2" w:space="0"/>
                    <w:left w:val="single" w:color="000000" w:sz="2" w:space="0"/>
                    <w:bottom w:val="single" w:color="000000" w:sz="2" w:space="0"/>
                    <w:right w:val="single" w:color="000000" w:sz="2" w:space="0"/>
                  </w:tcBorders>
                  <w:vAlign w:val="center"/>
                </w:tcPr>
                <w:p w14:paraId="1FE32C0B">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76</w:t>
                  </w:r>
                </w:p>
              </w:tc>
              <w:tc>
                <w:tcPr>
                  <w:tcW w:w="402" w:type="pct"/>
                  <w:tcBorders>
                    <w:top w:val="single" w:color="000000" w:sz="2" w:space="0"/>
                    <w:left w:val="single" w:color="000000" w:sz="2" w:space="0"/>
                    <w:bottom w:val="single" w:color="000000" w:sz="2" w:space="0"/>
                    <w:right w:val="single" w:color="000000" w:sz="2" w:space="0"/>
                  </w:tcBorders>
                  <w:vAlign w:val="center"/>
                </w:tcPr>
                <w:p w14:paraId="448A0B34">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东</w:t>
                  </w:r>
                  <w:r>
                    <w:rPr>
                      <w:rFonts w:hint="eastAsia" w:cs="Times New Roman"/>
                      <w:bCs/>
                      <w:color w:val="000000" w:themeColor="text1"/>
                      <w:sz w:val="18"/>
                      <w:szCs w:val="18"/>
                      <w:lang w:val="en-US" w:eastAsia="zh-CN"/>
                      <w14:textFill>
                        <w14:solidFill>
                          <w14:schemeClr w14:val="tx1"/>
                        </w14:solidFill>
                      </w14:textFill>
                    </w:rPr>
                    <w:t>北</w:t>
                  </w:r>
                </w:p>
              </w:tc>
              <w:tc>
                <w:tcPr>
                  <w:tcW w:w="532" w:type="pct"/>
                  <w:tcBorders>
                    <w:top w:val="single" w:color="000000" w:sz="2" w:space="0"/>
                    <w:left w:val="single" w:color="000000" w:sz="2" w:space="0"/>
                    <w:bottom w:val="single" w:color="000000" w:sz="2" w:space="0"/>
                    <w:right w:val="single" w:color="000000" w:sz="2" w:space="0"/>
                  </w:tcBorders>
                  <w:vAlign w:val="center"/>
                </w:tcPr>
                <w:p w14:paraId="5552687E">
                  <w:pPr>
                    <w:widowControl/>
                    <w:adjustRightInd/>
                    <w:snapToGrid/>
                    <w:spacing w:line="240" w:lineRule="auto"/>
                    <w:ind w:firstLine="0" w:firstLineChars="0"/>
                    <w:jc w:val="center"/>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350</w:t>
                  </w:r>
                </w:p>
              </w:tc>
              <w:tc>
                <w:tcPr>
                  <w:tcW w:w="1197" w:type="pct"/>
                  <w:vMerge w:val="continue"/>
                  <w:tcBorders>
                    <w:left w:val="single" w:color="000000" w:sz="2" w:space="0"/>
                    <w:bottom w:val="single" w:color="000000" w:sz="2" w:space="0"/>
                    <w:right w:val="nil"/>
                  </w:tcBorders>
                  <w:vAlign w:val="center"/>
                </w:tcPr>
                <w:p w14:paraId="6EB6F1D1">
                  <w:pPr>
                    <w:widowControl/>
                    <w:adjustRightInd/>
                    <w:snapToGrid/>
                    <w:spacing w:line="240" w:lineRule="auto"/>
                    <w:ind w:firstLine="0" w:firstLineChars="0"/>
                    <w:jc w:val="center"/>
                    <w:rPr>
                      <w:rFonts w:hint="default" w:ascii="Times New Roman" w:hAnsi="Times New Roman" w:cs="Times New Roman"/>
                      <w:bCs/>
                      <w:color w:val="000000" w:themeColor="text1"/>
                      <w:sz w:val="18"/>
                      <w:szCs w:val="18"/>
                      <w14:textFill>
                        <w14:solidFill>
                          <w14:schemeClr w14:val="tx1"/>
                        </w14:solidFill>
                      </w14:textFill>
                    </w:rPr>
                  </w:pPr>
                </w:p>
              </w:tc>
            </w:tr>
            <w:tr w14:paraId="71C7730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55" w:type="pct"/>
                  <w:tcBorders>
                    <w:top w:val="single" w:color="000000" w:sz="2" w:space="0"/>
                    <w:left w:val="nil"/>
                    <w:bottom w:val="single" w:color="000000" w:sz="2" w:space="0"/>
                    <w:right w:val="single" w:color="000000" w:sz="2" w:space="0"/>
                  </w:tcBorders>
                  <w:vAlign w:val="center"/>
                </w:tcPr>
                <w:p w14:paraId="412C1E93">
                  <w:pPr>
                    <w:adjustRightInd/>
                    <w:snapToGrid/>
                    <w:spacing w:line="240" w:lineRule="auto"/>
                    <w:ind w:firstLine="0" w:firstLineChars="0"/>
                    <w:jc w:val="center"/>
                    <w:rPr>
                      <w:rFonts w:hint="default" w:ascii="Times New Roman" w:hAnsi="Times New Roman" w:cs="Times New Roman"/>
                      <w:bCs/>
                      <w:color w:val="000000" w:themeColor="text1"/>
                      <w:spacing w:val="4"/>
                      <w:sz w:val="18"/>
                      <w:szCs w:val="18"/>
                      <w14:textFill>
                        <w14:solidFill>
                          <w14:schemeClr w14:val="tx1"/>
                        </w14:solidFill>
                      </w14:textFill>
                    </w:rPr>
                  </w:pPr>
                  <w:r>
                    <w:rPr>
                      <w:rFonts w:hint="default" w:ascii="Times New Roman" w:hAnsi="Times New Roman" w:cs="Times New Roman"/>
                      <w:bCs/>
                      <w:color w:val="000000" w:themeColor="text1"/>
                      <w:spacing w:val="4"/>
                      <w:sz w:val="18"/>
                      <w:szCs w:val="18"/>
                      <w14:textFill>
                        <w14:solidFill>
                          <w14:schemeClr w14:val="tx1"/>
                        </w14:solidFill>
                      </w14:textFill>
                    </w:rPr>
                    <w:t>地表水环境</w:t>
                  </w:r>
                </w:p>
              </w:tc>
              <w:tc>
                <w:tcPr>
                  <w:tcW w:w="522" w:type="pct"/>
                  <w:tcBorders>
                    <w:top w:val="single" w:color="000000" w:sz="2" w:space="0"/>
                    <w:left w:val="single" w:color="000000" w:sz="2" w:space="0"/>
                    <w:bottom w:val="single" w:color="000000" w:sz="2" w:space="0"/>
                    <w:right w:val="single" w:color="000000" w:sz="2" w:space="0"/>
                  </w:tcBorders>
                  <w:vAlign w:val="center"/>
                </w:tcPr>
                <w:p w14:paraId="73250866">
                  <w:pPr>
                    <w:adjustRightInd/>
                    <w:snapToGrid/>
                    <w:spacing w:line="240" w:lineRule="auto"/>
                    <w:ind w:firstLine="0" w:firstLineChars="0"/>
                    <w:jc w:val="center"/>
                    <w:rPr>
                      <w:rFonts w:hint="default" w:ascii="Times New Roman" w:hAnsi="Times New Roman" w:cs="Times New Roman"/>
                      <w:bCs/>
                      <w:color w:val="000000" w:themeColor="text1"/>
                      <w:spacing w:val="4"/>
                      <w:sz w:val="18"/>
                      <w:szCs w:val="18"/>
                      <w14:textFill>
                        <w14:solidFill>
                          <w14:schemeClr w14:val="tx1"/>
                        </w14:solidFill>
                      </w14:textFill>
                    </w:rPr>
                  </w:pPr>
                  <w:r>
                    <w:rPr>
                      <w:rFonts w:hint="default" w:ascii="Times New Roman" w:hAnsi="Times New Roman" w:cs="Times New Roman"/>
                      <w:color w:val="000000" w:themeColor="text1"/>
                      <w:spacing w:val="4"/>
                      <w:sz w:val="18"/>
                      <w:szCs w:val="18"/>
                      <w14:textFill>
                        <w14:solidFill>
                          <w14:schemeClr w14:val="tx1"/>
                        </w14:solidFill>
                      </w14:textFill>
                    </w:rPr>
                    <w:t>锦江</w:t>
                  </w:r>
                </w:p>
              </w:tc>
              <w:tc>
                <w:tcPr>
                  <w:tcW w:w="1790" w:type="pct"/>
                  <w:gridSpan w:val="4"/>
                  <w:tcBorders>
                    <w:top w:val="single" w:color="000000" w:sz="2" w:space="0"/>
                    <w:left w:val="single" w:color="000000" w:sz="2" w:space="0"/>
                    <w:bottom w:val="single" w:color="000000" w:sz="2" w:space="0"/>
                    <w:right w:val="single" w:color="000000" w:sz="2" w:space="0"/>
                  </w:tcBorders>
                  <w:vAlign w:val="center"/>
                </w:tcPr>
                <w:p w14:paraId="2A6812E4">
                  <w:pPr>
                    <w:adjustRightInd/>
                    <w:snapToGrid/>
                    <w:spacing w:line="240" w:lineRule="auto"/>
                    <w:ind w:left="-120" w:leftChars="-50" w:right="-120" w:rightChars="-50" w:firstLine="0" w:firstLineChars="0"/>
                    <w:jc w:val="center"/>
                    <w:rPr>
                      <w:rFonts w:hint="default" w:ascii="Times New Roman" w:hAnsi="Times New Roman" w:cs="Times New Roman"/>
                      <w:bCs/>
                      <w:color w:val="000000" w:themeColor="text1"/>
                      <w:spacing w:val="4"/>
                      <w:sz w:val="18"/>
                      <w:szCs w:val="18"/>
                      <w14:textFill>
                        <w14:solidFill>
                          <w14:schemeClr w14:val="tx1"/>
                        </w14:solidFill>
                      </w14:textFill>
                    </w:rPr>
                  </w:pPr>
                  <w:r>
                    <w:rPr>
                      <w:rFonts w:hint="default" w:ascii="Times New Roman" w:hAnsi="Times New Roman" w:cs="Times New Roman"/>
                      <w:bCs/>
                      <w:color w:val="000000" w:themeColor="text1"/>
                      <w:spacing w:val="4"/>
                      <w:sz w:val="18"/>
                      <w:szCs w:val="18"/>
                      <w14:textFill>
                        <w14:solidFill>
                          <w14:schemeClr w14:val="tx1"/>
                        </w14:solidFill>
                      </w14:textFill>
                    </w:rPr>
                    <w:t>/</w:t>
                  </w:r>
                </w:p>
              </w:tc>
              <w:tc>
                <w:tcPr>
                  <w:tcW w:w="402" w:type="pct"/>
                  <w:tcBorders>
                    <w:top w:val="single" w:color="000000" w:sz="2" w:space="0"/>
                    <w:left w:val="single" w:color="000000" w:sz="2" w:space="0"/>
                    <w:bottom w:val="single" w:color="000000" w:sz="2" w:space="0"/>
                    <w:right w:val="single" w:color="000000" w:sz="2" w:space="0"/>
                  </w:tcBorders>
                  <w:vAlign w:val="center"/>
                </w:tcPr>
                <w:p w14:paraId="09476760">
                  <w:pPr>
                    <w:adjustRightInd/>
                    <w:snapToGrid/>
                    <w:spacing w:line="240" w:lineRule="auto"/>
                    <w:ind w:firstLine="0" w:firstLineChars="0"/>
                    <w:jc w:val="center"/>
                    <w:rPr>
                      <w:rFonts w:hint="eastAsia" w:ascii="Times New Roman" w:hAnsi="Times New Roman" w:eastAsia="宋体" w:cs="Times New Roman"/>
                      <w:bCs/>
                      <w:color w:val="000000" w:themeColor="text1"/>
                      <w:spacing w:val="4"/>
                      <w:sz w:val="18"/>
                      <w:szCs w:val="18"/>
                      <w:lang w:eastAsia="zh-CN"/>
                      <w14:textFill>
                        <w14:solidFill>
                          <w14:schemeClr w14:val="tx1"/>
                        </w14:solidFill>
                      </w14:textFill>
                    </w:rPr>
                  </w:pPr>
                  <w:r>
                    <w:rPr>
                      <w:rFonts w:hint="eastAsia" w:ascii="Times New Roman" w:hAnsi="Times New Roman" w:cs="Times New Roman"/>
                      <w:bCs/>
                      <w:color w:val="000000" w:themeColor="text1"/>
                      <w:spacing w:val="4"/>
                      <w:sz w:val="18"/>
                      <w:szCs w:val="18"/>
                      <w:lang w:val="en-US" w:eastAsia="zh-CN"/>
                      <w14:textFill>
                        <w14:solidFill>
                          <w14:schemeClr w14:val="tx1"/>
                        </w14:solidFill>
                      </w14:textFill>
                    </w:rPr>
                    <w:t>南</w:t>
                  </w:r>
                </w:p>
              </w:tc>
              <w:tc>
                <w:tcPr>
                  <w:tcW w:w="532" w:type="pct"/>
                  <w:tcBorders>
                    <w:top w:val="single" w:color="000000" w:sz="2" w:space="0"/>
                    <w:left w:val="single" w:color="000000" w:sz="2" w:space="0"/>
                    <w:bottom w:val="single" w:color="000000" w:sz="2" w:space="0"/>
                    <w:right w:val="single" w:color="000000" w:sz="2" w:space="0"/>
                  </w:tcBorders>
                  <w:vAlign w:val="center"/>
                </w:tcPr>
                <w:p w14:paraId="3FCE5E9E">
                  <w:pPr>
                    <w:adjustRightInd/>
                    <w:snapToGrid/>
                    <w:spacing w:line="240" w:lineRule="auto"/>
                    <w:ind w:firstLine="0" w:firstLineChars="0"/>
                    <w:jc w:val="center"/>
                    <w:rPr>
                      <w:rFonts w:hint="default" w:ascii="Times New Roman" w:hAnsi="Times New Roman" w:cs="Times New Roman"/>
                      <w:bCs/>
                      <w:color w:val="000000" w:themeColor="text1"/>
                      <w:spacing w:val="4"/>
                      <w:sz w:val="18"/>
                      <w:szCs w:val="18"/>
                      <w14:textFill>
                        <w14:solidFill>
                          <w14:schemeClr w14:val="tx1"/>
                        </w14:solidFill>
                      </w14:textFill>
                    </w:rPr>
                  </w:pPr>
                  <w:r>
                    <w:rPr>
                      <w:rFonts w:hint="default" w:ascii="Times New Roman" w:hAnsi="Times New Roman" w:cs="Times New Roman"/>
                      <w:bCs/>
                      <w:color w:val="000000" w:themeColor="text1"/>
                      <w:spacing w:val="4"/>
                      <w:sz w:val="18"/>
                      <w:szCs w:val="18"/>
                      <w14:textFill>
                        <w14:solidFill>
                          <w14:schemeClr w14:val="tx1"/>
                        </w14:solidFill>
                      </w14:textFill>
                    </w:rPr>
                    <w:t>2370</w:t>
                  </w:r>
                </w:p>
              </w:tc>
              <w:tc>
                <w:tcPr>
                  <w:tcW w:w="1197" w:type="pct"/>
                  <w:tcBorders>
                    <w:top w:val="single" w:color="000000" w:sz="2" w:space="0"/>
                    <w:left w:val="single" w:color="000000" w:sz="2" w:space="0"/>
                    <w:bottom w:val="single" w:color="000000" w:sz="2" w:space="0"/>
                    <w:right w:val="nil"/>
                  </w:tcBorders>
                  <w:vAlign w:val="center"/>
                </w:tcPr>
                <w:p w14:paraId="2F963C41">
                  <w:pPr>
                    <w:adjustRightInd/>
                    <w:snapToGrid/>
                    <w:spacing w:line="240" w:lineRule="auto"/>
                    <w:ind w:firstLine="0" w:firstLineChars="0"/>
                    <w:jc w:val="center"/>
                    <w:rPr>
                      <w:rFonts w:hint="default" w:ascii="Times New Roman" w:hAnsi="Times New Roman" w:cs="Times New Roman"/>
                      <w:bCs/>
                      <w:color w:val="000000" w:themeColor="text1"/>
                      <w:spacing w:val="4"/>
                      <w:sz w:val="18"/>
                      <w:szCs w:val="18"/>
                      <w14:textFill>
                        <w14:solidFill>
                          <w14:schemeClr w14:val="tx1"/>
                        </w14:solidFill>
                      </w14:textFill>
                    </w:rPr>
                  </w:pPr>
                  <w:r>
                    <w:rPr>
                      <w:rFonts w:hint="default" w:ascii="Times New Roman" w:hAnsi="Times New Roman" w:cs="Times New Roman"/>
                      <w:color w:val="000000" w:themeColor="text1"/>
                      <w:spacing w:val="4"/>
                      <w:sz w:val="18"/>
                      <w:szCs w:val="18"/>
                      <w14:textFill>
                        <w14:solidFill>
                          <w14:schemeClr w14:val="tx1"/>
                        </w14:solidFill>
                      </w14:textFill>
                    </w:rPr>
                    <w:t>《地表水环境质量标准》（GB3838-2002）中Ⅲ类标准</w:t>
                  </w:r>
                </w:p>
              </w:tc>
            </w:tr>
            <w:tr w14:paraId="5A32392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55" w:type="pct"/>
                  <w:tcBorders>
                    <w:top w:val="single" w:color="000000" w:sz="2" w:space="0"/>
                    <w:left w:val="nil"/>
                    <w:bottom w:val="single" w:color="000000" w:sz="2" w:space="0"/>
                    <w:right w:val="single" w:color="000000" w:sz="2" w:space="0"/>
                  </w:tcBorders>
                  <w:vAlign w:val="center"/>
                </w:tcPr>
                <w:p w14:paraId="6EB70CB5">
                  <w:pPr>
                    <w:adjustRightInd/>
                    <w:snapToGrid/>
                    <w:spacing w:line="240" w:lineRule="auto"/>
                    <w:ind w:firstLine="0" w:firstLine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声环境</w:t>
                  </w:r>
                </w:p>
              </w:tc>
              <w:tc>
                <w:tcPr>
                  <w:tcW w:w="4444" w:type="pct"/>
                  <w:gridSpan w:val="8"/>
                  <w:tcBorders>
                    <w:top w:val="single" w:color="000000" w:sz="2" w:space="0"/>
                    <w:left w:val="single" w:color="000000" w:sz="2" w:space="0"/>
                    <w:bottom w:val="single" w:color="000000" w:sz="2" w:space="0"/>
                    <w:right w:val="nil"/>
                  </w:tcBorders>
                  <w:vAlign w:val="center"/>
                </w:tcPr>
                <w:p w14:paraId="2FBC6C0A">
                  <w:pPr>
                    <w:adjustRightInd/>
                    <w:snapToGrid/>
                    <w:spacing w:line="240" w:lineRule="auto"/>
                    <w:ind w:firstLine="0" w:firstLine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项目厂界外50米范围内无声环境保护目标</w:t>
                  </w:r>
                </w:p>
              </w:tc>
            </w:tr>
            <w:tr w14:paraId="5379F6BF">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55" w:type="pct"/>
                  <w:tcBorders>
                    <w:top w:val="single" w:color="000000" w:sz="2" w:space="0"/>
                    <w:left w:val="nil"/>
                    <w:bottom w:val="single" w:color="000000" w:sz="2" w:space="0"/>
                    <w:right w:val="single" w:color="000000" w:sz="2" w:space="0"/>
                  </w:tcBorders>
                  <w:vAlign w:val="center"/>
                </w:tcPr>
                <w:p w14:paraId="25E84261">
                  <w:pPr>
                    <w:adjustRightInd/>
                    <w:snapToGrid/>
                    <w:spacing w:line="240" w:lineRule="auto"/>
                    <w:ind w:firstLine="0" w:firstLineChars="0"/>
                    <w:jc w:val="center"/>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bCs/>
                      <w:color w:val="000000" w:themeColor="text1"/>
                      <w:sz w:val="18"/>
                      <w:szCs w:val="18"/>
                      <w14:textFill>
                        <w14:solidFill>
                          <w14:schemeClr w14:val="tx1"/>
                        </w14:solidFill>
                      </w14:textFill>
                    </w:rPr>
                    <w:t>生态环境</w:t>
                  </w:r>
                </w:p>
              </w:tc>
              <w:tc>
                <w:tcPr>
                  <w:tcW w:w="4444" w:type="pct"/>
                  <w:gridSpan w:val="8"/>
                  <w:tcBorders>
                    <w:top w:val="single" w:color="000000" w:sz="2" w:space="0"/>
                    <w:left w:val="single" w:color="000000" w:sz="2" w:space="0"/>
                    <w:bottom w:val="single" w:color="000000" w:sz="2" w:space="0"/>
                    <w:right w:val="nil"/>
                  </w:tcBorders>
                  <w:vAlign w:val="center"/>
                </w:tcPr>
                <w:p w14:paraId="3B2F54F3">
                  <w:pPr>
                    <w:adjustRightInd/>
                    <w:snapToGrid/>
                    <w:spacing w:line="240" w:lineRule="auto"/>
                    <w:ind w:firstLine="0" w:firstLineChars="0"/>
                    <w:jc w:val="left"/>
                    <w:rPr>
                      <w:rFonts w:hint="default" w:ascii="Times New Roman" w:hAnsi="Times New Roman" w:cs="Times New Roman"/>
                      <w:bCs/>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本项目位于</w:t>
                  </w:r>
                  <w:r>
                    <w:rPr>
                      <w:rFonts w:hint="eastAsia" w:ascii="Times New Roman" w:hAnsi="Times New Roman" w:cs="Times New Roman"/>
                      <w:color w:val="000000" w:themeColor="text1"/>
                      <w:sz w:val="18"/>
                      <w:szCs w:val="18"/>
                      <w:lang w:val="en-US" w:eastAsia="zh-CN"/>
                      <w14:textFill>
                        <w14:solidFill>
                          <w14:schemeClr w14:val="tx1"/>
                        </w14:solidFill>
                      </w14:textFill>
                    </w:rPr>
                    <w:t>江西高安高新技术产业园区新世纪产业园</w:t>
                  </w:r>
                  <w:r>
                    <w:rPr>
                      <w:rFonts w:hint="default" w:ascii="Times New Roman" w:hAnsi="Times New Roman" w:cs="Times New Roman"/>
                      <w:color w:val="000000" w:themeColor="text1"/>
                      <w:sz w:val="18"/>
                      <w:szCs w:val="18"/>
                      <w14:textFill>
                        <w14:solidFill>
                          <w14:schemeClr w14:val="tx1"/>
                        </w14:solidFill>
                      </w14:textFill>
                    </w:rPr>
                    <w:t>，用地范围内不涉及生态环境保护目标。</w:t>
                  </w:r>
                </w:p>
              </w:tc>
            </w:tr>
            <w:tr w14:paraId="4695B08F">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5000" w:type="pct"/>
                  <w:gridSpan w:val="9"/>
                  <w:tcBorders>
                    <w:top w:val="single" w:color="000000" w:sz="2" w:space="0"/>
                    <w:left w:val="nil"/>
                    <w:bottom w:val="single" w:color="000000" w:sz="2" w:space="0"/>
                    <w:right w:val="nil"/>
                  </w:tcBorders>
                  <w:vAlign w:val="center"/>
                </w:tcPr>
                <w:p w14:paraId="1890C4BB">
                  <w:pPr>
                    <w:adjustRightInd/>
                    <w:snapToGrid/>
                    <w:spacing w:line="240" w:lineRule="auto"/>
                    <w:ind w:firstLine="0" w:firstLineChars="0"/>
                    <w:jc w:val="left"/>
                    <w:rPr>
                      <w:rFonts w:hint="default" w:ascii="Times New Roman" w:hAnsi="Times New Roman" w:eastAsia="宋体" w:cs="Times New Roman"/>
                      <w:color w:val="000000" w:themeColor="text1"/>
                      <w:sz w:val="18"/>
                      <w:szCs w:val="18"/>
                      <w:lang w:val="en-US" w:eastAsia="zh-CN"/>
                      <w14:textFill>
                        <w14:solidFill>
                          <w14:schemeClr w14:val="tx1"/>
                        </w14:solidFill>
                      </w14:textFill>
                    </w:rPr>
                  </w:pPr>
                  <w:r>
                    <w:rPr>
                      <w:rFonts w:hint="default" w:ascii="Times New Roman" w:hAnsi="Times New Roman" w:cs="Times New Roman"/>
                      <w:color w:val="000000" w:themeColor="text1"/>
                      <w:sz w:val="18"/>
                      <w:szCs w:val="18"/>
                      <w:lang w:val="en-US" w:eastAsia="zh-CN"/>
                      <w14:textFill>
                        <w14:solidFill>
                          <w14:schemeClr w14:val="tx1"/>
                        </w14:solidFill>
                      </w14:textFill>
                    </w:rPr>
                    <w:t>*坐标原点为厂址中心坐标东经</w:t>
                  </w:r>
                  <w:r>
                    <w:rPr>
                      <w:rFonts w:hint="default" w:ascii="Times New Roman" w:hAnsi="Times New Roman" w:cs="Times New Roman"/>
                      <w:color w:val="000000" w:themeColor="text1"/>
                      <w:sz w:val="18"/>
                      <w:szCs w:val="18"/>
                      <w14:textFill>
                        <w14:solidFill>
                          <w14:schemeClr w14:val="tx1"/>
                        </w14:solidFill>
                      </w14:textFill>
                    </w:rPr>
                    <w:t>115°27'1</w:t>
                  </w:r>
                  <w:r>
                    <w:rPr>
                      <w:rFonts w:hint="default" w:ascii="Times New Roman" w:hAnsi="Times New Roman" w:cs="Times New Roman"/>
                      <w:color w:val="000000" w:themeColor="text1"/>
                      <w:sz w:val="18"/>
                      <w:szCs w:val="18"/>
                      <w:lang w:val="en-US" w:eastAsia="zh-CN"/>
                      <w14:textFill>
                        <w14:solidFill>
                          <w14:schemeClr w14:val="tx1"/>
                        </w14:solidFill>
                      </w14:textFill>
                    </w:rPr>
                    <w:t>7.164</w:t>
                  </w:r>
                  <w:r>
                    <w:rPr>
                      <w:rFonts w:hint="default" w:ascii="Times New Roman" w:hAnsi="Times New Roman" w:cs="Times New Roman"/>
                      <w:color w:val="000000" w:themeColor="text1"/>
                      <w:sz w:val="18"/>
                      <w:szCs w:val="18"/>
                      <w14:textFill>
                        <w14:solidFill>
                          <w14:schemeClr w14:val="tx1"/>
                        </w14:solidFill>
                      </w14:textFill>
                    </w:rPr>
                    <w:t>"，</w:t>
                  </w:r>
                  <w:r>
                    <w:rPr>
                      <w:rFonts w:hint="default" w:ascii="Times New Roman" w:hAnsi="Times New Roman" w:cs="Times New Roman"/>
                      <w:color w:val="000000" w:themeColor="text1"/>
                      <w:sz w:val="18"/>
                      <w:szCs w:val="18"/>
                      <w:lang w:val="en-US" w:eastAsia="zh-CN"/>
                      <w14:textFill>
                        <w14:solidFill>
                          <w14:schemeClr w14:val="tx1"/>
                        </w14:solidFill>
                      </w14:textFill>
                    </w:rPr>
                    <w:t>北纬</w:t>
                  </w:r>
                  <w:r>
                    <w:rPr>
                      <w:rFonts w:hint="default" w:ascii="Times New Roman" w:hAnsi="Times New Roman" w:cs="Times New Roman"/>
                      <w:color w:val="000000" w:themeColor="text1"/>
                      <w:sz w:val="18"/>
                      <w:szCs w:val="18"/>
                      <w14:textFill>
                        <w14:solidFill>
                          <w14:schemeClr w14:val="tx1"/>
                        </w14:solidFill>
                      </w14:textFill>
                    </w:rPr>
                    <w:t>28°28'</w:t>
                  </w:r>
                  <w:r>
                    <w:rPr>
                      <w:rFonts w:hint="default" w:ascii="Times New Roman" w:hAnsi="Times New Roman" w:cs="Times New Roman"/>
                      <w:color w:val="000000" w:themeColor="text1"/>
                      <w:sz w:val="18"/>
                      <w:szCs w:val="18"/>
                      <w:lang w:val="en-US" w:eastAsia="zh-CN"/>
                      <w14:textFill>
                        <w14:solidFill>
                          <w14:schemeClr w14:val="tx1"/>
                        </w14:solidFill>
                      </w14:textFill>
                    </w:rPr>
                    <w:t>0.290</w:t>
                  </w:r>
                  <w:r>
                    <w:rPr>
                      <w:rFonts w:hint="default" w:ascii="Times New Roman" w:hAnsi="Times New Roman" w:cs="Times New Roman"/>
                      <w:color w:val="000000" w:themeColor="text1"/>
                      <w:sz w:val="18"/>
                      <w:szCs w:val="18"/>
                      <w14:textFill>
                        <w14:solidFill>
                          <w14:schemeClr w14:val="tx1"/>
                        </w14:solidFill>
                      </w14:textFill>
                    </w:rPr>
                    <w:t>"</w:t>
                  </w:r>
                  <w:r>
                    <w:rPr>
                      <w:rFonts w:hint="default" w:ascii="Times New Roman" w:hAnsi="Times New Roman" w:cs="Times New Roman"/>
                      <w:color w:val="000000" w:themeColor="text1"/>
                      <w:sz w:val="18"/>
                      <w:szCs w:val="18"/>
                      <w:lang w:eastAsia="zh-CN"/>
                      <w14:textFill>
                        <w14:solidFill>
                          <w14:schemeClr w14:val="tx1"/>
                        </w14:solidFill>
                      </w14:textFill>
                    </w:rPr>
                    <w:t>，</w:t>
                  </w:r>
                </w:p>
              </w:tc>
            </w:tr>
          </w:tbl>
          <w:p w14:paraId="2C113490">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63F3CDDB">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617BB4A0">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597C428D">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3F70D54B">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15CEBFDF">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1E72E2DF">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69E3B6B4">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69B3FC1D">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20077AF1">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10A174FF">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1E7E3D94">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7A4AF0C9">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393C01AE">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2D232B1B">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5C136441">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3FCC73E2">
            <w:pPr>
              <w:adjustRightInd/>
              <w:snapToGrid/>
              <w:spacing w:line="240" w:lineRule="auto"/>
              <w:ind w:left="0" w:leftChars="0" w:firstLine="0" w:firstLineChars="0"/>
              <w:jc w:val="center"/>
              <w:rPr>
                <w:color w:val="000000" w:themeColor="text1"/>
                <w:sz w:val="21"/>
                <w:szCs w:val="21"/>
                <w14:textFill>
                  <w14:solidFill>
                    <w14:schemeClr w14:val="tx1"/>
                  </w14:solidFill>
                </w14:textFill>
              </w:rPr>
            </w:pPr>
          </w:p>
          <w:p w14:paraId="0A350129">
            <w:pPr>
              <w:adjustRightInd/>
              <w:snapToGrid/>
              <w:spacing w:line="240" w:lineRule="auto"/>
              <w:ind w:firstLine="480" w:firstLineChars="0"/>
              <w:rPr>
                <w:color w:val="000000" w:themeColor="text1"/>
                <w:sz w:val="21"/>
                <w:szCs w:val="21"/>
                <w14:textFill>
                  <w14:solidFill>
                    <w14:schemeClr w14:val="tx1"/>
                  </w14:solidFill>
                </w14:textFill>
              </w:rPr>
            </w:pPr>
          </w:p>
        </w:tc>
      </w:tr>
      <w:tr w14:paraId="3C8CC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7" w:type="dxa"/>
            <w:tcBorders>
              <w:tl2br w:val="nil"/>
              <w:tr2bl w:val="nil"/>
            </w:tcBorders>
            <w:tcMar>
              <w:left w:w="28" w:type="dxa"/>
              <w:right w:w="28" w:type="dxa"/>
            </w:tcMar>
            <w:vAlign w:val="center"/>
          </w:tcPr>
          <w:p w14:paraId="55DCCAB9">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污染</w:t>
            </w:r>
          </w:p>
          <w:p w14:paraId="125A0622">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物排</w:t>
            </w:r>
          </w:p>
          <w:p w14:paraId="22AA018C">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放控</w:t>
            </w:r>
          </w:p>
          <w:p w14:paraId="6F0A1E5D">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制标</w:t>
            </w:r>
          </w:p>
          <w:p w14:paraId="723BD310">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准</w:t>
            </w:r>
          </w:p>
        </w:tc>
        <w:tc>
          <w:tcPr>
            <w:tcW w:w="8559" w:type="dxa"/>
            <w:tcBorders>
              <w:tl2br w:val="nil"/>
              <w:tr2bl w:val="nil"/>
            </w:tcBorders>
            <w:vAlign w:val="center"/>
          </w:tcPr>
          <w:p w14:paraId="7C1D019F">
            <w:pPr>
              <w:pStyle w:val="94"/>
              <w:numPr>
                <w:ilvl w:val="0"/>
                <w:numId w:val="20"/>
              </w:numPr>
              <w:ind w:firstLineChars="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废水排放标准</w:t>
            </w:r>
          </w:p>
          <w:p w14:paraId="59232A19">
            <w:pPr>
              <w:ind w:firstLine="480"/>
              <w:rPr>
                <w:rFonts w:hint="eastAsia"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项目无生产废水产生，生活污水经化粪池处理后由园区污水管网排入高安市工业园污水处理厂（新世纪产业园污水处理厂）处理，尾水排入锦江。项目废水排放执行入高安市工业园污水处理厂接管标准，高安市工业园污水处理厂尾水排放执行《</w:t>
            </w:r>
            <w:r>
              <w:rPr>
                <w:rFonts w:hint="eastAsia"/>
                <w:bCs/>
                <w:color w:val="000000" w:themeColor="text1"/>
                <w14:textFill>
                  <w14:solidFill>
                    <w14:schemeClr w14:val="tx1"/>
                  </w14:solidFill>
                </w14:textFill>
              </w:rPr>
              <w:t>城镇污水处理厂污染物排放标准》(GB18918-2002)一级A标准</w:t>
            </w:r>
            <w:r>
              <w:rPr>
                <w:rFonts w:hint="eastAsia"/>
                <w:bCs/>
                <w:color w:val="000000" w:themeColor="text1"/>
                <w:lang w:eastAsia="zh-CN"/>
                <w14:textFill>
                  <w14:solidFill>
                    <w14:schemeClr w14:val="tx1"/>
                  </w14:solidFill>
                </w14:textFill>
              </w:rPr>
              <w:t>。</w:t>
            </w:r>
          </w:p>
          <w:p w14:paraId="0B6FB995">
            <w:pPr>
              <w:pStyle w:val="57"/>
              <w:numPr>
                <w:ilvl w:val="3"/>
                <w:numId w:val="19"/>
              </w:numP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废水</w:t>
            </w:r>
            <w:r>
              <w:rPr>
                <w:color w:val="000000" w:themeColor="text1"/>
                <w:lang w:eastAsia="zh-CN"/>
                <w14:textFill>
                  <w14:solidFill>
                    <w14:schemeClr w14:val="tx1"/>
                  </w14:solidFill>
                </w14:textFill>
              </w:rPr>
              <w:t>污染物排放标准</w:t>
            </w:r>
            <w:r>
              <w:rPr>
                <w:rFonts w:hint="eastAsia"/>
                <w:color w:val="000000" w:themeColor="text1"/>
                <w:lang w:eastAsia="zh-CN"/>
                <w14:textFill>
                  <w14:solidFill>
                    <w14:schemeClr w14:val="tx1"/>
                  </w14:solidFill>
                </w14:textFill>
              </w:rPr>
              <w:t xml:space="preserve">  单位：mg/L</w:t>
            </w:r>
          </w:p>
          <w:tbl>
            <w:tblPr>
              <w:tblStyle w:val="144"/>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3374"/>
              <w:gridCol w:w="751"/>
              <w:gridCol w:w="839"/>
              <w:gridCol w:w="841"/>
              <w:gridCol w:w="690"/>
              <w:gridCol w:w="675"/>
              <w:gridCol w:w="521"/>
              <w:gridCol w:w="679"/>
            </w:tblGrid>
            <w:tr w14:paraId="2B7A83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2014" w:type="pct"/>
                  <w:tcBorders>
                    <w:tl2br w:val="nil"/>
                    <w:tr2bl w:val="nil"/>
                  </w:tcBorders>
                  <w:vAlign w:val="center"/>
                </w:tcPr>
                <w:p w14:paraId="582F47B1">
                  <w:pPr>
                    <w:pStyle w:val="83"/>
                    <w:tabs>
                      <w:tab w:val="left" w:pos="420"/>
                    </w:tabs>
                    <w:rPr>
                      <w:b/>
                      <w:bCs/>
                      <w:color w:val="000000" w:themeColor="text1"/>
                      <w14:textFill>
                        <w14:solidFill>
                          <w14:schemeClr w14:val="tx1"/>
                        </w14:solidFill>
                      </w14:textFill>
                    </w:rPr>
                  </w:pPr>
                  <w:r>
                    <w:rPr>
                      <w:b/>
                      <w:bCs/>
                      <w:color w:val="000000" w:themeColor="text1"/>
                      <w14:textFill>
                        <w14:solidFill>
                          <w14:schemeClr w14:val="tx1"/>
                        </w14:solidFill>
                      </w14:textFill>
                    </w:rPr>
                    <w:t>项目</w:t>
                  </w:r>
                </w:p>
              </w:tc>
              <w:tc>
                <w:tcPr>
                  <w:tcW w:w="448" w:type="pct"/>
                  <w:tcBorders>
                    <w:tl2br w:val="nil"/>
                    <w:tr2bl w:val="nil"/>
                  </w:tcBorders>
                  <w:vAlign w:val="center"/>
                </w:tcPr>
                <w:p w14:paraId="28DE44D8">
                  <w:pPr>
                    <w:pStyle w:val="83"/>
                    <w:tabs>
                      <w:tab w:val="left" w:pos="420"/>
                    </w:tabs>
                    <w:rPr>
                      <w:b/>
                      <w:bCs/>
                      <w:color w:val="000000" w:themeColor="text1"/>
                      <w14:textFill>
                        <w14:solidFill>
                          <w14:schemeClr w14:val="tx1"/>
                        </w14:solidFill>
                      </w14:textFill>
                    </w:rPr>
                  </w:pPr>
                  <w:r>
                    <w:rPr>
                      <w:b/>
                      <w:bCs/>
                      <w:color w:val="000000" w:themeColor="text1"/>
                      <w14:textFill>
                        <w14:solidFill>
                          <w14:schemeClr w14:val="tx1"/>
                        </w14:solidFill>
                      </w14:textFill>
                    </w:rPr>
                    <w:t>pH</w:t>
                  </w:r>
                </w:p>
              </w:tc>
              <w:tc>
                <w:tcPr>
                  <w:tcW w:w="501" w:type="pct"/>
                  <w:tcBorders>
                    <w:tl2br w:val="nil"/>
                    <w:tr2bl w:val="nil"/>
                  </w:tcBorders>
                  <w:vAlign w:val="center"/>
                </w:tcPr>
                <w:p w14:paraId="7203C963">
                  <w:pPr>
                    <w:pStyle w:val="83"/>
                    <w:tabs>
                      <w:tab w:val="left" w:pos="420"/>
                    </w:tabs>
                    <w:rPr>
                      <w:b/>
                      <w:bCs/>
                      <w:color w:val="000000" w:themeColor="text1"/>
                      <w14:textFill>
                        <w14:solidFill>
                          <w14:schemeClr w14:val="tx1"/>
                        </w14:solidFill>
                      </w14:textFill>
                    </w:rPr>
                  </w:pPr>
                  <w:r>
                    <w:rPr>
                      <w:b/>
                      <w:bCs/>
                      <w:color w:val="000000" w:themeColor="text1"/>
                      <w14:textFill>
                        <w14:solidFill>
                          <w14:schemeClr w14:val="tx1"/>
                        </w14:solidFill>
                      </w14:textFill>
                    </w:rPr>
                    <w:t>CODcr</w:t>
                  </w:r>
                </w:p>
              </w:tc>
              <w:tc>
                <w:tcPr>
                  <w:tcW w:w="502" w:type="pct"/>
                  <w:tcBorders>
                    <w:tl2br w:val="nil"/>
                    <w:tr2bl w:val="nil"/>
                  </w:tcBorders>
                  <w:vAlign w:val="center"/>
                </w:tcPr>
                <w:p w14:paraId="1651E0A4">
                  <w:pPr>
                    <w:pStyle w:val="83"/>
                    <w:tabs>
                      <w:tab w:val="left" w:pos="420"/>
                    </w:tabs>
                    <w:rPr>
                      <w:b/>
                      <w:bCs/>
                      <w:color w:val="000000" w:themeColor="text1"/>
                      <w14:textFill>
                        <w14:solidFill>
                          <w14:schemeClr w14:val="tx1"/>
                        </w14:solidFill>
                      </w14:textFill>
                    </w:rPr>
                  </w:pPr>
                  <w:r>
                    <w:rPr>
                      <w:b/>
                      <w:bCs/>
                      <w:color w:val="000000" w:themeColor="text1"/>
                      <w14:textFill>
                        <w14:solidFill>
                          <w14:schemeClr w14:val="tx1"/>
                        </w14:solidFill>
                      </w14:textFill>
                    </w:rPr>
                    <w:t>BOD</w:t>
                  </w:r>
                  <w:r>
                    <w:rPr>
                      <w:b/>
                      <w:bCs/>
                      <w:color w:val="000000" w:themeColor="text1"/>
                      <w:vertAlign w:val="subscript"/>
                      <w14:textFill>
                        <w14:solidFill>
                          <w14:schemeClr w14:val="tx1"/>
                        </w14:solidFill>
                      </w14:textFill>
                    </w:rPr>
                    <w:t>5</w:t>
                  </w:r>
                </w:p>
              </w:tc>
              <w:tc>
                <w:tcPr>
                  <w:tcW w:w="412" w:type="pct"/>
                  <w:tcBorders>
                    <w:tl2br w:val="nil"/>
                    <w:tr2bl w:val="nil"/>
                  </w:tcBorders>
                  <w:vAlign w:val="center"/>
                </w:tcPr>
                <w:p w14:paraId="5E23A8DA">
                  <w:pPr>
                    <w:pStyle w:val="83"/>
                    <w:tabs>
                      <w:tab w:val="left" w:pos="420"/>
                    </w:tabs>
                    <w:rPr>
                      <w:b/>
                      <w:bCs/>
                      <w:color w:val="000000" w:themeColor="text1"/>
                      <w14:textFill>
                        <w14:solidFill>
                          <w14:schemeClr w14:val="tx1"/>
                        </w14:solidFill>
                      </w14:textFill>
                    </w:rPr>
                  </w:pPr>
                  <w:r>
                    <w:rPr>
                      <w:b/>
                      <w:bCs/>
                      <w:color w:val="000000" w:themeColor="text1"/>
                      <w14:textFill>
                        <w14:solidFill>
                          <w14:schemeClr w14:val="tx1"/>
                        </w14:solidFill>
                      </w14:textFill>
                    </w:rPr>
                    <w:t>SS</w:t>
                  </w:r>
                </w:p>
              </w:tc>
              <w:tc>
                <w:tcPr>
                  <w:tcW w:w="403" w:type="pct"/>
                  <w:tcBorders>
                    <w:right w:val="single" w:color="auto" w:sz="4" w:space="0"/>
                    <w:tl2br w:val="nil"/>
                    <w:tr2bl w:val="nil"/>
                  </w:tcBorders>
                  <w:vAlign w:val="center"/>
                </w:tcPr>
                <w:p w14:paraId="191192A8">
                  <w:pPr>
                    <w:pStyle w:val="83"/>
                    <w:tabs>
                      <w:tab w:val="left" w:pos="420"/>
                    </w:tabs>
                    <w:rPr>
                      <w:b/>
                      <w:bCs/>
                      <w:color w:val="000000" w:themeColor="text1"/>
                      <w14:textFill>
                        <w14:solidFill>
                          <w14:schemeClr w14:val="tx1"/>
                        </w14:solidFill>
                      </w14:textFill>
                    </w:rPr>
                  </w:pPr>
                  <w:r>
                    <w:rPr>
                      <w:b/>
                      <w:bCs/>
                      <w:color w:val="000000" w:themeColor="text1"/>
                      <w14:textFill>
                        <w14:solidFill>
                          <w14:schemeClr w14:val="tx1"/>
                        </w14:solidFill>
                      </w14:textFill>
                    </w:rPr>
                    <w:t>氨氮</w:t>
                  </w:r>
                </w:p>
              </w:tc>
              <w:tc>
                <w:tcPr>
                  <w:tcW w:w="311" w:type="pct"/>
                  <w:tcBorders>
                    <w:left w:val="single" w:color="auto" w:sz="4" w:space="0"/>
                    <w:tl2br w:val="nil"/>
                    <w:tr2bl w:val="nil"/>
                  </w:tcBorders>
                  <w:vAlign w:val="center"/>
                </w:tcPr>
                <w:p w14:paraId="16F76748">
                  <w:pPr>
                    <w:pStyle w:val="83"/>
                    <w:tabs>
                      <w:tab w:val="left" w:pos="420"/>
                    </w:tabs>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总磷</w:t>
                  </w:r>
                </w:p>
              </w:tc>
              <w:tc>
                <w:tcPr>
                  <w:tcW w:w="405" w:type="pct"/>
                  <w:tcBorders>
                    <w:tl2br w:val="nil"/>
                    <w:tr2bl w:val="nil"/>
                  </w:tcBorders>
                  <w:vAlign w:val="center"/>
                </w:tcPr>
                <w:p w14:paraId="0A801D84">
                  <w:pPr>
                    <w:pStyle w:val="83"/>
                    <w:tabs>
                      <w:tab w:val="left" w:pos="420"/>
                    </w:tabs>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动植</w:t>
                  </w:r>
                </w:p>
                <w:p w14:paraId="2F13F3BE">
                  <w:pPr>
                    <w:pStyle w:val="83"/>
                    <w:tabs>
                      <w:tab w:val="left" w:pos="420"/>
                    </w:tabs>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物油</w:t>
                  </w:r>
                </w:p>
              </w:tc>
            </w:tr>
            <w:tr w14:paraId="04E072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2014" w:type="pct"/>
                  <w:tcBorders>
                    <w:tl2br w:val="nil"/>
                    <w:tr2bl w:val="nil"/>
                  </w:tcBorders>
                  <w:vAlign w:val="center"/>
                </w:tcPr>
                <w:p w14:paraId="16262AB9">
                  <w:pPr>
                    <w:pStyle w:val="83"/>
                    <w:tabs>
                      <w:tab w:val="left" w:pos="420"/>
                    </w:tabs>
                    <w:rPr>
                      <w:color w:val="000000" w:themeColor="text1"/>
                      <w14:textFill>
                        <w14:solidFill>
                          <w14:schemeClr w14:val="tx1"/>
                        </w14:solidFill>
                      </w14:textFill>
                    </w:rPr>
                  </w:pPr>
                  <w:bookmarkStart w:id="27" w:name="OLE_LINK16"/>
                  <w:r>
                    <w:rPr>
                      <w:rFonts w:hint="eastAsia" w:hAnsi="宋体"/>
                      <w:color w:val="000000" w:themeColor="text1"/>
                      <w:spacing w:val="-5"/>
                      <w:lang w:val="en-US" w:eastAsia="zh-CN"/>
                      <w14:textFill>
                        <w14:solidFill>
                          <w14:schemeClr w14:val="tx1"/>
                        </w14:solidFill>
                      </w14:textFill>
                    </w:rPr>
                    <w:t>高安市</w:t>
                  </w:r>
                  <w:r>
                    <w:rPr>
                      <w:rFonts w:hint="eastAsia" w:hAnsi="宋体"/>
                      <w:color w:val="000000" w:themeColor="text1"/>
                      <w:spacing w:val="-5"/>
                      <w14:textFill>
                        <w14:solidFill>
                          <w14:schemeClr w14:val="tx1"/>
                        </w14:solidFill>
                      </w14:textFill>
                    </w:rPr>
                    <w:t>工业园污水处理厂接管标准</w:t>
                  </w:r>
                  <w:bookmarkEnd w:id="27"/>
                </w:p>
              </w:tc>
              <w:tc>
                <w:tcPr>
                  <w:tcW w:w="448" w:type="pct"/>
                  <w:tcBorders>
                    <w:tl2br w:val="nil"/>
                    <w:tr2bl w:val="nil"/>
                  </w:tcBorders>
                  <w:vAlign w:val="center"/>
                </w:tcPr>
                <w:p w14:paraId="5141BC52">
                  <w:pPr>
                    <w:pStyle w:val="83"/>
                    <w:tabs>
                      <w:tab w:val="left" w:pos="420"/>
                    </w:tabs>
                    <w:rPr>
                      <w:color w:val="000000" w:themeColor="text1"/>
                      <w14:textFill>
                        <w14:solidFill>
                          <w14:schemeClr w14:val="tx1"/>
                        </w14:solidFill>
                      </w14:textFill>
                    </w:rPr>
                  </w:pPr>
                  <w:r>
                    <w:rPr>
                      <w:color w:val="000000" w:themeColor="text1"/>
                      <w:spacing w:val="-5"/>
                      <w14:textFill>
                        <w14:solidFill>
                          <w14:schemeClr w14:val="tx1"/>
                        </w14:solidFill>
                      </w14:textFill>
                    </w:rPr>
                    <w:t>6~9</w:t>
                  </w:r>
                </w:p>
              </w:tc>
              <w:tc>
                <w:tcPr>
                  <w:tcW w:w="501" w:type="pct"/>
                  <w:tcBorders>
                    <w:tl2br w:val="nil"/>
                    <w:tr2bl w:val="nil"/>
                  </w:tcBorders>
                  <w:vAlign w:val="center"/>
                </w:tcPr>
                <w:p w14:paraId="61E269B5">
                  <w:pPr>
                    <w:pStyle w:val="83"/>
                    <w:tabs>
                      <w:tab w:val="left" w:pos="420"/>
                    </w:tabs>
                    <w:rPr>
                      <w:color w:val="000000" w:themeColor="text1"/>
                      <w14:textFill>
                        <w14:solidFill>
                          <w14:schemeClr w14:val="tx1"/>
                        </w14:solidFill>
                      </w14:textFill>
                    </w:rPr>
                  </w:pPr>
                  <w:r>
                    <w:rPr>
                      <w:color w:val="000000" w:themeColor="text1"/>
                      <w:spacing w:val="-5"/>
                      <w14:textFill>
                        <w14:solidFill>
                          <w14:schemeClr w14:val="tx1"/>
                        </w14:solidFill>
                      </w14:textFill>
                    </w:rPr>
                    <w:t>500</w:t>
                  </w:r>
                </w:p>
              </w:tc>
              <w:tc>
                <w:tcPr>
                  <w:tcW w:w="502" w:type="pct"/>
                  <w:tcBorders>
                    <w:tl2br w:val="nil"/>
                    <w:tr2bl w:val="nil"/>
                  </w:tcBorders>
                  <w:vAlign w:val="center"/>
                </w:tcPr>
                <w:p w14:paraId="45FE2F60">
                  <w:pPr>
                    <w:pStyle w:val="83"/>
                    <w:tabs>
                      <w:tab w:val="left" w:pos="420"/>
                    </w:tabs>
                    <w:rPr>
                      <w:color w:val="000000" w:themeColor="text1"/>
                      <w14:textFill>
                        <w14:solidFill>
                          <w14:schemeClr w14:val="tx1"/>
                        </w14:solidFill>
                      </w14:textFill>
                    </w:rPr>
                  </w:pPr>
                  <w:r>
                    <w:rPr>
                      <w:color w:val="000000" w:themeColor="text1"/>
                      <w:spacing w:val="-5"/>
                      <w14:textFill>
                        <w14:solidFill>
                          <w14:schemeClr w14:val="tx1"/>
                        </w14:solidFill>
                      </w14:textFill>
                    </w:rPr>
                    <w:t>300</w:t>
                  </w:r>
                </w:p>
              </w:tc>
              <w:tc>
                <w:tcPr>
                  <w:tcW w:w="412" w:type="pct"/>
                  <w:tcBorders>
                    <w:tl2br w:val="nil"/>
                    <w:tr2bl w:val="nil"/>
                  </w:tcBorders>
                  <w:vAlign w:val="center"/>
                </w:tcPr>
                <w:p w14:paraId="436C61EC">
                  <w:pPr>
                    <w:pStyle w:val="83"/>
                    <w:tabs>
                      <w:tab w:val="left" w:pos="420"/>
                    </w:tabs>
                    <w:rPr>
                      <w:color w:val="000000" w:themeColor="text1"/>
                      <w14:textFill>
                        <w14:solidFill>
                          <w14:schemeClr w14:val="tx1"/>
                        </w14:solidFill>
                      </w14:textFill>
                    </w:rPr>
                  </w:pPr>
                  <w:r>
                    <w:rPr>
                      <w:color w:val="000000" w:themeColor="text1"/>
                      <w:spacing w:val="-5"/>
                      <w14:textFill>
                        <w14:solidFill>
                          <w14:schemeClr w14:val="tx1"/>
                        </w14:solidFill>
                      </w14:textFill>
                    </w:rPr>
                    <w:t>400</w:t>
                  </w:r>
                </w:p>
              </w:tc>
              <w:tc>
                <w:tcPr>
                  <w:tcW w:w="403" w:type="pct"/>
                  <w:tcBorders>
                    <w:right w:val="single" w:color="auto" w:sz="4" w:space="0"/>
                    <w:tl2br w:val="nil"/>
                    <w:tr2bl w:val="nil"/>
                  </w:tcBorders>
                  <w:vAlign w:val="center"/>
                </w:tcPr>
                <w:p w14:paraId="2FF571BA">
                  <w:pPr>
                    <w:pStyle w:val="83"/>
                    <w:tabs>
                      <w:tab w:val="left" w:pos="420"/>
                    </w:tabs>
                    <w:rPr>
                      <w:rFonts w:hint="default" w:eastAsia="宋体"/>
                      <w:color w:val="000000" w:themeColor="text1"/>
                      <w:lang w:val="en-US" w:eastAsia="zh-CN"/>
                      <w14:textFill>
                        <w14:solidFill>
                          <w14:schemeClr w14:val="tx1"/>
                        </w14:solidFill>
                      </w14:textFill>
                    </w:rPr>
                  </w:pPr>
                  <w:r>
                    <w:rPr>
                      <w:rFonts w:hint="eastAsia"/>
                      <w:color w:val="000000" w:themeColor="text1"/>
                      <w:spacing w:val="-5"/>
                      <w:lang w:val="en-US" w:eastAsia="zh-CN"/>
                      <w14:textFill>
                        <w14:solidFill>
                          <w14:schemeClr w14:val="tx1"/>
                        </w14:solidFill>
                      </w14:textFill>
                    </w:rPr>
                    <w:t>50</w:t>
                  </w:r>
                </w:p>
              </w:tc>
              <w:tc>
                <w:tcPr>
                  <w:tcW w:w="311" w:type="pct"/>
                  <w:tcBorders>
                    <w:left w:val="single" w:color="auto" w:sz="4" w:space="0"/>
                    <w:tl2br w:val="nil"/>
                    <w:tr2bl w:val="nil"/>
                  </w:tcBorders>
                  <w:vAlign w:val="center"/>
                </w:tcPr>
                <w:p w14:paraId="1FFF8DE6">
                  <w:pPr>
                    <w:pStyle w:val="83"/>
                    <w:tabs>
                      <w:tab w:val="left" w:pos="420"/>
                    </w:tabs>
                    <w:rPr>
                      <w:rFonts w:hint="default"/>
                      <w:color w:val="000000" w:themeColor="text1"/>
                      <w:spacing w:val="-5"/>
                      <w:lang w:val="en-US" w:eastAsia="zh-CN"/>
                      <w14:textFill>
                        <w14:solidFill>
                          <w14:schemeClr w14:val="tx1"/>
                        </w14:solidFill>
                      </w14:textFill>
                    </w:rPr>
                  </w:pPr>
                  <w:r>
                    <w:rPr>
                      <w:rFonts w:hint="eastAsia"/>
                      <w:color w:val="000000" w:themeColor="text1"/>
                      <w:spacing w:val="-5"/>
                      <w:lang w:val="en-US" w:eastAsia="zh-CN"/>
                      <w14:textFill>
                        <w14:solidFill>
                          <w14:schemeClr w14:val="tx1"/>
                        </w14:solidFill>
                      </w14:textFill>
                    </w:rPr>
                    <w:t>8</w:t>
                  </w:r>
                </w:p>
              </w:tc>
              <w:tc>
                <w:tcPr>
                  <w:tcW w:w="405" w:type="pct"/>
                  <w:tcBorders>
                    <w:tl2br w:val="nil"/>
                    <w:tr2bl w:val="nil"/>
                  </w:tcBorders>
                  <w:vAlign w:val="center"/>
                </w:tcPr>
                <w:p w14:paraId="2ED6E373">
                  <w:pPr>
                    <w:pStyle w:val="83"/>
                    <w:tabs>
                      <w:tab w:val="left" w:pos="420"/>
                    </w:tabs>
                    <w:rPr>
                      <w:rFonts w:hint="eastAsia" w:eastAsia="宋体"/>
                      <w:color w:val="000000" w:themeColor="text1"/>
                      <w:lang w:val="en-US" w:eastAsia="zh-CN"/>
                      <w14:textFill>
                        <w14:solidFill>
                          <w14:schemeClr w14:val="tx1"/>
                        </w14:solidFill>
                      </w14:textFill>
                    </w:rPr>
                  </w:pPr>
                  <w:r>
                    <w:rPr>
                      <w:rFonts w:hint="eastAsia"/>
                      <w:color w:val="000000" w:themeColor="text1"/>
                      <w:spacing w:val="-5"/>
                      <w14:textFill>
                        <w14:solidFill>
                          <w14:schemeClr w14:val="tx1"/>
                        </w14:solidFill>
                      </w14:textFill>
                    </w:rPr>
                    <w:t>100</w:t>
                  </w:r>
                </w:p>
              </w:tc>
            </w:tr>
            <w:tr w14:paraId="63300A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2014" w:type="pct"/>
                  <w:tcBorders>
                    <w:tl2br w:val="nil"/>
                    <w:tr2bl w:val="nil"/>
                  </w:tcBorders>
                  <w:vAlign w:val="center"/>
                </w:tcPr>
                <w:p w14:paraId="31A2878F">
                  <w:pPr>
                    <w:pStyle w:val="83"/>
                    <w:tabs>
                      <w:tab w:val="left" w:pos="420"/>
                    </w:tabs>
                    <w:rPr>
                      <w:color w:val="000000" w:themeColor="text1"/>
                      <w14:textFill>
                        <w14:solidFill>
                          <w14:schemeClr w14:val="tx1"/>
                        </w14:solidFill>
                      </w14:textFill>
                    </w:rPr>
                  </w:pPr>
                  <w:r>
                    <w:rPr>
                      <w:rFonts w:hint="eastAsia"/>
                      <w:color w:val="000000" w:themeColor="text1"/>
                      <w14:textFill>
                        <w14:solidFill>
                          <w14:schemeClr w14:val="tx1"/>
                        </w14:solidFill>
                      </w14:textFill>
                    </w:rPr>
                    <w:t>《城镇污水处理厂污染物排放标准》（GB18918-2002）中一级A</w:t>
                  </w:r>
                </w:p>
              </w:tc>
              <w:tc>
                <w:tcPr>
                  <w:tcW w:w="448" w:type="pct"/>
                  <w:tcBorders>
                    <w:tl2br w:val="nil"/>
                    <w:tr2bl w:val="nil"/>
                  </w:tcBorders>
                  <w:vAlign w:val="center"/>
                </w:tcPr>
                <w:p w14:paraId="4337508A">
                  <w:pPr>
                    <w:pStyle w:val="83"/>
                    <w:tabs>
                      <w:tab w:val="left" w:pos="420"/>
                    </w:tabs>
                    <w:rPr>
                      <w:color w:val="000000" w:themeColor="text1"/>
                      <w14:textFill>
                        <w14:solidFill>
                          <w14:schemeClr w14:val="tx1"/>
                        </w14:solidFill>
                      </w14:textFill>
                    </w:rPr>
                  </w:pPr>
                  <w:r>
                    <w:rPr>
                      <w:color w:val="000000" w:themeColor="text1"/>
                      <w14:textFill>
                        <w14:solidFill>
                          <w14:schemeClr w14:val="tx1"/>
                        </w14:solidFill>
                      </w14:textFill>
                    </w:rPr>
                    <w:t>6~9</w:t>
                  </w:r>
                </w:p>
              </w:tc>
              <w:tc>
                <w:tcPr>
                  <w:tcW w:w="501" w:type="pct"/>
                  <w:tcBorders>
                    <w:tl2br w:val="nil"/>
                    <w:tr2bl w:val="nil"/>
                  </w:tcBorders>
                  <w:vAlign w:val="center"/>
                </w:tcPr>
                <w:p w14:paraId="3C19A4EF">
                  <w:pPr>
                    <w:pStyle w:val="83"/>
                    <w:tabs>
                      <w:tab w:val="left" w:pos="420"/>
                    </w:tabs>
                    <w:rPr>
                      <w:color w:val="000000" w:themeColor="text1"/>
                      <w14:textFill>
                        <w14:solidFill>
                          <w14:schemeClr w14:val="tx1"/>
                        </w14:solidFill>
                      </w14:textFill>
                    </w:rPr>
                  </w:pPr>
                  <w:r>
                    <w:rPr>
                      <w:rFonts w:hint="eastAsia"/>
                      <w:color w:val="000000" w:themeColor="text1"/>
                      <w14:textFill>
                        <w14:solidFill>
                          <w14:schemeClr w14:val="tx1"/>
                        </w14:solidFill>
                      </w14:textFill>
                    </w:rPr>
                    <w:t>50</w:t>
                  </w:r>
                </w:p>
              </w:tc>
              <w:tc>
                <w:tcPr>
                  <w:tcW w:w="502" w:type="pct"/>
                  <w:tcBorders>
                    <w:tl2br w:val="nil"/>
                    <w:tr2bl w:val="nil"/>
                  </w:tcBorders>
                  <w:vAlign w:val="center"/>
                </w:tcPr>
                <w:p w14:paraId="3ED946C2">
                  <w:pPr>
                    <w:pStyle w:val="83"/>
                    <w:tabs>
                      <w:tab w:val="left" w:pos="420"/>
                    </w:tabs>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412" w:type="pct"/>
                  <w:tcBorders>
                    <w:tl2br w:val="nil"/>
                    <w:tr2bl w:val="nil"/>
                  </w:tcBorders>
                  <w:vAlign w:val="center"/>
                </w:tcPr>
                <w:p w14:paraId="307C4377">
                  <w:pPr>
                    <w:pStyle w:val="83"/>
                    <w:tabs>
                      <w:tab w:val="left" w:pos="420"/>
                    </w:tabs>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403" w:type="pct"/>
                  <w:tcBorders>
                    <w:right w:val="single" w:color="auto" w:sz="4" w:space="0"/>
                    <w:tl2br w:val="nil"/>
                    <w:tr2bl w:val="nil"/>
                  </w:tcBorders>
                  <w:vAlign w:val="center"/>
                </w:tcPr>
                <w:p w14:paraId="2A34EE8B">
                  <w:pPr>
                    <w:pStyle w:val="83"/>
                    <w:tabs>
                      <w:tab w:val="left" w:pos="420"/>
                    </w:tabs>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311" w:type="pct"/>
                  <w:tcBorders>
                    <w:left w:val="single" w:color="auto" w:sz="4" w:space="0"/>
                    <w:tl2br w:val="nil"/>
                    <w:tr2bl w:val="nil"/>
                  </w:tcBorders>
                  <w:vAlign w:val="center"/>
                </w:tcPr>
                <w:p w14:paraId="1203AA18">
                  <w:pPr>
                    <w:pStyle w:val="83"/>
                    <w:tabs>
                      <w:tab w:val="left" w:pos="420"/>
                    </w:tabs>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0.5</w:t>
                  </w:r>
                </w:p>
              </w:tc>
              <w:tc>
                <w:tcPr>
                  <w:tcW w:w="405" w:type="pct"/>
                  <w:tcBorders>
                    <w:tl2br w:val="nil"/>
                    <w:tr2bl w:val="nil"/>
                  </w:tcBorders>
                  <w:vAlign w:val="center"/>
                </w:tcPr>
                <w:p w14:paraId="3E01B957">
                  <w:pPr>
                    <w:pStyle w:val="83"/>
                    <w:tabs>
                      <w:tab w:val="left" w:pos="420"/>
                    </w:tabs>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r>
          </w:tbl>
          <w:p w14:paraId="45075787">
            <w:pPr>
              <w:spacing w:before="120" w:beforeLines="50"/>
              <w:ind w:firstLine="482"/>
              <w:rPr>
                <w:b/>
                <w:color w:val="000000" w:themeColor="text1"/>
                <w14:textFill>
                  <w14:solidFill>
                    <w14:schemeClr w14:val="tx1"/>
                  </w14:solidFill>
                </w14:textFill>
              </w:rPr>
            </w:pPr>
            <w:r>
              <w:rPr>
                <w:rFonts w:hint="eastAsia"/>
                <w:b/>
                <w:bCs/>
                <w:color w:val="000000" w:themeColor="text1"/>
                <w14:textFill>
                  <w14:solidFill>
                    <w14:schemeClr w14:val="tx1"/>
                  </w14:solidFill>
                </w14:textFill>
              </w:rPr>
              <w:t>2、大气污染物排放标准</w:t>
            </w:r>
          </w:p>
          <w:p w14:paraId="269F6521">
            <w:pPr>
              <w:ind w:firstLine="480"/>
              <w:rPr>
                <w:rFonts w:hint="eastAsia"/>
                <w:bCs/>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项目运营期搅浆废气、注浆、成型废气及打磨废气经处理后通过DA001排气筒排放，颗粒物排放执行</w:t>
            </w:r>
            <w:r>
              <w:rPr>
                <w:rFonts w:hint="eastAsia" w:ascii="Times New Roman" w:hAnsi="Times New Roman" w:eastAsia="宋体" w:cs="Times New Roman"/>
                <w:color w:val="000000" w:themeColor="text1"/>
                <w:szCs w:val="21"/>
                <w:lang w:bidi="ar"/>
                <w14:textFill>
                  <w14:solidFill>
                    <w14:schemeClr w14:val="tx1"/>
                  </w14:solidFill>
                </w14:textFill>
              </w:rPr>
              <w:t>《合成树脂工业污染物排放标准》（</w:t>
            </w:r>
            <w:r>
              <w:rPr>
                <w:rFonts w:ascii="Times New Roman" w:hAnsi="Times New Roman" w:eastAsia="宋体" w:cs="Times New Roman"/>
                <w:color w:val="000000" w:themeColor="text1"/>
                <w:szCs w:val="21"/>
                <w:lang w:bidi="ar"/>
                <w14:textFill>
                  <w14:solidFill>
                    <w14:schemeClr w14:val="tx1"/>
                  </w14:solidFill>
                </w14:textFill>
              </w:rPr>
              <w:t>GB</w:t>
            </w:r>
            <w:r>
              <w:rPr>
                <w:rFonts w:hint="eastAsia" w:ascii="Times New Roman" w:hAnsi="Times New Roman" w:eastAsia="宋体" w:cs="Times New Roman"/>
                <w:color w:val="000000" w:themeColor="text1"/>
                <w:szCs w:val="21"/>
                <w:lang w:bidi="ar"/>
                <w14:textFill>
                  <w14:solidFill>
                    <w14:schemeClr w14:val="tx1"/>
                  </w14:solidFill>
                </w14:textFill>
              </w:rPr>
              <w:t>31572</w:t>
            </w:r>
            <w:r>
              <w:rPr>
                <w:rFonts w:ascii="Times New Roman" w:hAnsi="Times New Roman" w:eastAsia="宋体" w:cs="Times New Roman"/>
                <w:color w:val="000000" w:themeColor="text1"/>
                <w:szCs w:val="21"/>
                <w:lang w:bidi="ar"/>
                <w14:textFill>
                  <w14:solidFill>
                    <w14:schemeClr w14:val="tx1"/>
                  </w14:solidFill>
                </w14:textFill>
              </w:rPr>
              <w:t>-201</w:t>
            </w:r>
            <w:r>
              <w:rPr>
                <w:rFonts w:hint="eastAsia" w:ascii="Times New Roman" w:hAnsi="Times New Roman" w:eastAsia="宋体" w:cs="Times New Roman"/>
                <w:color w:val="000000" w:themeColor="text1"/>
                <w:szCs w:val="21"/>
                <w:lang w:bidi="ar"/>
                <w14:textFill>
                  <w14:solidFill>
                    <w14:schemeClr w14:val="tx1"/>
                  </w14:solidFill>
                </w14:textFill>
              </w:rPr>
              <w:t>5</w:t>
            </w:r>
            <w:r>
              <w:rPr>
                <w:rFonts w:hint="eastAsia" w:ascii="Times New Roman" w:hAnsi="Times New Roman" w:eastAsia="宋体" w:cs="Times New Roman"/>
                <w:color w:val="000000" w:themeColor="text1"/>
                <w:szCs w:val="21"/>
                <w:lang w:eastAsia="zh-CN" w:bidi="ar"/>
                <w14:textFill>
                  <w14:solidFill>
                    <w14:schemeClr w14:val="tx1"/>
                  </w14:solidFill>
                </w14:textFill>
              </w:rPr>
              <w:t>，</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含2024年修改单</w:t>
            </w:r>
            <w:r>
              <w:rPr>
                <w:rFonts w:hint="eastAsia" w:ascii="Times New Roman" w:hAnsi="Times New Roman" w:eastAsia="宋体" w:cs="Times New Roman"/>
                <w:color w:val="000000" w:themeColor="text1"/>
                <w:szCs w:val="21"/>
                <w:lang w:bidi="ar"/>
                <w14:textFill>
                  <w14:solidFill>
                    <w14:schemeClr w14:val="tx1"/>
                  </w14:solidFill>
                </w14:textFill>
              </w:rPr>
              <w:t>）</w:t>
            </w:r>
            <w:r>
              <w:rPr>
                <w:bCs/>
                <w:color w:val="000000" w:themeColor="text1"/>
                <w14:textFill>
                  <w14:solidFill>
                    <w14:schemeClr w14:val="tx1"/>
                  </w14:solidFill>
                </w14:textFill>
              </w:rPr>
              <w:t>表</w:t>
            </w:r>
            <w:r>
              <w:rPr>
                <w:rFonts w:hint="eastAsia"/>
                <w:bCs/>
                <w:color w:val="000000" w:themeColor="text1"/>
                <w:lang w:val="en-US" w:eastAsia="zh-CN"/>
                <w14:textFill>
                  <w14:solidFill>
                    <w14:schemeClr w14:val="tx1"/>
                  </w14:solidFill>
                </w14:textFill>
              </w:rPr>
              <w:t>4</w:t>
            </w:r>
            <w:r>
              <w:rPr>
                <w:rFonts w:hint="eastAsia"/>
                <w:bCs/>
                <w:color w:val="000000" w:themeColor="text1"/>
                <w14:textFill>
                  <w14:solidFill>
                    <w14:schemeClr w14:val="tx1"/>
                  </w14:solidFill>
                </w14:textFill>
              </w:rPr>
              <w:t>标准</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苯乙烯、TVOC排放执行江西省地方标准</w:t>
            </w:r>
            <w:r>
              <w:rPr>
                <w:rFonts w:hint="eastAsia"/>
                <w:color w:val="000000" w:themeColor="text1"/>
                <w14:textFill>
                  <w14:solidFill>
                    <w14:schemeClr w14:val="tx1"/>
                  </w14:solidFill>
                </w14:textFill>
              </w:rPr>
              <w:t>《挥发性有机物排放标准第4部分：塑料制品业》（DB36/1101.4-2019）表1</w:t>
            </w:r>
            <w:r>
              <w:rPr>
                <w:rFonts w:hint="eastAsia"/>
                <w:color w:val="000000" w:themeColor="text1"/>
                <w:lang w:val="en-US" w:eastAsia="zh-CN"/>
                <w14:textFill>
                  <w14:solidFill>
                    <w14:schemeClr w14:val="tx1"/>
                  </w14:solidFill>
                </w14:textFill>
              </w:rPr>
              <w:t>标准（项目以不饱和聚酯树脂为原料生产树脂工艺品），臭气浓度排放执行</w:t>
            </w:r>
            <w:r>
              <w:rPr>
                <w:rFonts w:hint="eastAsia"/>
                <w:color w:val="000000" w:themeColor="text1"/>
                <w14:textFill>
                  <w14:solidFill>
                    <w14:schemeClr w14:val="tx1"/>
                  </w14:solidFill>
                </w14:textFill>
              </w:rPr>
              <w:t>《恶臭污染物排放标准》（GB 14554-93）表</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标准</w:t>
            </w:r>
            <w:r>
              <w:rPr>
                <w:rFonts w:hint="eastAsia"/>
                <w:color w:val="000000" w:themeColor="text1"/>
                <w:lang w:val="en-US" w:eastAsia="zh-CN"/>
                <w14:textFill>
                  <w14:solidFill>
                    <w14:schemeClr w14:val="tx1"/>
                  </w14:solidFill>
                </w14:textFill>
              </w:rPr>
              <w:t>；调漆废气、喷漆、流平、晾干废气、喷枪清洗废气、彩绘、晾干废气经处理后通过DA002排气筒排放，颗粒物排放执行</w:t>
            </w:r>
            <w:r>
              <w:rPr>
                <w:bCs/>
                <w:color w:val="000000" w:themeColor="text1"/>
                <w14:textFill>
                  <w14:solidFill>
                    <w14:schemeClr w14:val="tx1"/>
                  </w14:solidFill>
                </w14:textFill>
              </w:rPr>
              <w:t>《大气污染物综合排放标准》（GB16297-1996）表</w:t>
            </w:r>
            <w:r>
              <w:rPr>
                <w:rFonts w:hint="eastAsia"/>
                <w:bCs/>
                <w:color w:val="000000" w:themeColor="text1"/>
                <w14:textFill>
                  <w14:solidFill>
                    <w14:schemeClr w14:val="tx1"/>
                  </w14:solidFill>
                </w14:textFill>
              </w:rPr>
              <w:t>2中二级排放标准</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二甲苯、TVOC执行江西省地方标准《挥发性有机物综合排放控制标准（试行）》（DB36/2186-2025）表1标准，</w:t>
            </w:r>
            <w:r>
              <w:rPr>
                <w:rFonts w:hint="eastAsia"/>
                <w:color w:val="000000" w:themeColor="text1"/>
                <w:lang w:val="en-US" w:eastAsia="zh-CN"/>
                <w14:textFill>
                  <w14:solidFill>
                    <w14:schemeClr w14:val="tx1"/>
                  </w14:solidFill>
                </w14:textFill>
              </w:rPr>
              <w:t>臭气浓度排放执行</w:t>
            </w:r>
            <w:r>
              <w:rPr>
                <w:rFonts w:hint="eastAsia"/>
                <w:color w:val="000000" w:themeColor="text1"/>
                <w14:textFill>
                  <w14:solidFill>
                    <w14:schemeClr w14:val="tx1"/>
                  </w14:solidFill>
                </w14:textFill>
              </w:rPr>
              <w:t>《恶臭污染物排放标准》（GB 14554-93）表</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标准</w:t>
            </w:r>
            <w:r>
              <w:rPr>
                <w:rFonts w:hint="eastAsia"/>
                <w:bCs/>
                <w:color w:val="000000" w:themeColor="text1"/>
                <w:lang w:val="en-US" w:eastAsia="zh-CN"/>
                <w14:textFill>
                  <w14:solidFill>
                    <w14:schemeClr w14:val="tx1"/>
                  </w14:solidFill>
                </w14:textFill>
              </w:rPr>
              <w:t>。</w:t>
            </w:r>
          </w:p>
          <w:p w14:paraId="1E686C7B">
            <w:pPr>
              <w:ind w:firstLine="48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项目运营期厂界无组织排放废气中颗粒物排放执行</w:t>
            </w:r>
            <w:r>
              <w:rPr>
                <w:bCs/>
                <w:color w:val="000000" w:themeColor="text1"/>
                <w14:textFill>
                  <w14:solidFill>
                    <w14:schemeClr w14:val="tx1"/>
                  </w14:solidFill>
                </w14:textFill>
              </w:rPr>
              <w:t>《大气污染物综合排放标准》（GB16297-1996）表</w:t>
            </w:r>
            <w:r>
              <w:rPr>
                <w:rFonts w:hint="eastAsia"/>
                <w:bCs/>
                <w:color w:val="000000" w:themeColor="text1"/>
                <w14:textFill>
                  <w14:solidFill>
                    <w14:schemeClr w14:val="tx1"/>
                  </w14:solidFill>
                </w14:textFill>
              </w:rPr>
              <w:t>2中</w:t>
            </w:r>
            <w:r>
              <w:rPr>
                <w:rFonts w:ascii="Times New Roman" w:hAnsi="Times New Roman" w:eastAsia="宋体" w:cs="宋体"/>
                <w:color w:val="000000" w:themeColor="text1"/>
                <w:highlight w:val="none"/>
                <w14:textFill>
                  <w14:solidFill>
                    <w14:schemeClr w14:val="tx1"/>
                  </w14:solidFill>
                </w14:textFill>
              </w:rPr>
              <w:t>无组织排放监控浓度限值</w:t>
            </w:r>
            <w:r>
              <w:rPr>
                <w:rFonts w:hint="eastAsia" w:ascii="Times New Roman" w:hAnsi="Times New Roman" w:eastAsia="宋体" w:cs="宋体"/>
                <w:color w:val="000000" w:themeColor="text1"/>
                <w:highlight w:val="none"/>
                <w:lang w:eastAsia="zh-CN"/>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二甲苯参照执行江西省地方标准《</w:t>
            </w:r>
            <w:r>
              <w:rPr>
                <w:rFonts w:hint="eastAsia"/>
                <w:color w:val="000000" w:themeColor="text1"/>
                <w14:textFill>
                  <w14:solidFill>
                    <w14:schemeClr w14:val="tx1"/>
                  </w14:solidFill>
                </w14:textFill>
              </w:rPr>
              <w:t>挥发性有机物排放标准第4部分：塑料制品业</w:t>
            </w:r>
            <w:r>
              <w:rPr>
                <w:rFonts w:hint="eastAsia" w:cs="宋体"/>
                <w:color w:val="000000" w:themeColor="text1"/>
                <w:highlight w:val="none"/>
                <w:lang w:val="en-US" w:eastAsia="zh-CN"/>
                <w14:textFill>
                  <w14:solidFill>
                    <w14:schemeClr w14:val="tx1"/>
                  </w14:solidFill>
                </w14:textFill>
              </w:rPr>
              <w:t>》（</w:t>
            </w:r>
            <w:r>
              <w:rPr>
                <w:rFonts w:hint="eastAsia"/>
                <w:color w:val="000000" w:themeColor="text1"/>
                <w14:textFill>
                  <w14:solidFill>
                    <w14:schemeClr w14:val="tx1"/>
                  </w14:solidFill>
                </w14:textFill>
              </w:rPr>
              <w:t>DB36/1101.</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-2019</w:t>
            </w:r>
            <w:r>
              <w:rPr>
                <w:rFonts w:hint="eastAsia" w:cs="宋体"/>
                <w:color w:val="000000" w:themeColor="text1"/>
                <w:highlight w:val="none"/>
                <w:lang w:val="en-US" w:eastAsia="zh-CN"/>
                <w14:textFill>
                  <w14:solidFill>
                    <w14:schemeClr w14:val="tx1"/>
                  </w14:solidFill>
                </w14:textFill>
              </w:rPr>
              <w:t>）表2标准，</w:t>
            </w:r>
            <w:r>
              <w:rPr>
                <w:rFonts w:hint="eastAsia" w:ascii="Times New Roman" w:hAnsi="Times New Roman" w:eastAsia="宋体" w:cs="宋体"/>
                <w:color w:val="000000" w:themeColor="text1"/>
                <w:highlight w:val="none"/>
                <w:lang w:val="en-US" w:eastAsia="zh-CN"/>
                <w14:textFill>
                  <w14:solidFill>
                    <w14:schemeClr w14:val="tx1"/>
                  </w14:solidFill>
                </w14:textFill>
              </w:rPr>
              <w:t>苯乙烯、TVOC排放执行</w:t>
            </w:r>
            <w:r>
              <w:rPr>
                <w:rFonts w:hint="eastAsia"/>
                <w:bCs/>
                <w:color w:val="000000" w:themeColor="text1"/>
                <w:lang w:val="en-US" w:eastAsia="zh-CN"/>
                <w14:textFill>
                  <w14:solidFill>
                    <w14:schemeClr w14:val="tx1"/>
                  </w14:solidFill>
                </w14:textFill>
              </w:rPr>
              <w:t>江西省地方标准</w:t>
            </w:r>
            <w:r>
              <w:rPr>
                <w:rFonts w:hint="eastAsia"/>
                <w:color w:val="000000" w:themeColor="text1"/>
                <w14:textFill>
                  <w14:solidFill>
                    <w14:schemeClr w14:val="tx1"/>
                  </w14:solidFill>
                </w14:textFill>
              </w:rPr>
              <w:t>《挥发性有机物排放标准第4部分：塑料制品业》（DB36/1101.4-2019）表</w:t>
            </w:r>
            <w:r>
              <w:rPr>
                <w:rFonts w:hint="eastAsia"/>
                <w:color w:val="000000" w:themeColor="text1"/>
                <w:lang w:val="en-US" w:eastAsia="zh-CN"/>
                <w14:textFill>
                  <w14:solidFill>
                    <w14:schemeClr w14:val="tx1"/>
                  </w14:solidFill>
                </w14:textFill>
              </w:rPr>
              <w:t>2标准，臭气浓度排放执行</w:t>
            </w:r>
            <w:r>
              <w:rPr>
                <w:rFonts w:hint="eastAsia"/>
                <w:color w:val="000000" w:themeColor="text1"/>
                <w14:textFill>
                  <w14:solidFill>
                    <w14:schemeClr w14:val="tx1"/>
                  </w14:solidFill>
                </w14:textFill>
              </w:rPr>
              <w:t>《恶臭污染物排放标准》（GB 14554-93）表</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标准</w:t>
            </w:r>
            <w:r>
              <w:rPr>
                <w:rFonts w:hint="eastAsia"/>
                <w:color w:val="000000" w:themeColor="text1"/>
                <w:lang w:val="en-US" w:eastAsia="zh-CN"/>
                <w14:textFill>
                  <w14:solidFill>
                    <w14:schemeClr w14:val="tx1"/>
                  </w14:solidFill>
                </w14:textFill>
              </w:rPr>
              <w:t>二级标准。</w:t>
            </w:r>
            <w:r>
              <w:rPr>
                <w:rFonts w:hint="eastAsia"/>
                <w:color w:val="000000" w:themeColor="text1"/>
                <w14:textFill>
                  <w14:solidFill>
                    <w14:schemeClr w14:val="tx1"/>
                  </w14:solidFill>
                </w14:textFill>
              </w:rPr>
              <w:t>厂区内</w:t>
            </w:r>
            <w:r>
              <w:rPr>
                <w:color w:val="000000" w:themeColor="text1"/>
                <w14:textFill>
                  <w14:solidFill>
                    <w14:schemeClr w14:val="tx1"/>
                  </w14:solidFill>
                </w14:textFill>
              </w:rPr>
              <w:t>无组织</w:t>
            </w:r>
            <w:r>
              <w:rPr>
                <w:rFonts w:hint="eastAsia"/>
                <w:color w:val="000000" w:themeColor="text1"/>
                <w:lang w:val="en-US" w:eastAsia="zh-CN"/>
                <w14:textFill>
                  <w14:solidFill>
                    <w14:schemeClr w14:val="tx1"/>
                  </w14:solidFill>
                </w14:textFill>
              </w:rPr>
              <w:t>VOCs</w:t>
            </w:r>
            <w:r>
              <w:rPr>
                <w:rFonts w:hint="eastAsia"/>
                <w:color w:val="000000" w:themeColor="text1"/>
                <w14:textFill>
                  <w14:solidFill>
                    <w14:schemeClr w14:val="tx1"/>
                  </w14:solidFill>
                </w14:textFill>
              </w:rPr>
              <w:t>排放</w:t>
            </w:r>
            <w:r>
              <w:rPr>
                <w:color w:val="000000" w:themeColor="text1"/>
                <w14:textFill>
                  <w14:solidFill>
                    <w14:schemeClr w14:val="tx1"/>
                  </w14:solidFill>
                </w14:textFill>
              </w:rPr>
              <w:t>执行</w:t>
            </w:r>
            <w:r>
              <w:rPr>
                <w:rFonts w:hint="eastAsia"/>
                <w:bCs/>
                <w:color w:val="000000" w:themeColor="text1"/>
                <w:lang w:val="en-US" w:eastAsia="zh-CN"/>
                <w14:textFill>
                  <w14:solidFill>
                    <w14:schemeClr w14:val="tx1"/>
                  </w14:solidFill>
                </w14:textFill>
              </w:rPr>
              <w:t>《挥发性有机物综合排放控制标准（试行）》（DB36/2186-2025）表2标准</w:t>
            </w:r>
            <w:r>
              <w:rPr>
                <w:rFonts w:hint="eastAsia"/>
                <w:color w:val="000000" w:themeColor="text1"/>
                <w14:textFill>
                  <w14:solidFill>
                    <w14:schemeClr w14:val="tx1"/>
                  </w14:solidFill>
                </w14:textFill>
              </w:rPr>
              <w:t>。</w:t>
            </w:r>
          </w:p>
          <w:p w14:paraId="6AD397AA">
            <w:pPr>
              <w:pStyle w:val="57"/>
              <w:numPr>
                <w:ilvl w:val="3"/>
                <w:numId w:val="19"/>
              </w:numP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项目大气污染物排放标准</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339"/>
              <w:gridCol w:w="1115"/>
              <w:gridCol w:w="802"/>
              <w:gridCol w:w="983"/>
              <w:gridCol w:w="943"/>
              <w:gridCol w:w="983"/>
              <w:gridCol w:w="2205"/>
            </w:tblGrid>
            <w:tr w14:paraId="7D8AB14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tcBorders>
                    <w:tl2br w:val="nil"/>
                    <w:tr2bl w:val="nil"/>
                  </w:tcBorders>
                  <w:vAlign w:val="center"/>
                </w:tcPr>
                <w:p w14:paraId="6E77DAF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
                      <w:bCs w:val="0"/>
                      <w:color w:val="000000" w:themeColor="text1"/>
                      <w:sz w:val="21"/>
                      <w:szCs w:val="21"/>
                      <w:lang w:val="en-US" w:eastAsia="zh-CN"/>
                      <w14:textFill>
                        <w14:solidFill>
                          <w14:schemeClr w14:val="tx1"/>
                        </w14:solidFill>
                      </w14:textFill>
                    </w:rPr>
                  </w:pPr>
                  <w:r>
                    <w:rPr>
                      <w:rFonts w:hint="default" w:ascii="Times New Roman" w:hAnsi="Times New Roman" w:cs="Times New Roman"/>
                      <w:b/>
                      <w:bCs w:val="0"/>
                      <w:color w:val="000000" w:themeColor="text1"/>
                      <w:sz w:val="21"/>
                      <w:szCs w:val="21"/>
                      <w:lang w:val="en-US" w:eastAsia="zh-CN"/>
                      <w14:textFill>
                        <w14:solidFill>
                          <w14:schemeClr w14:val="tx1"/>
                        </w14:solidFill>
                      </w14:textFill>
                    </w:rPr>
                    <w:t>污染源</w:t>
                  </w:r>
                </w:p>
              </w:tc>
              <w:tc>
                <w:tcPr>
                  <w:tcW w:w="722" w:type="pct"/>
                  <w:tcBorders>
                    <w:tl2br w:val="nil"/>
                    <w:tr2bl w:val="nil"/>
                  </w:tcBorders>
                  <w:vAlign w:val="center"/>
                </w:tcPr>
                <w:p w14:paraId="1F90667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
                      <w:bCs w:val="0"/>
                      <w:color w:val="000000" w:themeColor="text1"/>
                      <w:sz w:val="21"/>
                      <w:szCs w:val="21"/>
                      <w:lang w:val="en-US" w:eastAsia="zh-CN"/>
                      <w14:textFill>
                        <w14:solidFill>
                          <w14:schemeClr w14:val="tx1"/>
                        </w14:solidFill>
                      </w14:textFill>
                    </w:rPr>
                  </w:pPr>
                  <w:r>
                    <w:rPr>
                      <w:rFonts w:hint="default" w:ascii="Times New Roman" w:hAnsi="Times New Roman" w:cs="Times New Roman"/>
                      <w:b/>
                      <w:bCs w:val="0"/>
                      <w:color w:val="000000" w:themeColor="text1"/>
                      <w:sz w:val="21"/>
                      <w:szCs w:val="21"/>
                      <w:lang w:val="en-US" w:eastAsia="zh-CN"/>
                      <w14:textFill>
                        <w14:solidFill>
                          <w14:schemeClr w14:val="tx1"/>
                        </w14:solidFill>
                      </w14:textFill>
                    </w:rPr>
                    <w:t>污染物</w:t>
                  </w:r>
                </w:p>
              </w:tc>
              <w:tc>
                <w:tcPr>
                  <w:tcW w:w="535" w:type="pct"/>
                  <w:tcBorders>
                    <w:tl2br w:val="nil"/>
                    <w:tr2bl w:val="nil"/>
                  </w:tcBorders>
                  <w:vAlign w:val="center"/>
                </w:tcPr>
                <w:p w14:paraId="5169E8A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
                      <w:bCs w:val="0"/>
                      <w:color w:val="000000" w:themeColor="text1"/>
                      <w:sz w:val="21"/>
                      <w:szCs w:val="21"/>
                      <w:lang w:val="en-US" w:eastAsia="zh-CN"/>
                      <w14:textFill>
                        <w14:solidFill>
                          <w14:schemeClr w14:val="tx1"/>
                        </w14:solidFill>
                      </w14:textFill>
                    </w:rPr>
                  </w:pPr>
                  <w:r>
                    <w:rPr>
                      <w:rFonts w:hint="default" w:ascii="Times New Roman" w:hAnsi="Times New Roman" w:cs="Times New Roman"/>
                      <w:b/>
                      <w:bCs w:val="0"/>
                      <w:color w:val="000000" w:themeColor="text1"/>
                      <w:sz w:val="21"/>
                      <w:szCs w:val="21"/>
                      <w:lang w:val="en-US" w:eastAsia="zh-CN"/>
                      <w14:textFill>
                        <w14:solidFill>
                          <w14:schemeClr w14:val="tx1"/>
                        </w14:solidFill>
                      </w14:textFill>
                    </w:rPr>
                    <w:t>排气筒高度m</w:t>
                  </w:r>
                </w:p>
              </w:tc>
              <w:tc>
                <w:tcPr>
                  <w:tcW w:w="629" w:type="pct"/>
                  <w:tcBorders>
                    <w:tl2br w:val="nil"/>
                    <w:tr2bl w:val="nil"/>
                  </w:tcBorders>
                  <w:vAlign w:val="center"/>
                </w:tcPr>
                <w:p w14:paraId="7374891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
                      <w:bCs w:val="0"/>
                      <w:color w:val="000000" w:themeColor="text1"/>
                      <w:sz w:val="21"/>
                      <w:szCs w:val="21"/>
                      <w:vertAlign w:val="superscript"/>
                      <w:lang w:val="en-US" w:eastAsia="zh-CN"/>
                      <w14:textFill>
                        <w14:solidFill>
                          <w14:schemeClr w14:val="tx1"/>
                        </w14:solidFill>
                      </w14:textFill>
                    </w:rPr>
                  </w:pPr>
                  <w:r>
                    <w:rPr>
                      <w:rFonts w:hint="default" w:ascii="Times New Roman" w:hAnsi="Times New Roman" w:cs="Times New Roman"/>
                      <w:b/>
                      <w:bCs w:val="0"/>
                      <w:color w:val="000000" w:themeColor="text1"/>
                      <w:sz w:val="21"/>
                      <w:szCs w:val="21"/>
                      <w:lang w:val="en-US" w:eastAsia="zh-CN"/>
                      <w14:textFill>
                        <w14:solidFill>
                          <w14:schemeClr w14:val="tx1"/>
                        </w14:solidFill>
                      </w14:textFill>
                    </w:rPr>
                    <w:t>排放浓度限值mg/m</w:t>
                  </w:r>
                  <w:r>
                    <w:rPr>
                      <w:rFonts w:hint="default" w:ascii="Times New Roman" w:hAnsi="Times New Roman" w:cs="Times New Roman"/>
                      <w:b/>
                      <w:bCs w:val="0"/>
                      <w:color w:val="000000" w:themeColor="text1"/>
                      <w:sz w:val="21"/>
                      <w:szCs w:val="21"/>
                      <w:vertAlign w:val="superscript"/>
                      <w:lang w:val="en-US" w:eastAsia="zh-CN"/>
                      <w14:textFill>
                        <w14:solidFill>
                          <w14:schemeClr w14:val="tx1"/>
                        </w14:solidFill>
                      </w14:textFill>
                    </w:rPr>
                    <w:t>3</w:t>
                  </w:r>
                </w:p>
              </w:tc>
              <w:tc>
                <w:tcPr>
                  <w:tcW w:w="629" w:type="pct"/>
                  <w:tcBorders>
                    <w:tl2br w:val="nil"/>
                    <w:tr2bl w:val="nil"/>
                  </w:tcBorders>
                  <w:vAlign w:val="center"/>
                </w:tcPr>
                <w:p w14:paraId="33FF9FD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
                      <w:bCs w:val="0"/>
                      <w:color w:val="000000" w:themeColor="text1"/>
                      <w:sz w:val="21"/>
                      <w:szCs w:val="21"/>
                      <w:lang w:val="en-US" w:eastAsia="zh-CN"/>
                      <w14:textFill>
                        <w14:solidFill>
                          <w14:schemeClr w14:val="tx1"/>
                        </w14:solidFill>
                      </w14:textFill>
                    </w:rPr>
                  </w:pPr>
                  <w:r>
                    <w:rPr>
                      <w:rFonts w:hint="default" w:ascii="Times New Roman" w:hAnsi="Times New Roman" w:cs="Times New Roman"/>
                      <w:b/>
                      <w:bCs w:val="0"/>
                      <w:color w:val="000000" w:themeColor="text1"/>
                      <w:sz w:val="21"/>
                      <w:szCs w:val="21"/>
                      <w:lang w:val="en-US" w:eastAsia="zh-CN"/>
                      <w14:textFill>
                        <w14:solidFill>
                          <w14:schemeClr w14:val="tx1"/>
                        </w14:solidFill>
                      </w14:textFill>
                    </w:rPr>
                    <w:t>排放速率限值kg/h</w:t>
                  </w:r>
                </w:p>
              </w:tc>
              <w:tc>
                <w:tcPr>
                  <w:tcW w:w="629" w:type="pct"/>
                  <w:tcBorders>
                    <w:tl2br w:val="nil"/>
                    <w:tr2bl w:val="nil"/>
                  </w:tcBorders>
                  <w:vAlign w:val="center"/>
                </w:tcPr>
                <w:p w14:paraId="2E6ED86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
                      <w:bCs w:val="0"/>
                      <w:color w:val="000000" w:themeColor="text1"/>
                      <w:sz w:val="21"/>
                      <w:szCs w:val="21"/>
                      <w:vertAlign w:val="superscript"/>
                      <w:lang w:val="en-US" w:eastAsia="zh-CN"/>
                      <w14:textFill>
                        <w14:solidFill>
                          <w14:schemeClr w14:val="tx1"/>
                        </w14:solidFill>
                      </w14:textFill>
                    </w:rPr>
                  </w:pPr>
                  <w:r>
                    <w:rPr>
                      <w:rFonts w:hint="default" w:ascii="Times New Roman" w:hAnsi="Times New Roman" w:cs="Times New Roman"/>
                      <w:b/>
                      <w:bCs w:val="0"/>
                      <w:color w:val="000000" w:themeColor="text1"/>
                      <w:sz w:val="21"/>
                      <w:szCs w:val="21"/>
                      <w:lang w:val="en-US" w:eastAsia="zh-CN"/>
                      <w14:textFill>
                        <w14:solidFill>
                          <w14:schemeClr w14:val="tx1"/>
                        </w14:solidFill>
                      </w14:textFill>
                    </w:rPr>
                    <w:t>无组织排放监控浓度限值mg/m</w:t>
                  </w:r>
                  <w:r>
                    <w:rPr>
                      <w:rFonts w:hint="default" w:ascii="Times New Roman" w:hAnsi="Times New Roman" w:cs="Times New Roman"/>
                      <w:b/>
                      <w:bCs w:val="0"/>
                      <w:color w:val="000000" w:themeColor="text1"/>
                      <w:sz w:val="21"/>
                      <w:szCs w:val="21"/>
                      <w:vertAlign w:val="superscript"/>
                      <w:lang w:val="en-US" w:eastAsia="zh-CN"/>
                      <w14:textFill>
                        <w14:solidFill>
                          <w14:schemeClr w14:val="tx1"/>
                        </w14:solidFill>
                      </w14:textFill>
                    </w:rPr>
                    <w:t>3</w:t>
                  </w:r>
                </w:p>
              </w:tc>
              <w:tc>
                <w:tcPr>
                  <w:tcW w:w="1102" w:type="pct"/>
                  <w:tcBorders>
                    <w:tl2br w:val="nil"/>
                    <w:tr2bl w:val="nil"/>
                  </w:tcBorders>
                  <w:vAlign w:val="center"/>
                </w:tcPr>
                <w:p w14:paraId="7D9AEF1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
                      <w:bCs w:val="0"/>
                      <w:color w:val="000000" w:themeColor="text1"/>
                      <w:sz w:val="21"/>
                      <w:szCs w:val="21"/>
                      <w:lang w:val="en-US" w:eastAsia="zh-CN"/>
                      <w14:textFill>
                        <w14:solidFill>
                          <w14:schemeClr w14:val="tx1"/>
                        </w14:solidFill>
                      </w14:textFill>
                    </w:rPr>
                  </w:pPr>
                  <w:r>
                    <w:rPr>
                      <w:rFonts w:hint="default" w:ascii="Times New Roman" w:hAnsi="Times New Roman" w:cs="Times New Roman"/>
                      <w:b/>
                      <w:bCs w:val="0"/>
                      <w:color w:val="000000" w:themeColor="text1"/>
                      <w:sz w:val="21"/>
                      <w:szCs w:val="21"/>
                      <w:lang w:val="en-US" w:eastAsia="zh-CN"/>
                      <w14:textFill>
                        <w14:solidFill>
                          <w14:schemeClr w14:val="tx1"/>
                        </w14:solidFill>
                      </w14:textFill>
                    </w:rPr>
                    <w:t>标准来源</w:t>
                  </w:r>
                </w:p>
              </w:tc>
            </w:tr>
            <w:tr w14:paraId="270FCC6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restart"/>
                  <w:tcBorders>
                    <w:tl2br w:val="nil"/>
                    <w:tr2bl w:val="nil"/>
                  </w:tcBorders>
                  <w:vAlign w:val="center"/>
                </w:tcPr>
                <w:p w14:paraId="5950FF5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搅浆废气、注浆、成型废气及打磨废气</w:t>
                  </w:r>
                  <w:r>
                    <w:rPr>
                      <w:rFonts w:hint="eastAsia" w:ascii="Times New Roman" w:hAnsi="Times New Roman" w:cs="Times New Roman"/>
                      <w:bCs/>
                      <w:color w:val="000000" w:themeColor="text1"/>
                      <w:sz w:val="21"/>
                      <w:szCs w:val="21"/>
                      <w:lang w:val="en-US" w:eastAsia="zh-CN"/>
                      <w14:textFill>
                        <w14:solidFill>
                          <w14:schemeClr w14:val="tx1"/>
                        </w14:solidFill>
                      </w14:textFill>
                    </w:rPr>
                    <w:t>（DA001）</w:t>
                  </w:r>
                </w:p>
              </w:tc>
              <w:tc>
                <w:tcPr>
                  <w:tcW w:w="722" w:type="pct"/>
                  <w:tcBorders>
                    <w:tl2br w:val="nil"/>
                    <w:tr2bl w:val="nil"/>
                  </w:tcBorders>
                  <w:vAlign w:val="center"/>
                </w:tcPr>
                <w:p w14:paraId="243E84C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颗粒物</w:t>
                  </w:r>
                </w:p>
              </w:tc>
              <w:tc>
                <w:tcPr>
                  <w:tcW w:w="535" w:type="pct"/>
                  <w:vMerge w:val="restart"/>
                  <w:tcBorders>
                    <w:tl2br w:val="nil"/>
                    <w:tr2bl w:val="nil"/>
                  </w:tcBorders>
                  <w:vAlign w:val="center"/>
                </w:tcPr>
                <w:p w14:paraId="006F775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30</w:t>
                  </w:r>
                </w:p>
              </w:tc>
              <w:tc>
                <w:tcPr>
                  <w:tcW w:w="629" w:type="pct"/>
                  <w:tcBorders>
                    <w:tl2br w:val="nil"/>
                    <w:tr2bl w:val="nil"/>
                  </w:tcBorders>
                  <w:vAlign w:val="center"/>
                </w:tcPr>
                <w:p w14:paraId="6F483BD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30</w:t>
                  </w:r>
                </w:p>
              </w:tc>
              <w:tc>
                <w:tcPr>
                  <w:tcW w:w="629" w:type="pct"/>
                  <w:tcBorders>
                    <w:tl2br w:val="nil"/>
                    <w:tr2bl w:val="nil"/>
                  </w:tcBorders>
                  <w:vAlign w:val="center"/>
                </w:tcPr>
                <w:p w14:paraId="5CCA2BE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7BDD6DB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1.0</w:t>
                  </w:r>
                </w:p>
              </w:tc>
              <w:tc>
                <w:tcPr>
                  <w:tcW w:w="1102" w:type="pct"/>
                  <w:tcBorders>
                    <w:tl2br w:val="nil"/>
                    <w:tr2bl w:val="nil"/>
                  </w:tcBorders>
                  <w:vAlign w:val="center"/>
                </w:tcPr>
                <w:p w14:paraId="0F89887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GB</w:t>
                  </w:r>
                  <w:r>
                    <w:rPr>
                      <w:rFonts w:hint="eastAsia" w:ascii="Times New Roman" w:hAnsi="Times New Roman" w:eastAsia="宋体" w:cs="Times New Roman"/>
                      <w:color w:val="000000" w:themeColor="text1"/>
                      <w:szCs w:val="21"/>
                      <w:lang w:bidi="ar"/>
                      <w14:textFill>
                        <w14:solidFill>
                          <w14:schemeClr w14:val="tx1"/>
                        </w14:solidFill>
                      </w14:textFill>
                    </w:rPr>
                    <w:t>31572</w:t>
                  </w:r>
                  <w:r>
                    <w:rPr>
                      <w:rFonts w:ascii="Times New Roman" w:hAnsi="Times New Roman" w:eastAsia="宋体" w:cs="Times New Roman"/>
                      <w:color w:val="000000" w:themeColor="text1"/>
                      <w:szCs w:val="21"/>
                      <w:lang w:bidi="ar"/>
                      <w14:textFill>
                        <w14:solidFill>
                          <w14:schemeClr w14:val="tx1"/>
                        </w14:solidFill>
                      </w14:textFill>
                    </w:rPr>
                    <w:t>-201</w:t>
                  </w:r>
                  <w:r>
                    <w:rPr>
                      <w:rFonts w:hint="eastAsia" w:ascii="Times New Roman" w:hAnsi="Times New Roman" w:eastAsia="宋体" w:cs="Times New Roman"/>
                      <w:color w:val="000000" w:themeColor="text1"/>
                      <w:szCs w:val="21"/>
                      <w:lang w:bidi="ar"/>
                      <w14:textFill>
                        <w14:solidFill>
                          <w14:schemeClr w14:val="tx1"/>
                        </w14:solidFill>
                      </w14:textFill>
                    </w:rPr>
                    <w:t>5</w:t>
                  </w:r>
                  <w:r>
                    <w:rPr>
                      <w:rFonts w:hint="eastAsia"/>
                      <w:bCs/>
                      <w:color w:val="000000" w:themeColor="text1"/>
                      <w:sz w:val="21"/>
                      <w:szCs w:val="21"/>
                      <w:lang w:val="en-US" w:eastAsia="zh-CN"/>
                      <w14:textFill>
                        <w14:solidFill>
                          <w14:schemeClr w14:val="tx1"/>
                        </w14:solidFill>
                      </w14:textFill>
                    </w:rPr>
                    <w:t>表4</w:t>
                  </w:r>
                </w:p>
              </w:tc>
            </w:tr>
            <w:tr w14:paraId="5B2D862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246B9819">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6528B6D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苯乙烯</w:t>
                  </w:r>
                </w:p>
              </w:tc>
              <w:tc>
                <w:tcPr>
                  <w:tcW w:w="535" w:type="pct"/>
                  <w:vMerge w:val="continue"/>
                  <w:tcBorders>
                    <w:tl2br w:val="nil"/>
                    <w:tr2bl w:val="nil"/>
                  </w:tcBorders>
                  <w:vAlign w:val="center"/>
                </w:tcPr>
                <w:p w14:paraId="493E38A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629" w:type="pct"/>
                  <w:tcBorders>
                    <w:tl2br w:val="nil"/>
                    <w:tr2bl w:val="nil"/>
                  </w:tcBorders>
                  <w:vAlign w:val="center"/>
                </w:tcPr>
                <w:p w14:paraId="0A80B45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5</w:t>
                  </w:r>
                </w:p>
              </w:tc>
              <w:tc>
                <w:tcPr>
                  <w:tcW w:w="629" w:type="pct"/>
                  <w:tcBorders>
                    <w:tl2br w:val="nil"/>
                    <w:tr2bl w:val="nil"/>
                  </w:tcBorders>
                  <w:vAlign w:val="center"/>
                </w:tcPr>
                <w:p w14:paraId="4A574540">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6173BB9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0.2</w:t>
                  </w:r>
                </w:p>
              </w:tc>
              <w:tc>
                <w:tcPr>
                  <w:tcW w:w="1102" w:type="pct"/>
                  <w:vMerge w:val="restart"/>
                  <w:tcBorders>
                    <w:tl2br w:val="nil"/>
                    <w:tr2bl w:val="nil"/>
                  </w:tcBorders>
                  <w:vAlign w:val="center"/>
                </w:tcPr>
                <w:p w14:paraId="129F472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DB36/1101.4-2019</w:t>
                  </w:r>
                  <w:r>
                    <w:rPr>
                      <w:rFonts w:hint="eastAsia"/>
                      <w:color w:val="000000" w:themeColor="text1"/>
                      <w:sz w:val="21"/>
                      <w:szCs w:val="21"/>
                      <w:lang w:val="en-US" w:eastAsia="zh-CN"/>
                      <w14:textFill>
                        <w14:solidFill>
                          <w14:schemeClr w14:val="tx1"/>
                        </w14:solidFill>
                      </w14:textFill>
                    </w:rPr>
                    <w:t>表1、表2</w:t>
                  </w:r>
                </w:p>
              </w:tc>
            </w:tr>
            <w:tr w14:paraId="77F7CD8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6E327BEA">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1B01807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TVOC</w:t>
                  </w:r>
                </w:p>
              </w:tc>
              <w:tc>
                <w:tcPr>
                  <w:tcW w:w="535" w:type="pct"/>
                  <w:vMerge w:val="continue"/>
                  <w:tcBorders>
                    <w:tl2br w:val="nil"/>
                    <w:tr2bl w:val="nil"/>
                  </w:tcBorders>
                  <w:vAlign w:val="center"/>
                </w:tcPr>
                <w:p w14:paraId="05D44320">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629" w:type="pct"/>
                  <w:tcBorders>
                    <w:tl2br w:val="nil"/>
                    <w:tr2bl w:val="nil"/>
                  </w:tcBorders>
                  <w:vAlign w:val="center"/>
                </w:tcPr>
                <w:p w14:paraId="13A2A65A">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40</w:t>
                  </w:r>
                </w:p>
              </w:tc>
              <w:tc>
                <w:tcPr>
                  <w:tcW w:w="629" w:type="pct"/>
                  <w:tcBorders>
                    <w:tl2br w:val="nil"/>
                    <w:tr2bl w:val="nil"/>
                  </w:tcBorders>
                  <w:vAlign w:val="center"/>
                </w:tcPr>
                <w:p w14:paraId="2883F060">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373DF1E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2.0</w:t>
                  </w:r>
                </w:p>
              </w:tc>
              <w:tc>
                <w:tcPr>
                  <w:tcW w:w="1102" w:type="pct"/>
                  <w:vMerge w:val="continue"/>
                  <w:tcBorders>
                    <w:tl2br w:val="nil"/>
                    <w:tr2bl w:val="nil"/>
                  </w:tcBorders>
                  <w:vAlign w:val="center"/>
                </w:tcPr>
                <w:p w14:paraId="4419A41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r>
            <w:tr w14:paraId="7462E3C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641EE3A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352D797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臭气浓度</w:t>
                  </w:r>
                </w:p>
              </w:tc>
              <w:tc>
                <w:tcPr>
                  <w:tcW w:w="535" w:type="pct"/>
                  <w:vMerge w:val="continue"/>
                  <w:tcBorders>
                    <w:tl2br w:val="nil"/>
                    <w:tr2bl w:val="nil"/>
                  </w:tcBorders>
                  <w:vAlign w:val="center"/>
                </w:tcPr>
                <w:p w14:paraId="79E901CE">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629" w:type="pct"/>
                  <w:tcBorders>
                    <w:tl2br w:val="nil"/>
                    <w:tr2bl w:val="nil"/>
                  </w:tcBorders>
                  <w:vAlign w:val="center"/>
                </w:tcPr>
                <w:p w14:paraId="7AF7EFC0">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15</w:t>
                  </w:r>
                  <w:r>
                    <w:rPr>
                      <w:rFonts w:hint="eastAsia" w:ascii="Times New Roman" w:hAnsi="Times New Roman" w:cs="Times New Roman"/>
                      <w:bCs/>
                      <w:color w:val="000000" w:themeColor="text1"/>
                      <w:sz w:val="21"/>
                      <w:szCs w:val="21"/>
                      <w:lang w:val="en-US" w:eastAsia="zh-CN"/>
                      <w14:textFill>
                        <w14:solidFill>
                          <w14:schemeClr w14:val="tx1"/>
                        </w14:solidFill>
                      </w14:textFill>
                    </w:rPr>
                    <w:t>000（无量纲）</w:t>
                  </w:r>
                </w:p>
              </w:tc>
              <w:tc>
                <w:tcPr>
                  <w:tcW w:w="629" w:type="pct"/>
                  <w:tcBorders>
                    <w:tl2br w:val="nil"/>
                    <w:tr2bl w:val="nil"/>
                  </w:tcBorders>
                  <w:vAlign w:val="center"/>
                </w:tcPr>
                <w:p w14:paraId="3C2EA8F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487F0F3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20（无量纲）</w:t>
                  </w:r>
                </w:p>
              </w:tc>
              <w:tc>
                <w:tcPr>
                  <w:tcW w:w="1102" w:type="pct"/>
                  <w:tcBorders>
                    <w:tl2br w:val="nil"/>
                    <w:tr2bl w:val="nil"/>
                  </w:tcBorders>
                  <w:vAlign w:val="center"/>
                </w:tcPr>
                <w:p w14:paraId="598C3AA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olor w:val="000000" w:themeColor="text1"/>
                      <w14:textFill>
                        <w14:solidFill>
                          <w14:schemeClr w14:val="tx1"/>
                        </w14:solidFill>
                      </w14:textFill>
                    </w:rPr>
                    <w:t>GB 14554-93</w:t>
                  </w:r>
                  <w:r>
                    <w:rPr>
                      <w:rFonts w:hint="eastAsia"/>
                      <w:color w:val="000000" w:themeColor="text1"/>
                      <w:lang w:val="en-US" w:eastAsia="zh-CN"/>
                      <w14:textFill>
                        <w14:solidFill>
                          <w14:schemeClr w14:val="tx1"/>
                        </w14:solidFill>
                      </w14:textFill>
                    </w:rPr>
                    <w:t>表1、表2</w:t>
                  </w:r>
                </w:p>
              </w:tc>
            </w:tr>
            <w:tr w14:paraId="331761F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restart"/>
                  <w:tcBorders>
                    <w:tl2br w:val="nil"/>
                    <w:tr2bl w:val="nil"/>
                  </w:tcBorders>
                  <w:vAlign w:val="center"/>
                </w:tcPr>
                <w:p w14:paraId="3AFE076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调漆废气、喷漆、流平、晾干废气、彩绘、晾干废气及喷枪清洗废气</w:t>
                  </w:r>
                  <w:r>
                    <w:rPr>
                      <w:rFonts w:hint="eastAsia" w:cs="Times New Roman"/>
                      <w:bCs/>
                      <w:color w:val="000000" w:themeColor="text1"/>
                      <w:sz w:val="21"/>
                      <w:szCs w:val="21"/>
                      <w:lang w:val="en-US" w:eastAsia="zh-CN"/>
                      <w14:textFill>
                        <w14:solidFill>
                          <w14:schemeClr w14:val="tx1"/>
                        </w14:solidFill>
                      </w14:textFill>
                    </w:rPr>
                    <w:t>（DA002）</w:t>
                  </w:r>
                </w:p>
              </w:tc>
              <w:tc>
                <w:tcPr>
                  <w:tcW w:w="722" w:type="pct"/>
                  <w:tcBorders>
                    <w:tl2br w:val="nil"/>
                    <w:tr2bl w:val="nil"/>
                  </w:tcBorders>
                  <w:vAlign w:val="center"/>
                </w:tcPr>
                <w:p w14:paraId="0633948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颗粒物</w:t>
                  </w:r>
                </w:p>
              </w:tc>
              <w:tc>
                <w:tcPr>
                  <w:tcW w:w="535" w:type="pct"/>
                  <w:vMerge w:val="restart"/>
                  <w:tcBorders>
                    <w:tl2br w:val="nil"/>
                    <w:tr2bl w:val="nil"/>
                  </w:tcBorders>
                  <w:vAlign w:val="center"/>
                </w:tcPr>
                <w:p w14:paraId="7D47236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30</w:t>
                  </w:r>
                </w:p>
              </w:tc>
              <w:tc>
                <w:tcPr>
                  <w:tcW w:w="629" w:type="pct"/>
                  <w:tcBorders>
                    <w:tl2br w:val="nil"/>
                    <w:tr2bl w:val="nil"/>
                  </w:tcBorders>
                  <w:shd w:val="clear" w:color="auto" w:fill="auto"/>
                  <w:vAlign w:val="center"/>
                </w:tcPr>
                <w:p w14:paraId="23629AF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120</w:t>
                  </w:r>
                </w:p>
              </w:tc>
              <w:tc>
                <w:tcPr>
                  <w:tcW w:w="629" w:type="pct"/>
                  <w:tcBorders>
                    <w:tl2br w:val="nil"/>
                    <w:tr2bl w:val="nil"/>
                  </w:tcBorders>
                  <w:shd w:val="clear" w:color="auto" w:fill="auto"/>
                  <w:vAlign w:val="center"/>
                </w:tcPr>
                <w:p w14:paraId="703BB36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11.5*</w:t>
                  </w:r>
                </w:p>
              </w:tc>
              <w:tc>
                <w:tcPr>
                  <w:tcW w:w="629" w:type="pct"/>
                  <w:tcBorders>
                    <w:tl2br w:val="nil"/>
                    <w:tr2bl w:val="nil"/>
                  </w:tcBorders>
                  <w:shd w:val="clear" w:color="auto" w:fill="auto"/>
                  <w:vAlign w:val="center"/>
                </w:tcPr>
                <w:p w14:paraId="4653AA7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1.0</w:t>
                  </w:r>
                </w:p>
              </w:tc>
              <w:tc>
                <w:tcPr>
                  <w:tcW w:w="1102" w:type="pct"/>
                  <w:tcBorders>
                    <w:tl2br w:val="nil"/>
                    <w:tr2bl w:val="nil"/>
                  </w:tcBorders>
                  <w:shd w:val="clear" w:color="auto" w:fill="auto"/>
                  <w:vAlign w:val="center"/>
                </w:tcPr>
                <w:p w14:paraId="460A829A">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bCs/>
                      <w:color w:val="000000" w:themeColor="text1"/>
                      <w:sz w:val="21"/>
                      <w:szCs w:val="21"/>
                      <w14:textFill>
                        <w14:solidFill>
                          <w14:schemeClr w14:val="tx1"/>
                        </w14:solidFill>
                      </w14:textFill>
                    </w:rPr>
                    <w:t>GB16297-1996</w:t>
                  </w:r>
                  <w:r>
                    <w:rPr>
                      <w:rFonts w:hint="eastAsia"/>
                      <w:bCs/>
                      <w:color w:val="000000" w:themeColor="text1"/>
                      <w:sz w:val="21"/>
                      <w:szCs w:val="21"/>
                      <w:lang w:val="en-US" w:eastAsia="zh-CN"/>
                      <w14:textFill>
                        <w14:solidFill>
                          <w14:schemeClr w14:val="tx1"/>
                        </w14:solidFill>
                      </w14:textFill>
                    </w:rPr>
                    <w:t>表2</w:t>
                  </w:r>
                </w:p>
              </w:tc>
            </w:tr>
            <w:tr w14:paraId="7DA07E9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398F04D9">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5143A7D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苯系物</w:t>
                  </w:r>
                </w:p>
              </w:tc>
              <w:tc>
                <w:tcPr>
                  <w:tcW w:w="535" w:type="pct"/>
                  <w:vMerge w:val="continue"/>
                  <w:tcBorders>
                    <w:tl2br w:val="nil"/>
                    <w:tr2bl w:val="nil"/>
                  </w:tcBorders>
                  <w:vAlign w:val="center"/>
                </w:tcPr>
                <w:p w14:paraId="40D271D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629" w:type="pct"/>
                  <w:tcBorders>
                    <w:tl2br w:val="nil"/>
                    <w:tr2bl w:val="nil"/>
                  </w:tcBorders>
                  <w:vAlign w:val="center"/>
                </w:tcPr>
                <w:p w14:paraId="368A4F4D">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40</w:t>
                  </w:r>
                </w:p>
              </w:tc>
              <w:tc>
                <w:tcPr>
                  <w:tcW w:w="629" w:type="pct"/>
                  <w:tcBorders>
                    <w:tl2br w:val="nil"/>
                    <w:tr2bl w:val="nil"/>
                  </w:tcBorders>
                  <w:vAlign w:val="center"/>
                </w:tcPr>
                <w:p w14:paraId="34ADEF3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47284EDA">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1102" w:type="pct"/>
                  <w:vMerge w:val="restart"/>
                  <w:tcBorders>
                    <w:tl2br w:val="nil"/>
                    <w:tr2bl w:val="nil"/>
                  </w:tcBorders>
                  <w:vAlign w:val="center"/>
                </w:tcPr>
                <w:p w14:paraId="5745030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DB36/2186-2025表1</w:t>
                  </w:r>
                </w:p>
              </w:tc>
            </w:tr>
            <w:tr w14:paraId="4C97390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00595FBD">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12D5CB6D">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TVOC</w:t>
                  </w:r>
                </w:p>
              </w:tc>
              <w:tc>
                <w:tcPr>
                  <w:tcW w:w="535" w:type="pct"/>
                  <w:vMerge w:val="continue"/>
                  <w:tcBorders>
                    <w:tl2br w:val="nil"/>
                    <w:tr2bl w:val="nil"/>
                  </w:tcBorders>
                  <w:vAlign w:val="center"/>
                </w:tcPr>
                <w:p w14:paraId="0A9B1D8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629" w:type="pct"/>
                  <w:tcBorders>
                    <w:tl2br w:val="nil"/>
                    <w:tr2bl w:val="nil"/>
                  </w:tcBorders>
                  <w:vAlign w:val="center"/>
                </w:tcPr>
                <w:p w14:paraId="21FA494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100</w:t>
                  </w:r>
                </w:p>
              </w:tc>
              <w:tc>
                <w:tcPr>
                  <w:tcW w:w="629" w:type="pct"/>
                  <w:tcBorders>
                    <w:tl2br w:val="nil"/>
                    <w:tr2bl w:val="nil"/>
                  </w:tcBorders>
                  <w:vAlign w:val="center"/>
                </w:tcPr>
                <w:p w14:paraId="3C2A003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1FF8DE5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1102" w:type="pct"/>
                  <w:vMerge w:val="continue"/>
                  <w:tcBorders>
                    <w:tl2br w:val="nil"/>
                    <w:tr2bl w:val="nil"/>
                  </w:tcBorders>
                  <w:vAlign w:val="center"/>
                </w:tcPr>
                <w:p w14:paraId="253B366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r>
            <w:tr w14:paraId="7E6E654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54EF762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3D526FC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臭气浓度</w:t>
                  </w:r>
                </w:p>
              </w:tc>
              <w:tc>
                <w:tcPr>
                  <w:tcW w:w="535" w:type="pct"/>
                  <w:vMerge w:val="continue"/>
                  <w:tcBorders>
                    <w:tl2br w:val="nil"/>
                    <w:tr2bl w:val="nil"/>
                  </w:tcBorders>
                  <w:vAlign w:val="center"/>
                </w:tcPr>
                <w:p w14:paraId="1842B13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629" w:type="pct"/>
                  <w:tcBorders>
                    <w:tl2br w:val="nil"/>
                    <w:tr2bl w:val="nil"/>
                  </w:tcBorders>
                  <w:vAlign w:val="center"/>
                </w:tcPr>
                <w:p w14:paraId="61A063A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15</w:t>
                  </w:r>
                  <w:r>
                    <w:rPr>
                      <w:rFonts w:hint="eastAsia" w:ascii="Times New Roman" w:hAnsi="Times New Roman" w:cs="Times New Roman"/>
                      <w:bCs/>
                      <w:color w:val="000000" w:themeColor="text1"/>
                      <w:sz w:val="21"/>
                      <w:szCs w:val="21"/>
                      <w:lang w:val="en-US" w:eastAsia="zh-CN"/>
                      <w14:textFill>
                        <w14:solidFill>
                          <w14:schemeClr w14:val="tx1"/>
                        </w14:solidFill>
                      </w14:textFill>
                    </w:rPr>
                    <w:t>000（无量纲）</w:t>
                  </w:r>
                </w:p>
              </w:tc>
              <w:tc>
                <w:tcPr>
                  <w:tcW w:w="629" w:type="pct"/>
                  <w:tcBorders>
                    <w:tl2br w:val="nil"/>
                    <w:tr2bl w:val="nil"/>
                  </w:tcBorders>
                  <w:vAlign w:val="center"/>
                </w:tcPr>
                <w:p w14:paraId="2BDD88A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04AB4B5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20（无量纲）</w:t>
                  </w:r>
                </w:p>
              </w:tc>
              <w:tc>
                <w:tcPr>
                  <w:tcW w:w="1102" w:type="pct"/>
                  <w:tcBorders>
                    <w:tl2br w:val="nil"/>
                    <w:tr2bl w:val="nil"/>
                  </w:tcBorders>
                  <w:vAlign w:val="center"/>
                </w:tcPr>
                <w:p w14:paraId="5C47F52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t>GB 14554-93</w:t>
                  </w:r>
                  <w:r>
                    <w:rPr>
                      <w:rFonts w:hint="eastAsia"/>
                      <w:color w:val="000000" w:themeColor="text1"/>
                      <w:lang w:val="en-US" w:eastAsia="zh-CN"/>
                      <w14:textFill>
                        <w14:solidFill>
                          <w14:schemeClr w14:val="tx1"/>
                        </w14:solidFill>
                      </w14:textFill>
                    </w:rPr>
                    <w:t>表1、表2</w:t>
                  </w:r>
                </w:p>
              </w:tc>
            </w:tr>
            <w:tr w14:paraId="6E4AB5B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restart"/>
                  <w:tcBorders>
                    <w:tl2br w:val="nil"/>
                    <w:tr2bl w:val="nil"/>
                  </w:tcBorders>
                  <w:vAlign w:val="center"/>
                </w:tcPr>
                <w:p w14:paraId="6CBAB8F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无组织排放废气</w:t>
                  </w:r>
                </w:p>
              </w:tc>
              <w:tc>
                <w:tcPr>
                  <w:tcW w:w="722" w:type="pct"/>
                  <w:tcBorders>
                    <w:tl2br w:val="nil"/>
                    <w:tr2bl w:val="nil"/>
                  </w:tcBorders>
                  <w:vAlign w:val="center"/>
                </w:tcPr>
                <w:p w14:paraId="7EDE984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颗粒物</w:t>
                  </w:r>
                </w:p>
              </w:tc>
              <w:tc>
                <w:tcPr>
                  <w:tcW w:w="535" w:type="pct"/>
                  <w:tcBorders>
                    <w:tl2br w:val="nil"/>
                    <w:tr2bl w:val="nil"/>
                  </w:tcBorders>
                  <w:vAlign w:val="center"/>
                </w:tcPr>
                <w:p w14:paraId="2A97F7B0">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418BE37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7A59669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689BBD6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1.0</w:t>
                  </w:r>
                </w:p>
              </w:tc>
              <w:tc>
                <w:tcPr>
                  <w:tcW w:w="1102" w:type="pct"/>
                  <w:tcBorders>
                    <w:bottom w:val="single" w:color="auto" w:sz="4" w:space="0"/>
                    <w:tl2br w:val="nil"/>
                    <w:tr2bl w:val="nil"/>
                  </w:tcBorders>
                  <w:vAlign w:val="center"/>
                </w:tcPr>
                <w:p w14:paraId="0A2794C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color w:val="000000" w:themeColor="text1"/>
                      <w14:textFill>
                        <w14:solidFill>
                          <w14:schemeClr w14:val="tx1"/>
                        </w14:solidFill>
                      </w14:textFill>
                    </w:rPr>
                  </w:pPr>
                  <w:r>
                    <w:rPr>
                      <w:bCs/>
                      <w:color w:val="000000" w:themeColor="text1"/>
                      <w:sz w:val="21"/>
                      <w:szCs w:val="21"/>
                      <w14:textFill>
                        <w14:solidFill>
                          <w14:schemeClr w14:val="tx1"/>
                        </w14:solidFill>
                      </w14:textFill>
                    </w:rPr>
                    <w:t>GB16297-1996</w:t>
                  </w:r>
                  <w:r>
                    <w:rPr>
                      <w:rFonts w:hint="eastAsia"/>
                      <w:bCs/>
                      <w:color w:val="000000" w:themeColor="text1"/>
                      <w:sz w:val="21"/>
                      <w:szCs w:val="21"/>
                      <w:lang w:val="en-US" w:eastAsia="zh-CN"/>
                      <w14:textFill>
                        <w14:solidFill>
                          <w14:schemeClr w14:val="tx1"/>
                        </w14:solidFill>
                      </w14:textFill>
                    </w:rPr>
                    <w:t>表2</w:t>
                  </w:r>
                </w:p>
              </w:tc>
            </w:tr>
            <w:tr w14:paraId="1C0265A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737C79E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7C71934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二甲苯</w:t>
                  </w:r>
                </w:p>
              </w:tc>
              <w:tc>
                <w:tcPr>
                  <w:tcW w:w="535" w:type="pct"/>
                  <w:tcBorders>
                    <w:tl2br w:val="nil"/>
                    <w:tr2bl w:val="nil"/>
                  </w:tcBorders>
                  <w:vAlign w:val="center"/>
                </w:tcPr>
                <w:p w14:paraId="4BD1383A">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633C1E4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2C65FF4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5D59227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0.2</w:t>
                  </w:r>
                </w:p>
              </w:tc>
              <w:tc>
                <w:tcPr>
                  <w:tcW w:w="1102" w:type="pct"/>
                  <w:tcBorders>
                    <w:top w:val="single" w:color="auto" w:sz="4" w:space="0"/>
                    <w:tl2br w:val="nil"/>
                    <w:tr2bl w:val="nil"/>
                  </w:tcBorders>
                  <w:vAlign w:val="center"/>
                </w:tcPr>
                <w:p w14:paraId="385B6FB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DB36/1101.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-2019</w:t>
                  </w:r>
                  <w:r>
                    <w:rPr>
                      <w:rFonts w:hint="eastAsia"/>
                      <w:color w:val="000000" w:themeColor="text1"/>
                      <w:sz w:val="21"/>
                      <w:szCs w:val="21"/>
                      <w:lang w:val="en-US" w:eastAsia="zh-CN"/>
                      <w14:textFill>
                        <w14:solidFill>
                          <w14:schemeClr w14:val="tx1"/>
                        </w14:solidFill>
                      </w14:textFill>
                    </w:rPr>
                    <w:t>表2</w:t>
                  </w:r>
                </w:p>
              </w:tc>
            </w:tr>
            <w:tr w14:paraId="3EA7959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0BB7067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3A78F54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苯乙烯</w:t>
                  </w:r>
                </w:p>
              </w:tc>
              <w:tc>
                <w:tcPr>
                  <w:tcW w:w="535" w:type="pct"/>
                  <w:tcBorders>
                    <w:tl2br w:val="nil"/>
                    <w:tr2bl w:val="nil"/>
                  </w:tcBorders>
                  <w:vAlign w:val="center"/>
                </w:tcPr>
                <w:p w14:paraId="081D807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1F7A6579">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732D15E9">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7D83F6C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0.2</w:t>
                  </w:r>
                </w:p>
              </w:tc>
              <w:tc>
                <w:tcPr>
                  <w:tcW w:w="1102" w:type="pct"/>
                  <w:vMerge w:val="restart"/>
                  <w:tcBorders>
                    <w:tl2br w:val="nil"/>
                    <w:tr2bl w:val="nil"/>
                  </w:tcBorders>
                  <w:vAlign w:val="center"/>
                </w:tcPr>
                <w:p w14:paraId="48F693C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DB36/1101.4-2019</w:t>
                  </w:r>
                  <w:r>
                    <w:rPr>
                      <w:rFonts w:hint="eastAsia"/>
                      <w:color w:val="000000" w:themeColor="text1"/>
                      <w:sz w:val="21"/>
                      <w:szCs w:val="21"/>
                      <w:lang w:val="en-US" w:eastAsia="zh-CN"/>
                      <w14:textFill>
                        <w14:solidFill>
                          <w14:schemeClr w14:val="tx1"/>
                        </w14:solidFill>
                      </w14:textFill>
                    </w:rPr>
                    <w:t>表2</w:t>
                  </w:r>
                </w:p>
              </w:tc>
            </w:tr>
            <w:tr w14:paraId="429BBB8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609AB1D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5E98579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TVOC</w:t>
                  </w:r>
                </w:p>
              </w:tc>
              <w:tc>
                <w:tcPr>
                  <w:tcW w:w="535" w:type="pct"/>
                  <w:tcBorders>
                    <w:tl2br w:val="nil"/>
                    <w:tr2bl w:val="nil"/>
                  </w:tcBorders>
                  <w:vAlign w:val="center"/>
                </w:tcPr>
                <w:p w14:paraId="4EDEB55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5A826FFE">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28DEC7F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19D8A08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2.0</w:t>
                  </w:r>
                </w:p>
              </w:tc>
              <w:tc>
                <w:tcPr>
                  <w:tcW w:w="1102" w:type="pct"/>
                  <w:vMerge w:val="continue"/>
                  <w:tcBorders>
                    <w:tl2br w:val="nil"/>
                    <w:tr2bl w:val="nil"/>
                  </w:tcBorders>
                  <w:vAlign w:val="center"/>
                </w:tcPr>
                <w:p w14:paraId="3CE8B79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color w:val="000000" w:themeColor="text1"/>
                      <w14:textFill>
                        <w14:solidFill>
                          <w14:schemeClr w14:val="tx1"/>
                        </w14:solidFill>
                      </w14:textFill>
                    </w:rPr>
                  </w:pPr>
                </w:p>
              </w:tc>
            </w:tr>
            <w:tr w14:paraId="462D827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752" w:type="pct"/>
                  <w:vMerge w:val="continue"/>
                  <w:tcBorders>
                    <w:tl2br w:val="nil"/>
                    <w:tr2bl w:val="nil"/>
                  </w:tcBorders>
                  <w:vAlign w:val="center"/>
                </w:tcPr>
                <w:p w14:paraId="2B44497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14:textFill>
                        <w14:solidFill>
                          <w14:schemeClr w14:val="tx1"/>
                        </w14:solidFill>
                      </w14:textFill>
                    </w:rPr>
                  </w:pPr>
                </w:p>
              </w:tc>
              <w:tc>
                <w:tcPr>
                  <w:tcW w:w="722" w:type="pct"/>
                  <w:tcBorders>
                    <w:tl2br w:val="nil"/>
                    <w:tr2bl w:val="nil"/>
                  </w:tcBorders>
                  <w:vAlign w:val="center"/>
                </w:tcPr>
                <w:p w14:paraId="61EC95A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臭气浓度</w:t>
                  </w:r>
                </w:p>
              </w:tc>
              <w:tc>
                <w:tcPr>
                  <w:tcW w:w="535" w:type="pct"/>
                  <w:tcBorders>
                    <w:tl2br w:val="nil"/>
                    <w:tr2bl w:val="nil"/>
                  </w:tcBorders>
                  <w:vAlign w:val="center"/>
                </w:tcPr>
                <w:p w14:paraId="61CA4F6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020B73C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1626653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w:t>
                  </w:r>
                </w:p>
              </w:tc>
              <w:tc>
                <w:tcPr>
                  <w:tcW w:w="629" w:type="pct"/>
                  <w:tcBorders>
                    <w:tl2br w:val="nil"/>
                    <w:tr2bl w:val="nil"/>
                  </w:tcBorders>
                  <w:vAlign w:val="center"/>
                </w:tcPr>
                <w:p w14:paraId="2F659CB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20（无量纲）</w:t>
                  </w:r>
                </w:p>
              </w:tc>
              <w:tc>
                <w:tcPr>
                  <w:tcW w:w="1102" w:type="pct"/>
                  <w:tcBorders>
                    <w:tl2br w:val="nil"/>
                    <w:tr2bl w:val="nil"/>
                  </w:tcBorders>
                  <w:vAlign w:val="center"/>
                </w:tcPr>
                <w:p w14:paraId="53B9A07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GB 14554-93</w:t>
                  </w:r>
                  <w:r>
                    <w:rPr>
                      <w:rFonts w:hint="eastAsia"/>
                      <w:color w:val="000000" w:themeColor="text1"/>
                      <w:lang w:val="en-US" w:eastAsia="zh-CN"/>
                      <w14:textFill>
                        <w14:solidFill>
                          <w14:schemeClr w14:val="tx1"/>
                        </w14:solidFill>
                      </w14:textFill>
                    </w:rPr>
                    <w:t>表1</w:t>
                  </w:r>
                </w:p>
              </w:tc>
            </w:tr>
            <w:tr w14:paraId="73519F2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5000" w:type="pct"/>
                  <w:gridSpan w:val="7"/>
                  <w:tcBorders>
                    <w:tl2br w:val="nil"/>
                    <w:tr2bl w:val="nil"/>
                  </w:tcBorders>
                  <w:vAlign w:val="center"/>
                </w:tcPr>
                <w:p w14:paraId="47C285D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both"/>
                    <w:textAlignment w:val="auto"/>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宋体"/>
                      <w:b/>
                      <w:bCs/>
                      <w:color w:val="000000" w:themeColor="text1"/>
                      <w:sz w:val="18"/>
                      <w:szCs w:val="18"/>
                      <w:highlight w:val="none"/>
                      <w:lang w:val="en-US" w:eastAsia="zh-CN"/>
                      <w14:textFill>
                        <w14:solidFill>
                          <w14:schemeClr w14:val="tx1"/>
                        </w14:solidFill>
                      </w14:textFill>
                    </w:rPr>
                    <w:t>*注：项目DA002排气筒高度为30m，而项目车间高度整体约28m，不满足《</w:t>
                  </w:r>
                  <w:r>
                    <w:rPr>
                      <w:rFonts w:ascii="Times New Roman" w:hAnsi="Times New Roman" w:eastAsia="宋体" w:cs="宋体"/>
                      <w:b/>
                      <w:bCs/>
                      <w:color w:val="000000" w:themeColor="text1"/>
                      <w:sz w:val="18"/>
                      <w:szCs w:val="18"/>
                      <w:highlight w:val="none"/>
                      <w14:textFill>
                        <w14:solidFill>
                          <w14:schemeClr w14:val="tx1"/>
                        </w14:solidFill>
                      </w14:textFill>
                    </w:rPr>
                    <w:t>大气污染物综合排放标准》</w:t>
                  </w:r>
                  <w:r>
                    <w:rPr>
                      <w:rFonts w:ascii="Times New Roman" w:hAnsi="Times New Roman" w:eastAsia="宋体" w:cs="宋体"/>
                      <w:b/>
                      <w:bCs/>
                      <w:color w:val="000000" w:themeColor="text1"/>
                      <w:sz w:val="18"/>
                      <w:szCs w:val="18"/>
                      <w:highlight w:val="none"/>
                      <w:lang w:val="en-GB"/>
                      <w14:textFill>
                        <w14:solidFill>
                          <w14:schemeClr w14:val="tx1"/>
                        </w14:solidFill>
                      </w14:textFill>
                    </w:rPr>
                    <w:t>(</w:t>
                  </w:r>
                  <w:r>
                    <w:rPr>
                      <w:rFonts w:ascii="Times New Roman" w:hAnsi="Times New Roman" w:eastAsia="宋体" w:cs="宋体"/>
                      <w:b/>
                      <w:bCs/>
                      <w:color w:val="000000" w:themeColor="text1"/>
                      <w:sz w:val="18"/>
                      <w:szCs w:val="18"/>
                      <w:highlight w:val="none"/>
                      <w14:textFill>
                        <w14:solidFill>
                          <w14:schemeClr w14:val="tx1"/>
                        </w14:solidFill>
                      </w14:textFill>
                    </w:rPr>
                    <w:t>GB16297-1996)</w:t>
                  </w:r>
                  <w:r>
                    <w:rPr>
                      <w:rFonts w:hint="eastAsia" w:ascii="Times New Roman" w:hAnsi="Times New Roman" w:eastAsia="宋体" w:cs="宋体"/>
                      <w:b/>
                      <w:bCs/>
                      <w:color w:val="000000" w:themeColor="text1"/>
                      <w:sz w:val="18"/>
                      <w:szCs w:val="18"/>
                      <w:highlight w:val="none"/>
                      <w:lang w:val="en-US" w:eastAsia="zh-CN"/>
                      <w14:textFill>
                        <w14:solidFill>
                          <w14:schemeClr w14:val="tx1"/>
                        </w14:solidFill>
                      </w14:textFill>
                    </w:rPr>
                    <w:t>中要求的“排气筒高度应高出周围200m半径范围的建筑物5m以上</w:t>
                  </w:r>
                  <w:r>
                    <w:rPr>
                      <w:rFonts w:hint="eastAsia" w:cs="宋体"/>
                      <w:b/>
                      <w:bCs/>
                      <w:color w:val="000000" w:themeColor="text1"/>
                      <w:sz w:val="18"/>
                      <w:szCs w:val="18"/>
                      <w:highlight w:val="none"/>
                      <w:lang w:val="en-US" w:eastAsia="zh-CN"/>
                      <w14:textFill>
                        <w14:solidFill>
                          <w14:schemeClr w14:val="tx1"/>
                        </w14:solidFill>
                      </w14:textFill>
                    </w:rPr>
                    <w:t>，</w:t>
                  </w:r>
                  <w:r>
                    <w:rPr>
                      <w:rFonts w:hint="eastAsia" w:ascii="Times New Roman" w:hAnsi="Times New Roman" w:eastAsia="宋体" w:cs="宋体"/>
                      <w:b/>
                      <w:bCs/>
                      <w:color w:val="000000" w:themeColor="text1"/>
                      <w:sz w:val="18"/>
                      <w:szCs w:val="18"/>
                      <w:highlight w:val="none"/>
                      <w:lang w:val="en-US" w:eastAsia="zh-CN"/>
                      <w14:textFill>
                        <w14:solidFill>
                          <w14:schemeClr w14:val="tx1"/>
                        </w14:solidFill>
                      </w14:textFill>
                    </w:rPr>
                    <w:t>其污染物颗粒物排放速率限值严格50%执行</w:t>
                  </w:r>
                  <w:r>
                    <w:rPr>
                      <w:rFonts w:hint="eastAsia" w:cs="宋体"/>
                      <w:b/>
                      <w:bCs/>
                      <w:color w:val="000000" w:themeColor="text1"/>
                      <w:sz w:val="18"/>
                      <w:szCs w:val="18"/>
                      <w:highlight w:val="none"/>
                      <w:lang w:val="en-US" w:eastAsia="zh-CN"/>
                      <w14:textFill>
                        <w14:solidFill>
                          <w14:schemeClr w14:val="tx1"/>
                        </w14:solidFill>
                      </w14:textFill>
                    </w:rPr>
                    <w:t>。</w:t>
                  </w:r>
                </w:p>
              </w:tc>
            </w:tr>
          </w:tbl>
          <w:p w14:paraId="1CC593FE">
            <w:pPr>
              <w:pStyle w:val="57"/>
              <w:numPr>
                <w:ilvl w:val="3"/>
                <w:numId w:val="19"/>
              </w:numPr>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厂区内VOCs无组织排放标准</w:t>
            </w:r>
          </w:p>
          <w:tbl>
            <w:tblPr>
              <w:tblStyle w:val="36"/>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147"/>
              <w:gridCol w:w="1284"/>
              <w:gridCol w:w="2228"/>
              <w:gridCol w:w="1702"/>
              <w:gridCol w:w="2006"/>
            </w:tblGrid>
            <w:tr w14:paraId="27463C5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88" w:type="pct"/>
                  <w:tcBorders>
                    <w:tl2br w:val="nil"/>
                    <w:tr2bl w:val="nil"/>
                  </w:tcBorders>
                  <w:vAlign w:val="center"/>
                </w:tcPr>
                <w:p w14:paraId="214B83D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b/>
                      <w:bCs w:val="0"/>
                      <w:color w:val="000000" w:themeColor="text1"/>
                      <w:sz w:val="21"/>
                      <w:szCs w:val="21"/>
                      <w14:textFill>
                        <w14:solidFill>
                          <w14:schemeClr w14:val="tx1"/>
                        </w14:solidFill>
                      </w14:textFill>
                    </w:rPr>
                  </w:pPr>
                  <w:r>
                    <w:rPr>
                      <w:rFonts w:ascii="宋体" w:hAnsi="宋体"/>
                      <w:b/>
                      <w:bCs w:val="0"/>
                      <w:color w:val="000000" w:themeColor="text1"/>
                      <w:sz w:val="21"/>
                      <w:szCs w:val="21"/>
                      <w14:textFill>
                        <w14:solidFill>
                          <w14:schemeClr w14:val="tx1"/>
                        </w14:solidFill>
                      </w14:textFill>
                    </w:rPr>
                    <w:t>污染物名称</w:t>
                  </w:r>
                </w:p>
              </w:tc>
              <w:tc>
                <w:tcPr>
                  <w:tcW w:w="844" w:type="pct"/>
                  <w:tcBorders>
                    <w:tl2br w:val="nil"/>
                    <w:tr2bl w:val="nil"/>
                  </w:tcBorders>
                  <w:vAlign w:val="center"/>
                </w:tcPr>
                <w:p w14:paraId="690DD0BB">
                  <w:pPr>
                    <w:keepNext w:val="0"/>
                    <w:keepLines w:val="0"/>
                    <w:pageBreakBefore w:val="0"/>
                    <w:kinsoku/>
                    <w:wordWrap/>
                    <w:overflowPunct/>
                    <w:topLinePunct w:val="0"/>
                    <w:autoSpaceDE/>
                    <w:autoSpaceDN/>
                    <w:bidi w:val="0"/>
                    <w:adjustRightInd w:val="0"/>
                    <w:snapToGrid w:val="0"/>
                    <w:spacing w:line="240" w:lineRule="auto"/>
                    <w:ind w:right="-120" w:rightChars="-50" w:firstLine="0" w:firstLineChars="0"/>
                    <w:jc w:val="center"/>
                    <w:textAlignment w:val="auto"/>
                    <w:rPr>
                      <w:rFonts w:hint="eastAsia" w:ascii="宋体" w:hAnsi="宋体"/>
                      <w:b/>
                      <w:bCs w:val="0"/>
                      <w:color w:val="000000" w:themeColor="text1"/>
                      <w:sz w:val="21"/>
                      <w:szCs w:val="21"/>
                      <w14:textFill>
                        <w14:solidFill>
                          <w14:schemeClr w14:val="tx1"/>
                        </w14:solidFill>
                      </w14:textFill>
                    </w:rPr>
                  </w:pPr>
                  <w:r>
                    <w:rPr>
                      <w:rFonts w:hint="eastAsia" w:ascii="宋体" w:hAnsi="宋体"/>
                      <w:b/>
                      <w:bCs w:val="0"/>
                      <w:color w:val="000000" w:themeColor="text1"/>
                      <w:sz w:val="21"/>
                      <w:szCs w:val="21"/>
                      <w14:textFill>
                        <w14:solidFill>
                          <w14:schemeClr w14:val="tx1"/>
                        </w14:solidFill>
                      </w14:textFill>
                    </w:rPr>
                    <w:t>排放限值（</w:t>
                  </w:r>
                  <w:r>
                    <w:rPr>
                      <w:rFonts w:hint="eastAsia"/>
                      <w:b/>
                      <w:bCs w:val="0"/>
                      <w:color w:val="000000" w:themeColor="text1"/>
                      <w:sz w:val="21"/>
                      <w:szCs w:val="21"/>
                      <w14:textFill>
                        <w14:solidFill>
                          <w14:schemeClr w14:val="tx1"/>
                        </w14:solidFill>
                      </w14:textFill>
                    </w:rPr>
                    <w:t>mg/m</w:t>
                  </w:r>
                  <w:r>
                    <w:rPr>
                      <w:rFonts w:hint="eastAsia"/>
                      <w:b/>
                      <w:bCs w:val="0"/>
                      <w:color w:val="000000" w:themeColor="text1"/>
                      <w:sz w:val="21"/>
                      <w:szCs w:val="21"/>
                      <w:vertAlign w:val="superscript"/>
                      <w14:textFill>
                        <w14:solidFill>
                          <w14:schemeClr w14:val="tx1"/>
                        </w14:solidFill>
                      </w14:textFill>
                    </w:rPr>
                    <w:t>3</w:t>
                  </w:r>
                  <w:r>
                    <w:rPr>
                      <w:rFonts w:hint="eastAsia" w:ascii="宋体" w:hAnsi="宋体"/>
                      <w:b/>
                      <w:bCs w:val="0"/>
                      <w:color w:val="000000" w:themeColor="text1"/>
                      <w:sz w:val="21"/>
                      <w:szCs w:val="21"/>
                      <w14:textFill>
                        <w14:solidFill>
                          <w14:schemeClr w14:val="tx1"/>
                        </w14:solidFill>
                      </w14:textFill>
                    </w:rPr>
                    <w:t>）</w:t>
                  </w:r>
                </w:p>
              </w:tc>
              <w:tc>
                <w:tcPr>
                  <w:tcW w:w="1459" w:type="pct"/>
                  <w:tcBorders>
                    <w:tl2br w:val="nil"/>
                    <w:tr2bl w:val="nil"/>
                  </w:tcBorders>
                  <w:vAlign w:val="center"/>
                </w:tcPr>
                <w:p w14:paraId="520D78EA">
                  <w:pPr>
                    <w:keepNext w:val="0"/>
                    <w:keepLines w:val="0"/>
                    <w:pageBreakBefore w:val="0"/>
                    <w:kinsoku/>
                    <w:wordWrap/>
                    <w:overflowPunct/>
                    <w:topLinePunct w:val="0"/>
                    <w:autoSpaceDE/>
                    <w:autoSpaceDN/>
                    <w:bidi w:val="0"/>
                    <w:adjustRightInd w:val="0"/>
                    <w:snapToGrid w:val="0"/>
                    <w:spacing w:line="240" w:lineRule="auto"/>
                    <w:ind w:right="-120" w:rightChars="-50" w:firstLine="0" w:firstLineChars="0"/>
                    <w:jc w:val="center"/>
                    <w:textAlignment w:val="auto"/>
                    <w:rPr>
                      <w:rFonts w:hint="eastAsia" w:ascii="宋体" w:hAnsi="宋体"/>
                      <w:b/>
                      <w:bCs w:val="0"/>
                      <w:color w:val="000000" w:themeColor="text1"/>
                      <w:sz w:val="21"/>
                      <w:szCs w:val="21"/>
                      <w14:textFill>
                        <w14:solidFill>
                          <w14:schemeClr w14:val="tx1"/>
                        </w14:solidFill>
                      </w14:textFill>
                    </w:rPr>
                  </w:pPr>
                  <w:r>
                    <w:rPr>
                      <w:rFonts w:hint="eastAsia" w:ascii="宋体" w:hAnsi="宋体"/>
                      <w:b/>
                      <w:bCs w:val="0"/>
                      <w:color w:val="000000" w:themeColor="text1"/>
                      <w:sz w:val="21"/>
                      <w:szCs w:val="21"/>
                      <w14:textFill>
                        <w14:solidFill>
                          <w14:schemeClr w14:val="tx1"/>
                        </w14:solidFill>
                      </w14:textFill>
                    </w:rPr>
                    <w:t>限值含义</w:t>
                  </w:r>
                </w:p>
              </w:tc>
              <w:tc>
                <w:tcPr>
                  <w:tcW w:w="1119" w:type="pct"/>
                  <w:tcBorders>
                    <w:right w:val="single" w:color="auto" w:sz="4" w:space="0"/>
                    <w:tl2br w:val="nil"/>
                    <w:tr2bl w:val="nil"/>
                  </w:tcBorders>
                  <w:vAlign w:val="center"/>
                </w:tcPr>
                <w:p w14:paraId="69E480D2">
                  <w:pPr>
                    <w:keepNext w:val="0"/>
                    <w:keepLines w:val="0"/>
                    <w:pageBreakBefore w:val="0"/>
                    <w:kinsoku/>
                    <w:wordWrap/>
                    <w:overflowPunct/>
                    <w:topLinePunct w:val="0"/>
                    <w:autoSpaceDE/>
                    <w:autoSpaceDN/>
                    <w:bidi w:val="0"/>
                    <w:adjustRightInd w:val="0"/>
                    <w:snapToGrid w:val="0"/>
                    <w:spacing w:line="240" w:lineRule="auto"/>
                    <w:ind w:right="-120" w:rightChars="-50" w:firstLine="0" w:firstLineChars="0"/>
                    <w:jc w:val="center"/>
                    <w:textAlignment w:val="auto"/>
                    <w:rPr>
                      <w:rFonts w:hint="default" w:ascii="宋体" w:hAnsi="宋体" w:eastAsia="宋体"/>
                      <w:b/>
                      <w:bCs w:val="0"/>
                      <w:color w:val="000000" w:themeColor="text1"/>
                      <w:sz w:val="21"/>
                      <w:szCs w:val="21"/>
                      <w:lang w:val="en-US" w:eastAsia="zh-CN"/>
                      <w14:textFill>
                        <w14:solidFill>
                          <w14:schemeClr w14:val="tx1"/>
                        </w14:solidFill>
                      </w14:textFill>
                    </w:rPr>
                  </w:pPr>
                  <w:r>
                    <w:rPr>
                      <w:rFonts w:hint="eastAsia" w:ascii="宋体" w:hAnsi="宋体"/>
                      <w:b/>
                      <w:bCs w:val="0"/>
                      <w:color w:val="000000" w:themeColor="text1"/>
                      <w:sz w:val="21"/>
                      <w:szCs w:val="21"/>
                      <w:lang w:val="en-US" w:eastAsia="zh-CN"/>
                      <w14:textFill>
                        <w14:solidFill>
                          <w14:schemeClr w14:val="tx1"/>
                        </w14:solidFill>
                      </w14:textFill>
                    </w:rPr>
                    <w:t>监控点</w:t>
                  </w:r>
                </w:p>
              </w:tc>
              <w:tc>
                <w:tcPr>
                  <w:tcW w:w="788" w:type="pct"/>
                  <w:tcBorders>
                    <w:left w:val="single" w:color="auto" w:sz="4" w:space="0"/>
                    <w:tl2br w:val="nil"/>
                    <w:tr2bl w:val="nil"/>
                  </w:tcBorders>
                  <w:vAlign w:val="center"/>
                </w:tcPr>
                <w:p w14:paraId="023C0E1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宋体" w:hAnsi="宋体" w:eastAsia="宋体"/>
                      <w:b/>
                      <w:bCs w:val="0"/>
                      <w:color w:val="000000" w:themeColor="text1"/>
                      <w:sz w:val="21"/>
                      <w:szCs w:val="21"/>
                      <w:lang w:val="en-US" w:eastAsia="zh-CN"/>
                      <w14:textFill>
                        <w14:solidFill>
                          <w14:schemeClr w14:val="tx1"/>
                        </w14:solidFill>
                      </w14:textFill>
                    </w:rPr>
                  </w:pPr>
                  <w:r>
                    <w:rPr>
                      <w:rFonts w:hint="eastAsia" w:ascii="宋体" w:hAnsi="宋体"/>
                      <w:b/>
                      <w:bCs w:val="0"/>
                      <w:color w:val="000000" w:themeColor="text1"/>
                      <w:sz w:val="21"/>
                      <w:szCs w:val="21"/>
                      <w:lang w:val="en-US" w:eastAsia="zh-CN"/>
                      <w14:textFill>
                        <w14:solidFill>
                          <w14:schemeClr w14:val="tx1"/>
                        </w14:solidFill>
                      </w14:textFill>
                    </w:rPr>
                    <w:t>标准来源</w:t>
                  </w:r>
                </w:p>
              </w:tc>
            </w:tr>
            <w:tr w14:paraId="04EC473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88" w:type="pct"/>
                  <w:vMerge w:val="restart"/>
                  <w:tcBorders>
                    <w:tl2br w:val="nil"/>
                    <w:tr2bl w:val="nil"/>
                  </w:tcBorders>
                  <w:vAlign w:val="center"/>
                </w:tcPr>
                <w:p w14:paraId="6A535334">
                  <w:pPr>
                    <w:keepNext w:val="0"/>
                    <w:keepLines w:val="0"/>
                    <w:pageBreakBefore w:val="0"/>
                    <w:kinsoku/>
                    <w:wordWrap/>
                    <w:overflowPunct/>
                    <w:topLinePunct w:val="0"/>
                    <w:autoSpaceDE/>
                    <w:autoSpaceDN/>
                    <w:bidi w:val="0"/>
                    <w:adjustRightInd w:val="0"/>
                    <w:snapToGrid w:val="0"/>
                    <w:spacing w:line="240" w:lineRule="auto"/>
                    <w:ind w:right="-120" w:rightChars="-50" w:firstLine="0" w:firstLineChars="0"/>
                    <w:jc w:val="center"/>
                    <w:textAlignment w:val="auto"/>
                    <w:rPr>
                      <w:rFonts w:hint="eastAsia" w:ascii="宋体" w:hAnsi="宋体"/>
                      <w:bCs/>
                      <w:color w:val="000000" w:themeColor="text1"/>
                      <w:sz w:val="21"/>
                      <w:szCs w:val="21"/>
                      <w14:textFill>
                        <w14:solidFill>
                          <w14:schemeClr w14:val="tx1"/>
                        </w14:solidFill>
                      </w14:textFill>
                    </w:rPr>
                  </w:pPr>
                  <w:r>
                    <w:rPr>
                      <w:rFonts w:hint="eastAsia" w:ascii="宋体" w:hAnsi="宋体"/>
                      <w:bCs/>
                      <w:color w:val="000000" w:themeColor="text1"/>
                      <w:sz w:val="21"/>
                      <w:szCs w:val="21"/>
                      <w14:textFill>
                        <w14:solidFill>
                          <w14:schemeClr w14:val="tx1"/>
                        </w14:solidFill>
                      </w14:textFill>
                    </w:rPr>
                    <w:t>非甲烷总烃</w:t>
                  </w:r>
                </w:p>
              </w:tc>
              <w:tc>
                <w:tcPr>
                  <w:tcW w:w="844" w:type="pct"/>
                  <w:tcBorders>
                    <w:tl2br w:val="nil"/>
                    <w:tr2bl w:val="nil"/>
                  </w:tcBorders>
                  <w:vAlign w:val="center"/>
                </w:tcPr>
                <w:p w14:paraId="19ABDC84">
                  <w:pPr>
                    <w:keepNext w:val="0"/>
                    <w:keepLines w:val="0"/>
                    <w:pageBreakBefore w:val="0"/>
                    <w:kinsoku/>
                    <w:wordWrap/>
                    <w:overflowPunct/>
                    <w:topLinePunct w:val="0"/>
                    <w:autoSpaceDE/>
                    <w:autoSpaceDN/>
                    <w:bidi w:val="0"/>
                    <w:adjustRightInd w:val="0"/>
                    <w:snapToGrid w:val="0"/>
                    <w:spacing w:line="240" w:lineRule="auto"/>
                    <w:ind w:right="-120" w:rightChars="-50" w:firstLine="0" w:firstLineChars="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10</w:t>
                  </w:r>
                </w:p>
              </w:tc>
              <w:tc>
                <w:tcPr>
                  <w:tcW w:w="1459" w:type="pct"/>
                  <w:tcBorders>
                    <w:tl2br w:val="nil"/>
                    <w:tr2bl w:val="nil"/>
                  </w:tcBorders>
                  <w:vAlign w:val="center"/>
                </w:tcPr>
                <w:p w14:paraId="713779A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bCs/>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监控点处</w:t>
                  </w:r>
                  <w:r>
                    <w:rPr>
                      <w:color w:val="000000" w:themeColor="text1"/>
                      <w:sz w:val="21"/>
                      <w:szCs w:val="21"/>
                      <w14:textFill>
                        <w14:solidFill>
                          <w14:schemeClr w14:val="tx1"/>
                        </w14:solidFill>
                      </w14:textFill>
                    </w:rPr>
                    <w:t>1h</w:t>
                  </w:r>
                  <w:r>
                    <w:rPr>
                      <w:rFonts w:ascii="宋体" w:hAnsi="宋体"/>
                      <w:color w:val="000000" w:themeColor="text1"/>
                      <w:sz w:val="21"/>
                      <w:szCs w:val="21"/>
                      <w14:textFill>
                        <w14:solidFill>
                          <w14:schemeClr w14:val="tx1"/>
                        </w14:solidFill>
                      </w14:textFill>
                    </w:rPr>
                    <w:t>平均浓度值</w:t>
                  </w:r>
                </w:p>
              </w:tc>
              <w:tc>
                <w:tcPr>
                  <w:tcW w:w="1119" w:type="pct"/>
                  <w:vMerge w:val="restart"/>
                  <w:tcBorders>
                    <w:right w:val="single" w:color="auto" w:sz="4" w:space="0"/>
                    <w:tl2br w:val="nil"/>
                    <w:tr2bl w:val="nil"/>
                  </w:tcBorders>
                  <w:vAlign w:val="center"/>
                </w:tcPr>
                <w:p w14:paraId="78423934">
                  <w:pPr>
                    <w:keepNext w:val="0"/>
                    <w:keepLines w:val="0"/>
                    <w:pageBreakBefore w:val="0"/>
                    <w:kinsoku/>
                    <w:wordWrap/>
                    <w:overflowPunct/>
                    <w:topLinePunct w:val="0"/>
                    <w:autoSpaceDE/>
                    <w:autoSpaceDN/>
                    <w:bidi w:val="0"/>
                    <w:adjustRightInd w:val="0"/>
                    <w:snapToGrid w:val="0"/>
                    <w:spacing w:line="240" w:lineRule="auto"/>
                    <w:ind w:right="-120" w:rightChars="-50" w:firstLine="0" w:firstLineChars="0"/>
                    <w:jc w:val="center"/>
                    <w:textAlignment w:val="auto"/>
                    <w:rPr>
                      <w:rFonts w:hint="eastAsia" w:ascii="宋体" w:hAnsi="宋体"/>
                      <w:bCs/>
                      <w:color w:val="000000" w:themeColor="text1"/>
                      <w:sz w:val="21"/>
                      <w:szCs w:val="21"/>
                      <w14:textFill>
                        <w14:solidFill>
                          <w14:schemeClr w14:val="tx1"/>
                        </w14:solidFill>
                      </w14:textFill>
                    </w:rPr>
                  </w:pPr>
                  <w:r>
                    <w:rPr>
                      <w:rFonts w:ascii="宋体" w:hAnsi="宋体"/>
                      <w:color w:val="000000" w:themeColor="text1"/>
                      <w:spacing w:val="4"/>
                      <w:kern w:val="0"/>
                      <w:sz w:val="21"/>
                      <w:szCs w:val="21"/>
                      <w14:textFill>
                        <w14:solidFill>
                          <w14:schemeClr w14:val="tx1"/>
                        </w14:solidFill>
                      </w14:textFill>
                    </w:rPr>
                    <w:t>在厂房外设置监测点</w:t>
                  </w:r>
                </w:p>
              </w:tc>
              <w:tc>
                <w:tcPr>
                  <w:tcW w:w="788" w:type="pct"/>
                  <w:vMerge w:val="restart"/>
                  <w:tcBorders>
                    <w:left w:val="single" w:color="auto" w:sz="4" w:space="0"/>
                    <w:tl2br w:val="nil"/>
                    <w:tr2bl w:val="nil"/>
                  </w:tcBorders>
                  <w:vAlign w:val="center"/>
                </w:tcPr>
                <w:p w14:paraId="77DD2AA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ascii="宋体" w:hAnsi="宋体"/>
                      <w:color w:val="000000" w:themeColor="text1"/>
                      <w:spacing w:val="4"/>
                      <w:kern w:val="0"/>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DB36/2186-2025</w:t>
                  </w:r>
                </w:p>
              </w:tc>
            </w:tr>
            <w:tr w14:paraId="6CEC789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88" w:type="pct"/>
                  <w:vMerge w:val="continue"/>
                  <w:tcBorders>
                    <w:tl2br w:val="nil"/>
                    <w:tr2bl w:val="nil"/>
                  </w:tcBorders>
                  <w:vAlign w:val="center"/>
                </w:tcPr>
                <w:p w14:paraId="5E2D31F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bCs/>
                      <w:color w:val="000000" w:themeColor="text1"/>
                      <w:sz w:val="21"/>
                      <w:szCs w:val="21"/>
                      <w14:textFill>
                        <w14:solidFill>
                          <w14:schemeClr w14:val="tx1"/>
                        </w14:solidFill>
                      </w14:textFill>
                    </w:rPr>
                  </w:pPr>
                </w:p>
              </w:tc>
              <w:tc>
                <w:tcPr>
                  <w:tcW w:w="844" w:type="pct"/>
                  <w:tcBorders>
                    <w:tl2br w:val="nil"/>
                    <w:tr2bl w:val="nil"/>
                  </w:tcBorders>
                  <w:vAlign w:val="center"/>
                </w:tcPr>
                <w:p w14:paraId="06E2B9EF">
                  <w:pPr>
                    <w:keepNext w:val="0"/>
                    <w:keepLines w:val="0"/>
                    <w:pageBreakBefore w:val="0"/>
                    <w:kinsoku/>
                    <w:wordWrap/>
                    <w:overflowPunct/>
                    <w:topLinePunct w:val="0"/>
                    <w:autoSpaceDE/>
                    <w:autoSpaceDN/>
                    <w:bidi w:val="0"/>
                    <w:adjustRightInd w:val="0"/>
                    <w:snapToGrid w:val="0"/>
                    <w:spacing w:line="240" w:lineRule="auto"/>
                    <w:ind w:right="-120" w:rightChars="-50" w:firstLine="0" w:firstLineChars="0"/>
                    <w:jc w:val="center"/>
                    <w:textAlignment w:val="auto"/>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30</w:t>
                  </w:r>
                </w:p>
              </w:tc>
              <w:tc>
                <w:tcPr>
                  <w:tcW w:w="1459" w:type="pct"/>
                  <w:tcBorders>
                    <w:tl2br w:val="nil"/>
                    <w:tr2bl w:val="nil"/>
                  </w:tcBorders>
                  <w:vAlign w:val="center"/>
                </w:tcPr>
                <w:p w14:paraId="4303BA3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bCs/>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监控点处任意一次浓度值</w:t>
                  </w:r>
                </w:p>
              </w:tc>
              <w:tc>
                <w:tcPr>
                  <w:tcW w:w="1119" w:type="pct"/>
                  <w:vMerge w:val="continue"/>
                  <w:tcBorders>
                    <w:right w:val="single" w:color="auto" w:sz="4" w:space="0"/>
                    <w:tl2br w:val="nil"/>
                    <w:tr2bl w:val="nil"/>
                  </w:tcBorders>
                  <w:vAlign w:val="center"/>
                </w:tcPr>
                <w:p w14:paraId="010B0F1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bCs/>
                      <w:color w:val="000000" w:themeColor="text1"/>
                      <w:sz w:val="21"/>
                      <w:szCs w:val="21"/>
                      <w14:textFill>
                        <w14:solidFill>
                          <w14:schemeClr w14:val="tx1"/>
                        </w14:solidFill>
                      </w14:textFill>
                    </w:rPr>
                  </w:pPr>
                </w:p>
              </w:tc>
              <w:tc>
                <w:tcPr>
                  <w:tcW w:w="788" w:type="pct"/>
                  <w:vMerge w:val="continue"/>
                  <w:tcBorders>
                    <w:left w:val="single" w:color="auto" w:sz="4" w:space="0"/>
                    <w:tl2br w:val="nil"/>
                    <w:tr2bl w:val="nil"/>
                  </w:tcBorders>
                  <w:vAlign w:val="center"/>
                </w:tcPr>
                <w:p w14:paraId="1F53600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bCs/>
                      <w:color w:val="000000" w:themeColor="text1"/>
                      <w:sz w:val="21"/>
                      <w:szCs w:val="21"/>
                      <w14:textFill>
                        <w14:solidFill>
                          <w14:schemeClr w14:val="tx1"/>
                        </w14:solidFill>
                      </w14:textFill>
                    </w:rPr>
                  </w:pPr>
                </w:p>
              </w:tc>
            </w:tr>
          </w:tbl>
          <w:p w14:paraId="0A6A218B">
            <w:pPr>
              <w:ind w:firstLine="48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w:t>
            </w:r>
            <w:r>
              <w:rPr>
                <w:b/>
                <w:bCs/>
                <w:color w:val="000000" w:themeColor="text1"/>
                <w14:textFill>
                  <w14:solidFill>
                    <w14:schemeClr w14:val="tx1"/>
                  </w14:solidFill>
                </w14:textFill>
              </w:rPr>
              <w:t>噪声</w:t>
            </w:r>
          </w:p>
          <w:p w14:paraId="249595D5">
            <w:pPr>
              <w:ind w:firstLine="480"/>
              <w:textAlignment w:val="baseline"/>
              <w:rPr>
                <w:color w:val="000000" w:themeColor="text1"/>
                <w:kern w:val="0"/>
                <w:szCs w:val="20"/>
                <w14:textFill>
                  <w14:solidFill>
                    <w14:schemeClr w14:val="tx1"/>
                  </w14:solidFill>
                </w14:textFill>
              </w:rPr>
            </w:pPr>
            <w:r>
              <w:rPr>
                <w:rFonts w:hint="eastAsia"/>
                <w:color w:val="000000" w:themeColor="text1"/>
                <w:kern w:val="0"/>
                <w:szCs w:val="20"/>
                <w:lang w:val="en-US" w:eastAsia="zh-CN"/>
                <w14:textFill>
                  <w14:solidFill>
                    <w14:schemeClr w14:val="tx1"/>
                  </w14:solidFill>
                </w14:textFill>
              </w:rPr>
              <w:t>项目</w:t>
            </w:r>
            <w:r>
              <w:rPr>
                <w:color w:val="000000" w:themeColor="text1"/>
                <w:kern w:val="0"/>
                <w:szCs w:val="20"/>
                <w14:textFill>
                  <w14:solidFill>
                    <w14:schemeClr w14:val="tx1"/>
                  </w14:solidFill>
                </w14:textFill>
              </w:rPr>
              <w:t>营运期厂界四周噪声执行《工业企业厂界环境噪声排放标准》（GB12348-2008）中</w:t>
            </w:r>
            <w:r>
              <w:rPr>
                <w:rFonts w:hint="eastAsia"/>
                <w:color w:val="000000" w:themeColor="text1"/>
                <w:kern w:val="0"/>
                <w:szCs w:val="20"/>
                <w14:textFill>
                  <w14:solidFill>
                    <w14:schemeClr w14:val="tx1"/>
                  </w14:solidFill>
                </w14:textFill>
              </w:rPr>
              <w:t>3</w:t>
            </w:r>
            <w:r>
              <w:rPr>
                <w:color w:val="000000" w:themeColor="text1"/>
                <w:kern w:val="0"/>
                <w:szCs w:val="20"/>
                <w14:textFill>
                  <w14:solidFill>
                    <w14:schemeClr w14:val="tx1"/>
                  </w14:solidFill>
                </w14:textFill>
              </w:rPr>
              <w:t>类标准。</w:t>
            </w:r>
          </w:p>
          <w:p w14:paraId="19BBF3FC">
            <w:pPr>
              <w:ind w:firstLine="480"/>
              <w:textAlignment w:val="baseline"/>
              <w:rPr>
                <w:color w:val="000000" w:themeColor="text1"/>
                <w:kern w:val="0"/>
                <w:szCs w:val="20"/>
                <w14:textFill>
                  <w14:solidFill>
                    <w14:schemeClr w14:val="tx1"/>
                  </w14:solidFill>
                </w14:textFill>
              </w:rPr>
            </w:pPr>
          </w:p>
          <w:p w14:paraId="0769024A">
            <w:pPr>
              <w:keepNext w:val="0"/>
              <w:keepLines w:val="0"/>
              <w:pageBreakBefore w:val="0"/>
              <w:widowControl w:val="0"/>
              <w:kinsoku/>
              <w:wordWrap/>
              <w:overflowPunct/>
              <w:topLinePunct w:val="0"/>
              <w:autoSpaceDE/>
              <w:autoSpaceDN/>
              <w:bidi w:val="0"/>
              <w:adjustRightInd w:val="0"/>
              <w:snapToGrid w:val="0"/>
              <w:spacing w:line="240" w:lineRule="auto"/>
              <w:ind w:firstLine="480"/>
              <w:textAlignment w:val="baseline"/>
              <w:rPr>
                <w:color w:val="000000" w:themeColor="text1"/>
                <w:kern w:val="0"/>
                <w:szCs w:val="20"/>
                <w14:textFill>
                  <w14:solidFill>
                    <w14:schemeClr w14:val="tx1"/>
                  </w14:solidFill>
                </w14:textFill>
              </w:rPr>
            </w:pPr>
          </w:p>
          <w:p w14:paraId="19A1D909">
            <w:pPr>
              <w:pStyle w:val="57"/>
              <w:numPr>
                <w:ilvl w:val="3"/>
                <w:numId w:val="19"/>
              </w:numPr>
              <w:rPr>
                <w:color w:val="000000" w:themeColor="text1"/>
                <w:sz w:val="24"/>
                <w:lang w:eastAsia="zh-CN"/>
                <w14:textFill>
                  <w14:solidFill>
                    <w14:schemeClr w14:val="tx1"/>
                  </w14:solidFill>
                </w14:textFill>
              </w:rPr>
            </w:pPr>
            <w:r>
              <w:rPr>
                <w:color w:val="000000" w:themeColor="text1"/>
                <w:lang w:eastAsia="zh-CN"/>
                <w14:textFill>
                  <w14:solidFill>
                    <w14:schemeClr w14:val="tx1"/>
                  </w14:solidFill>
                </w14:textFill>
              </w:rPr>
              <w:t>工业企业厂界环境噪声排放</w:t>
            </w:r>
            <w:r>
              <w:rPr>
                <w:rFonts w:hint="eastAsia"/>
                <w:color w:val="000000" w:themeColor="text1"/>
                <w:lang w:val="en-US" w:eastAsia="zh-CN"/>
                <w14:textFill>
                  <w14:solidFill>
                    <w14:schemeClr w14:val="tx1"/>
                  </w14:solidFill>
                </w14:textFill>
              </w:rPr>
              <w:t>标准</w:t>
            </w:r>
            <w:r>
              <w:rPr>
                <w:color w:val="000000" w:themeColor="text1"/>
                <w:lang w:eastAsia="zh-CN"/>
                <w14:textFill>
                  <w14:solidFill>
                    <w14:schemeClr w14:val="tx1"/>
                  </w14:solidFill>
                </w14:textFill>
              </w:rPr>
              <w:t xml:space="preserve">    单位：dB（A）</w:t>
            </w:r>
          </w:p>
          <w:tbl>
            <w:tblPr>
              <w:tblStyle w:val="3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788"/>
              <w:gridCol w:w="2789"/>
              <w:gridCol w:w="2790"/>
            </w:tblGrid>
            <w:tr w14:paraId="459099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6" w:type="pct"/>
                  <w:vAlign w:val="center"/>
                </w:tcPr>
                <w:p w14:paraId="710FDAC6">
                  <w:pPr>
                    <w:spacing w:line="240" w:lineRule="auto"/>
                    <w:ind w:firstLine="0" w:firstLineChars="0"/>
                    <w:jc w:val="center"/>
                    <w:rPr>
                      <w:b/>
                      <w:bCs/>
                      <w:color w:val="000000" w:themeColor="text1"/>
                      <w:kern w:val="18"/>
                      <w:sz w:val="21"/>
                      <w:szCs w:val="21"/>
                      <w14:textFill>
                        <w14:solidFill>
                          <w14:schemeClr w14:val="tx1"/>
                        </w14:solidFill>
                      </w14:textFill>
                    </w:rPr>
                  </w:pPr>
                  <w:r>
                    <w:rPr>
                      <w:b/>
                      <w:bCs/>
                      <w:color w:val="000000" w:themeColor="text1"/>
                      <w:kern w:val="18"/>
                      <w:sz w:val="21"/>
                      <w:szCs w:val="21"/>
                      <w14:textFill>
                        <w14:solidFill>
                          <w14:schemeClr w14:val="tx1"/>
                        </w14:solidFill>
                      </w14:textFill>
                    </w:rPr>
                    <w:t>类别</w:t>
                  </w:r>
                </w:p>
              </w:tc>
              <w:tc>
                <w:tcPr>
                  <w:tcW w:w="1666" w:type="pct"/>
                  <w:vAlign w:val="center"/>
                </w:tcPr>
                <w:p w14:paraId="0848DA17">
                  <w:pPr>
                    <w:spacing w:line="240" w:lineRule="auto"/>
                    <w:ind w:firstLine="0" w:firstLineChars="0"/>
                    <w:jc w:val="center"/>
                    <w:rPr>
                      <w:b/>
                      <w:bCs/>
                      <w:color w:val="000000" w:themeColor="text1"/>
                      <w:kern w:val="18"/>
                      <w:sz w:val="21"/>
                      <w:szCs w:val="21"/>
                      <w14:textFill>
                        <w14:solidFill>
                          <w14:schemeClr w14:val="tx1"/>
                        </w14:solidFill>
                      </w14:textFill>
                    </w:rPr>
                  </w:pPr>
                  <w:r>
                    <w:rPr>
                      <w:b/>
                      <w:bCs/>
                      <w:color w:val="000000" w:themeColor="text1"/>
                      <w:kern w:val="18"/>
                      <w:sz w:val="21"/>
                      <w:szCs w:val="21"/>
                      <w14:textFill>
                        <w14:solidFill>
                          <w14:schemeClr w14:val="tx1"/>
                        </w14:solidFill>
                      </w14:textFill>
                    </w:rPr>
                    <w:t>昼间</w:t>
                  </w:r>
                </w:p>
              </w:tc>
              <w:tc>
                <w:tcPr>
                  <w:tcW w:w="1667" w:type="pct"/>
                  <w:vAlign w:val="center"/>
                </w:tcPr>
                <w:p w14:paraId="6DE35714">
                  <w:pPr>
                    <w:spacing w:line="240" w:lineRule="auto"/>
                    <w:ind w:firstLine="0" w:firstLineChars="0"/>
                    <w:jc w:val="center"/>
                    <w:rPr>
                      <w:b/>
                      <w:bCs/>
                      <w:color w:val="000000" w:themeColor="text1"/>
                      <w:kern w:val="18"/>
                      <w:sz w:val="21"/>
                      <w:szCs w:val="21"/>
                      <w14:textFill>
                        <w14:solidFill>
                          <w14:schemeClr w14:val="tx1"/>
                        </w14:solidFill>
                      </w14:textFill>
                    </w:rPr>
                  </w:pPr>
                  <w:r>
                    <w:rPr>
                      <w:b/>
                      <w:bCs/>
                      <w:color w:val="000000" w:themeColor="text1"/>
                      <w:kern w:val="18"/>
                      <w:sz w:val="21"/>
                      <w:szCs w:val="21"/>
                      <w14:textFill>
                        <w14:solidFill>
                          <w14:schemeClr w14:val="tx1"/>
                        </w14:solidFill>
                      </w14:textFill>
                    </w:rPr>
                    <w:t>夜间</w:t>
                  </w:r>
                </w:p>
              </w:tc>
            </w:tr>
            <w:tr w14:paraId="011C1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6" w:type="pct"/>
                  <w:vAlign w:val="center"/>
                </w:tcPr>
                <w:p w14:paraId="5757A134">
                  <w:pPr>
                    <w:spacing w:line="240" w:lineRule="auto"/>
                    <w:ind w:firstLine="0" w:firstLineChars="0"/>
                    <w:jc w:val="center"/>
                    <w:rPr>
                      <w:color w:val="000000" w:themeColor="text1"/>
                      <w:kern w:val="18"/>
                      <w:sz w:val="21"/>
                      <w:szCs w:val="21"/>
                      <w14:textFill>
                        <w14:solidFill>
                          <w14:schemeClr w14:val="tx1"/>
                        </w14:solidFill>
                      </w14:textFill>
                    </w:rPr>
                  </w:pPr>
                  <w:r>
                    <w:rPr>
                      <w:rFonts w:hint="eastAsia"/>
                      <w:color w:val="000000" w:themeColor="text1"/>
                      <w:kern w:val="18"/>
                      <w:sz w:val="21"/>
                      <w:szCs w:val="21"/>
                      <w14:textFill>
                        <w14:solidFill>
                          <w14:schemeClr w14:val="tx1"/>
                        </w14:solidFill>
                      </w14:textFill>
                    </w:rPr>
                    <w:t>3</w:t>
                  </w:r>
                  <w:r>
                    <w:rPr>
                      <w:color w:val="000000" w:themeColor="text1"/>
                      <w:kern w:val="18"/>
                      <w:sz w:val="21"/>
                      <w:szCs w:val="21"/>
                      <w14:textFill>
                        <w14:solidFill>
                          <w14:schemeClr w14:val="tx1"/>
                        </w14:solidFill>
                      </w14:textFill>
                    </w:rPr>
                    <w:t>类</w:t>
                  </w:r>
                </w:p>
              </w:tc>
              <w:tc>
                <w:tcPr>
                  <w:tcW w:w="1666" w:type="pct"/>
                  <w:vAlign w:val="center"/>
                </w:tcPr>
                <w:p w14:paraId="57D038BB">
                  <w:pPr>
                    <w:spacing w:line="240" w:lineRule="auto"/>
                    <w:ind w:firstLine="0" w:firstLineChars="0"/>
                    <w:jc w:val="center"/>
                    <w:rPr>
                      <w:color w:val="000000" w:themeColor="text1"/>
                      <w:kern w:val="18"/>
                      <w:sz w:val="21"/>
                      <w:szCs w:val="21"/>
                      <w14:textFill>
                        <w14:solidFill>
                          <w14:schemeClr w14:val="tx1"/>
                        </w14:solidFill>
                      </w14:textFill>
                    </w:rPr>
                  </w:pPr>
                  <w:r>
                    <w:rPr>
                      <w:rFonts w:hint="eastAsia"/>
                      <w:color w:val="000000" w:themeColor="text1"/>
                      <w:kern w:val="18"/>
                      <w:sz w:val="21"/>
                      <w:szCs w:val="21"/>
                      <w14:textFill>
                        <w14:solidFill>
                          <w14:schemeClr w14:val="tx1"/>
                        </w14:solidFill>
                      </w14:textFill>
                    </w:rPr>
                    <w:t>65</w:t>
                  </w:r>
                </w:p>
              </w:tc>
              <w:tc>
                <w:tcPr>
                  <w:tcW w:w="1667" w:type="pct"/>
                  <w:vAlign w:val="center"/>
                </w:tcPr>
                <w:p w14:paraId="6A1D4CE6">
                  <w:pPr>
                    <w:spacing w:line="240" w:lineRule="auto"/>
                    <w:ind w:firstLine="0" w:firstLineChars="0"/>
                    <w:jc w:val="center"/>
                    <w:rPr>
                      <w:color w:val="000000" w:themeColor="text1"/>
                      <w:kern w:val="18"/>
                      <w:sz w:val="21"/>
                      <w:szCs w:val="21"/>
                      <w14:textFill>
                        <w14:solidFill>
                          <w14:schemeClr w14:val="tx1"/>
                        </w14:solidFill>
                      </w14:textFill>
                    </w:rPr>
                  </w:pPr>
                  <w:r>
                    <w:rPr>
                      <w:rFonts w:hint="eastAsia"/>
                      <w:color w:val="000000" w:themeColor="text1"/>
                      <w:kern w:val="18"/>
                      <w:sz w:val="21"/>
                      <w:szCs w:val="21"/>
                      <w14:textFill>
                        <w14:solidFill>
                          <w14:schemeClr w14:val="tx1"/>
                        </w14:solidFill>
                      </w14:textFill>
                    </w:rPr>
                    <w:t>55</w:t>
                  </w:r>
                </w:p>
              </w:tc>
            </w:tr>
          </w:tbl>
          <w:p w14:paraId="2D3D2A81">
            <w:pPr>
              <w:ind w:firstLine="482"/>
              <w:rPr>
                <w:b/>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4</w:t>
            </w:r>
            <w:r>
              <w:rPr>
                <w:b/>
                <w:bCs/>
                <w:color w:val="000000" w:themeColor="text1"/>
                <w:lang w:bidi="ar"/>
                <w14:textFill>
                  <w14:solidFill>
                    <w14:schemeClr w14:val="tx1"/>
                  </w14:solidFill>
                </w14:textFill>
              </w:rPr>
              <w:t>、</w:t>
            </w:r>
            <w:r>
              <w:rPr>
                <w:b/>
                <w:color w:val="000000" w:themeColor="text1"/>
                <w14:textFill>
                  <w14:solidFill>
                    <w14:schemeClr w14:val="tx1"/>
                  </w14:solidFill>
                </w14:textFill>
              </w:rPr>
              <w:t>固体废物</w:t>
            </w:r>
          </w:p>
          <w:p w14:paraId="1E945BA7">
            <w:pPr>
              <w:ind w:firstLine="480"/>
              <w:rPr>
                <w:rFonts w:hint="eastAsia"/>
                <w:color w:val="000000" w:themeColor="text1"/>
                <w14:textFill>
                  <w14:solidFill>
                    <w14:schemeClr w14:val="tx1"/>
                  </w14:solidFill>
                </w14:textFill>
              </w:rPr>
            </w:pPr>
            <w:r>
              <w:rPr>
                <w:color w:val="000000" w:themeColor="text1"/>
                <w14:textFill>
                  <w14:solidFill>
                    <w14:schemeClr w14:val="tx1"/>
                  </w14:solidFill>
                </w14:textFill>
              </w:rPr>
              <w:t>一般</w:t>
            </w:r>
            <w:r>
              <w:rPr>
                <w:rFonts w:hint="eastAsia"/>
                <w:color w:val="000000" w:themeColor="text1"/>
                <w14:textFill>
                  <w14:solidFill>
                    <w14:schemeClr w14:val="tx1"/>
                  </w14:solidFill>
                </w14:textFill>
              </w:rPr>
              <w:t>工业固体</w:t>
            </w:r>
            <w:r>
              <w:rPr>
                <w:color w:val="000000" w:themeColor="text1"/>
                <w14:textFill>
                  <w14:solidFill>
                    <w14:schemeClr w14:val="tx1"/>
                  </w14:solidFill>
                </w14:textFill>
              </w:rPr>
              <w:t>废物</w:t>
            </w:r>
            <w:r>
              <w:rPr>
                <w:rFonts w:hint="eastAsia"/>
                <w:color w:val="000000" w:themeColor="text1"/>
                <w14:textFill>
                  <w14:solidFill>
                    <w14:schemeClr w14:val="tx1"/>
                  </w14:solidFill>
                </w14:textFill>
              </w:rPr>
              <w:t>贮存过程应满足相应防渗漏、防雨淋、防扬尘等环境保护要求，危险废物执行《危险废物贮存污染控制标准》（GB18597-2023）要求。</w:t>
            </w:r>
          </w:p>
          <w:p w14:paraId="0532706A">
            <w:pPr>
              <w:ind w:firstLine="480"/>
              <w:rPr>
                <w:rFonts w:hint="eastAsia"/>
                <w:color w:val="000000" w:themeColor="text1"/>
                <w14:textFill>
                  <w14:solidFill>
                    <w14:schemeClr w14:val="tx1"/>
                  </w14:solidFill>
                </w14:textFill>
              </w:rPr>
            </w:pPr>
          </w:p>
          <w:p w14:paraId="45A7933C">
            <w:pPr>
              <w:ind w:firstLine="480"/>
              <w:rPr>
                <w:rFonts w:hint="eastAsia"/>
                <w:color w:val="000000" w:themeColor="text1"/>
                <w14:textFill>
                  <w14:solidFill>
                    <w14:schemeClr w14:val="tx1"/>
                  </w14:solidFill>
                </w14:textFill>
              </w:rPr>
            </w:pPr>
          </w:p>
          <w:p w14:paraId="398A1E58">
            <w:pPr>
              <w:ind w:firstLine="480"/>
              <w:rPr>
                <w:rFonts w:hint="eastAsia"/>
                <w:color w:val="000000" w:themeColor="text1"/>
                <w14:textFill>
                  <w14:solidFill>
                    <w14:schemeClr w14:val="tx1"/>
                  </w14:solidFill>
                </w14:textFill>
              </w:rPr>
            </w:pPr>
          </w:p>
        </w:tc>
      </w:tr>
      <w:tr w14:paraId="059D9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667" w:type="dxa"/>
            <w:tcBorders>
              <w:tl2br w:val="nil"/>
              <w:tr2bl w:val="nil"/>
            </w:tcBorders>
            <w:tcMar>
              <w:left w:w="28" w:type="dxa"/>
              <w:right w:w="28" w:type="dxa"/>
            </w:tcMar>
            <w:vAlign w:val="center"/>
          </w:tcPr>
          <w:p w14:paraId="0050EF14">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总量</w:t>
            </w:r>
          </w:p>
          <w:p w14:paraId="3BF08451">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控制</w:t>
            </w:r>
          </w:p>
          <w:p w14:paraId="1510FE28">
            <w:pPr>
              <w:spacing w:line="240" w:lineRule="auto"/>
              <w:ind w:firstLine="0" w:firstLineChars="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指标</w:t>
            </w:r>
          </w:p>
        </w:tc>
        <w:tc>
          <w:tcPr>
            <w:tcW w:w="8559" w:type="dxa"/>
            <w:tcBorders>
              <w:tl2br w:val="nil"/>
              <w:tr2bl w:val="nil"/>
            </w:tcBorders>
            <w:vAlign w:val="center"/>
          </w:tcPr>
          <w:p w14:paraId="37D961F8">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eastAsia="宋体" w:cs="Times New Roman"/>
                <w:snapToGrid/>
                <w:color w:val="000000" w:themeColor="text1"/>
                <w:kern w:val="0"/>
                <w:sz w:val="24"/>
                <w:szCs w:val="24"/>
                <w:highlight w:val="none"/>
                <w:lang w:val="en-US" w:eastAsia="zh-CN" w:bidi="ar-SA"/>
                <w14:textFill>
                  <w14:solidFill>
                    <w14:schemeClr w14:val="tx1"/>
                  </w14:solidFill>
                </w14:textFill>
              </w:rPr>
            </w:pPr>
          </w:p>
          <w:p w14:paraId="6AE8A1BE">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eastAsia="宋体" w:cs="Times New Roman"/>
                <w:snapToGrid/>
                <w:color w:val="000000" w:themeColor="text1"/>
                <w:kern w:val="0"/>
                <w:sz w:val="24"/>
                <w:szCs w:val="24"/>
                <w:highlight w:val="none"/>
                <w:lang w:val="en-US" w:eastAsia="zh-CN" w:bidi="ar-SA"/>
                <w14:textFill>
                  <w14:solidFill>
                    <w14:schemeClr w14:val="tx1"/>
                  </w14:solidFill>
                </w14:textFill>
              </w:rPr>
            </w:pPr>
          </w:p>
          <w:p w14:paraId="7ACDDF03">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eastAsia="宋体" w:cs="Times New Roman"/>
                <w:snapToGrid/>
                <w:color w:val="000000" w:themeColor="text1"/>
                <w:kern w:val="0"/>
                <w:sz w:val="24"/>
                <w:szCs w:val="24"/>
                <w:highlight w:val="none"/>
                <w:lang w:val="en-US" w:eastAsia="zh-CN" w:bidi="ar-SA"/>
                <w14:textFill>
                  <w14:solidFill>
                    <w14:schemeClr w14:val="tx1"/>
                  </w14:solidFill>
                </w14:textFill>
              </w:rPr>
            </w:pPr>
          </w:p>
          <w:p w14:paraId="11DFE931">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eastAsia="宋体" w:cs="Times New Roman"/>
                <w:snapToGrid/>
                <w:color w:val="000000" w:themeColor="text1"/>
                <w:kern w:val="0"/>
                <w:sz w:val="24"/>
                <w:szCs w:val="24"/>
                <w:highlight w:val="none"/>
                <w:lang w:val="en-US" w:eastAsia="zh-CN" w:bidi="ar-SA"/>
                <w14:textFill>
                  <w14:solidFill>
                    <w14:schemeClr w14:val="tx1"/>
                  </w14:solidFill>
                </w14:textFill>
              </w:rPr>
            </w:pPr>
          </w:p>
          <w:p w14:paraId="720C70C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（1）大气污染物总量控制</w:t>
            </w:r>
          </w:p>
          <w:p w14:paraId="12B6E9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项目</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废气</w:t>
            </w:r>
            <w:r>
              <w:rPr>
                <w:rFonts w:hint="eastAsia" w:eastAsia="宋体" w:cs="Times New Roman"/>
                <w:color w:val="000000" w:themeColor="text1"/>
                <w:sz w:val="24"/>
                <w:highlight w:val="none"/>
                <w:lang w:val="en-US" w:eastAsia="zh-CN"/>
                <w14:textFill>
                  <w14:solidFill>
                    <w14:schemeClr w14:val="tx1"/>
                  </w14:solidFill>
                </w14:textFill>
              </w:rPr>
              <w:t>TVOC</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排放量为0.</w:t>
            </w:r>
            <w:r>
              <w:rPr>
                <w:rFonts w:hint="eastAsia" w:eastAsia="宋体" w:cs="Times New Roman"/>
                <w:color w:val="000000" w:themeColor="text1"/>
                <w:sz w:val="24"/>
                <w:highlight w:val="none"/>
                <w:lang w:val="en-US" w:eastAsia="zh-CN"/>
                <w14:textFill>
                  <w14:solidFill>
                    <w14:schemeClr w14:val="tx1"/>
                  </w14:solidFill>
                </w14:textFill>
              </w:rPr>
              <w:t>850</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t/a，</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废气污染物总量控制指标为：</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VOCs</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w:t>
            </w:r>
            <w:r>
              <w:rPr>
                <w:rFonts w:hint="eastAsia" w:eastAsia="宋体" w:cs="Times New Roman"/>
                <w:color w:val="000000" w:themeColor="text1"/>
                <w:sz w:val="24"/>
                <w:highlight w:val="none"/>
                <w:lang w:val="en-US" w:eastAsia="zh-CN"/>
                <w14:textFill>
                  <w14:solidFill>
                    <w14:schemeClr w14:val="tx1"/>
                  </w14:solidFill>
                </w14:textFill>
              </w:rPr>
              <w:t>85</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0</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t/a</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p>
          <w:p w14:paraId="3CF39C1E">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（2）水污染物总量控制</w:t>
            </w:r>
          </w:p>
          <w:p w14:paraId="25E2CE79">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bCs/>
                <w:color w:val="000000" w:themeColor="text1"/>
                <w:sz w:val="24"/>
                <w:highlight w:val="none"/>
                <w14:textFill>
                  <w14:solidFill>
                    <w14:schemeClr w14:val="tx1"/>
                  </w14:solidFill>
                </w14:textFill>
              </w:rPr>
            </w:pPr>
            <w:r>
              <w:rPr>
                <w:rFonts w:hint="default"/>
                <w:color w:val="000000" w:themeColor="text1"/>
                <w:sz w:val="24"/>
                <w:highlight w:val="none"/>
                <w14:textFill>
                  <w14:solidFill>
                    <w14:schemeClr w14:val="tx1"/>
                  </w14:solidFill>
                </w14:textFill>
              </w:rPr>
              <w:t>项目</w:t>
            </w:r>
            <w:r>
              <w:rPr>
                <w:rFonts w:hint="eastAsia"/>
                <w:color w:val="000000" w:themeColor="text1"/>
                <w:sz w:val="24"/>
                <w:highlight w:val="none"/>
                <w:lang w:val="en-US" w:eastAsia="zh-CN"/>
                <w14:textFill>
                  <w14:solidFill>
                    <w14:schemeClr w14:val="tx1"/>
                  </w14:solidFill>
                </w14:textFill>
              </w:rPr>
              <w:t>无生产</w:t>
            </w:r>
            <w:r>
              <w:rPr>
                <w:rFonts w:hint="eastAsia"/>
                <w:color w:val="000000" w:themeColor="text1"/>
                <w:sz w:val="24"/>
                <w:highlight w:val="none"/>
                <w14:textFill>
                  <w14:solidFill>
                    <w14:schemeClr w14:val="tx1"/>
                  </w14:solidFill>
                </w14:textFill>
              </w:rPr>
              <w:t>废水</w:t>
            </w:r>
            <w:r>
              <w:rPr>
                <w:rFonts w:hint="eastAsia"/>
                <w:color w:val="000000" w:themeColor="text1"/>
                <w:sz w:val="24"/>
                <w:highlight w:val="none"/>
                <w:lang w:val="en-US" w:eastAsia="zh-CN"/>
                <w14:textFill>
                  <w14:solidFill>
                    <w14:schemeClr w14:val="tx1"/>
                  </w14:solidFill>
                </w14:textFill>
              </w:rPr>
              <w:t>外排，生活污水（2184m</w:t>
            </w:r>
            <w:r>
              <w:rPr>
                <w:rFonts w:hint="eastAsia"/>
                <w:color w:val="000000" w:themeColor="text1"/>
                <w:sz w:val="24"/>
                <w:highlight w:val="none"/>
                <w:vertAlign w:val="superscript"/>
                <w:lang w:val="en-US" w:eastAsia="zh-CN"/>
                <w14:textFill>
                  <w14:solidFill>
                    <w14:schemeClr w14:val="tx1"/>
                  </w14:solidFill>
                </w14:textFill>
              </w:rPr>
              <w:t>3</w:t>
            </w:r>
            <w:r>
              <w:rPr>
                <w:rFonts w:hint="eastAsia"/>
                <w:color w:val="000000" w:themeColor="text1"/>
                <w:sz w:val="24"/>
                <w:highlight w:val="none"/>
                <w:vertAlign w:val="baseline"/>
                <w:lang w:val="en-US" w:eastAsia="zh-CN"/>
                <w14:textFill>
                  <w14:solidFill>
                    <w14:schemeClr w14:val="tx1"/>
                  </w14:solidFill>
                </w14:textFill>
              </w:rPr>
              <w:t>/a</w:t>
            </w:r>
            <w:r>
              <w:rPr>
                <w:rFonts w:hint="eastAsia"/>
                <w:color w:val="000000" w:themeColor="text1"/>
                <w:sz w:val="24"/>
                <w:highlight w:val="none"/>
                <w:lang w:val="en-US" w:eastAsia="zh-CN"/>
                <w14:textFill>
                  <w14:solidFill>
                    <w14:schemeClr w14:val="tx1"/>
                  </w14:solidFill>
                </w14:textFill>
              </w:rPr>
              <w:t>）经厂区化粪池处理后由园区污水管网</w:t>
            </w:r>
            <w:r>
              <w:rPr>
                <w:rFonts w:hint="default"/>
                <w:color w:val="000000" w:themeColor="text1"/>
                <w:sz w:val="24"/>
                <w:highlight w:val="none"/>
                <w14:textFill>
                  <w14:solidFill>
                    <w14:schemeClr w14:val="tx1"/>
                  </w14:solidFill>
                </w14:textFill>
              </w:rPr>
              <w:t>排入</w:t>
            </w:r>
            <w:r>
              <w:rPr>
                <w:rFonts w:hint="eastAsia"/>
                <w:bCs/>
                <w:color w:val="000000" w:themeColor="text1"/>
                <w:lang w:val="en-US" w:eastAsia="zh-CN"/>
                <w14:textFill>
                  <w14:solidFill>
                    <w14:schemeClr w14:val="tx1"/>
                  </w14:solidFill>
                </w14:textFill>
              </w:rPr>
              <w:t>高安市工业园污水处理厂</w:t>
            </w:r>
            <w:r>
              <w:rPr>
                <w:rFonts w:hint="eastAsia"/>
                <w:bCs/>
                <w:color w:val="000000" w:themeColor="text1"/>
                <w:sz w:val="24"/>
                <w:highlight w:val="none"/>
                <w:lang w:val="en-US" w:eastAsia="zh-CN"/>
                <w14:textFill>
                  <w14:solidFill>
                    <w14:schemeClr w14:val="tx1"/>
                  </w14:solidFill>
                </w14:textFill>
              </w:rPr>
              <w:t>处理</w:t>
            </w:r>
            <w:r>
              <w:rPr>
                <w:rFonts w:hint="eastAsia"/>
                <w:color w:val="000000" w:themeColor="text1"/>
                <w:sz w:val="24"/>
                <w:szCs w:val="24"/>
                <w:highlight w:val="none"/>
                <w:lang w:val="en-US" w:eastAsia="zh-CN"/>
                <w14:textFill>
                  <w14:solidFill>
                    <w14:schemeClr w14:val="tx1"/>
                  </w14:solidFill>
                </w14:textFill>
              </w:rPr>
              <w:t>，尾水排入锦江</w:t>
            </w:r>
            <w:r>
              <w:rPr>
                <w:rFonts w:hint="eastAsia"/>
                <w:color w:val="000000" w:themeColor="text1"/>
                <w:highlight w:val="none"/>
                <w:lang w:val="en-US"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高安市工业园污水处理厂</w:t>
            </w:r>
            <w:r>
              <w:rPr>
                <w:rFonts w:hint="eastAsia"/>
                <w:color w:val="000000" w:themeColor="text1"/>
                <w:highlight w:val="none"/>
                <w:lang w:val="en-US" w:eastAsia="zh-CN"/>
                <w14:textFill>
                  <w14:solidFill>
                    <w14:schemeClr w14:val="tx1"/>
                  </w14:solidFill>
                </w14:textFill>
              </w:rPr>
              <w:t>出水执行</w:t>
            </w:r>
            <w:r>
              <w:rPr>
                <w:rFonts w:hint="default" w:ascii="Times New Roman" w:hAnsi="Times New Roman" w:cs="Times New Roman"/>
                <w:color w:val="000000" w:themeColor="text1"/>
                <w:sz w:val="24"/>
                <w:szCs w:val="24"/>
                <w:highlight w:val="none"/>
                <w14:textFill>
                  <w14:solidFill>
                    <w14:schemeClr w14:val="tx1"/>
                  </w14:solidFill>
                </w14:textFill>
              </w:rPr>
              <w:t>《城镇污水处理厂污染物排放标准》中</w:t>
            </w:r>
            <w:r>
              <w:rPr>
                <w:rFonts w:hint="default" w:ascii="Times New Roman" w:hAnsi="Times New Roman" w:cs="Times New Roman"/>
                <w:color w:val="000000" w:themeColor="text1"/>
                <w:sz w:val="24"/>
                <w:szCs w:val="24"/>
                <w:highlight w:val="none"/>
                <w:lang w:eastAsia="zh-CN"/>
                <w14:textFill>
                  <w14:solidFill>
                    <w14:schemeClr w14:val="tx1"/>
                  </w14:solidFill>
                </w14:textFill>
              </w:rPr>
              <w:t>一级A标准</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COD 50mg/L、</w:t>
            </w:r>
            <w:r>
              <w:rPr>
                <w:rFonts w:hint="eastAsia" w:cs="Times New Roman"/>
                <w:color w:val="000000" w:themeColor="text1"/>
                <w:sz w:val="24"/>
                <w:szCs w:val="24"/>
                <w:highlight w:val="none"/>
                <w:lang w:val="en-US" w:eastAsia="zh-CN"/>
                <w14:textFill>
                  <w14:solidFill>
                    <w14:schemeClr w14:val="tx1"/>
                  </w14:solidFill>
                </w14:textFill>
              </w:rPr>
              <w:t>总磷0.5</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mg/L</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p>
          <w:p w14:paraId="739A683B">
            <w:pPr>
              <w:ind w:firstLine="480"/>
              <w:rPr>
                <w:color w:val="000000" w:themeColor="text1"/>
                <w14:textFill>
                  <w14:solidFill>
                    <w14:schemeClr w14:val="tx1"/>
                  </w14:solidFill>
                </w14:textFill>
              </w:rPr>
            </w:pPr>
            <w:r>
              <w:rPr>
                <w:rFonts w:hint="default"/>
                <w:color w:val="000000" w:themeColor="text1"/>
                <w:sz w:val="24"/>
                <w:highlight w:val="none"/>
                <w14:textFill>
                  <w14:solidFill>
                    <w14:schemeClr w14:val="tx1"/>
                  </w14:solidFill>
                </w14:textFill>
              </w:rPr>
              <w:t>项目废水总量</w:t>
            </w:r>
            <w:r>
              <w:rPr>
                <w:rFonts w:hint="eastAsia"/>
                <w:color w:val="000000" w:themeColor="text1"/>
                <w:sz w:val="24"/>
                <w:highlight w:val="none"/>
                <w14:textFill>
                  <w14:solidFill>
                    <w14:schemeClr w14:val="tx1"/>
                  </w14:solidFill>
                </w14:textFill>
              </w:rPr>
              <w:t>考核</w:t>
            </w:r>
            <w:r>
              <w:rPr>
                <w:rFonts w:hint="default"/>
                <w:color w:val="000000" w:themeColor="text1"/>
                <w:sz w:val="24"/>
                <w:highlight w:val="none"/>
                <w14:textFill>
                  <w14:solidFill>
                    <w14:schemeClr w14:val="tx1"/>
                  </w14:solidFill>
                </w14:textFill>
              </w:rPr>
              <w:t>指标为：</w:t>
            </w:r>
            <w:r>
              <w:rPr>
                <w:rFonts w:hint="default"/>
                <w:bCs/>
                <w:color w:val="000000" w:themeColor="text1"/>
                <w:sz w:val="24"/>
                <w:highlight w:val="none"/>
                <w14:textFill>
                  <w14:solidFill>
                    <w14:schemeClr w14:val="tx1"/>
                  </w14:solidFill>
                </w14:textFill>
              </w:rPr>
              <w:t>COD</w:t>
            </w:r>
            <w:r>
              <w:rPr>
                <w:rFonts w:hint="default"/>
                <w:bCs/>
                <w:color w:val="000000" w:themeColor="text1"/>
                <w:sz w:val="24"/>
                <w:highlight w:val="none"/>
                <w:vertAlign w:val="subscript"/>
                <w14:textFill>
                  <w14:solidFill>
                    <w14:schemeClr w14:val="tx1"/>
                  </w14:solidFill>
                </w14:textFill>
              </w:rPr>
              <w:t>cr</w:t>
            </w:r>
            <w:r>
              <w:rPr>
                <w:rFonts w:hint="default"/>
                <w:bCs/>
                <w:color w:val="000000" w:themeColor="text1"/>
                <w:sz w:val="24"/>
                <w:highlight w:val="none"/>
                <w14:textFill>
                  <w14:solidFill>
                    <w14:schemeClr w14:val="tx1"/>
                  </w14:solidFill>
                </w14:textFill>
              </w:rPr>
              <w:t>≤</w:t>
            </w:r>
            <w:r>
              <w:rPr>
                <w:rFonts w:hint="default"/>
                <w:color w:val="000000" w:themeColor="text1"/>
                <w:sz w:val="24"/>
                <w:highlight w:val="none"/>
                <w14:textFill>
                  <w14:solidFill>
                    <w14:schemeClr w14:val="tx1"/>
                  </w14:solidFill>
                </w14:textFill>
              </w:rPr>
              <w:t>0.</w:t>
            </w:r>
            <w:r>
              <w:rPr>
                <w:rFonts w:hint="eastAsia"/>
                <w:color w:val="000000" w:themeColor="text1"/>
                <w:sz w:val="24"/>
                <w:highlight w:val="none"/>
                <w:lang w:val="en-US" w:eastAsia="zh-CN"/>
                <w14:textFill>
                  <w14:solidFill>
                    <w14:schemeClr w14:val="tx1"/>
                  </w14:solidFill>
                </w14:textFill>
              </w:rPr>
              <w:t>437</w:t>
            </w:r>
            <w:r>
              <w:rPr>
                <w:rFonts w:hint="default"/>
                <w:bCs/>
                <w:color w:val="000000" w:themeColor="text1"/>
                <w:sz w:val="24"/>
                <w:highlight w:val="none"/>
                <w14:textFill>
                  <w14:solidFill>
                    <w14:schemeClr w14:val="tx1"/>
                  </w14:solidFill>
                </w14:textFill>
              </w:rPr>
              <w:t>t/a</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TP</w:t>
            </w:r>
            <w:r>
              <w:rPr>
                <w:rFonts w:hint="default"/>
                <w:bCs/>
                <w:color w:val="000000" w:themeColor="text1"/>
                <w:sz w:val="24"/>
                <w:highlight w:val="none"/>
                <w14:textFill>
                  <w14:solidFill>
                    <w14:schemeClr w14:val="tx1"/>
                  </w14:solidFill>
                </w14:textFill>
              </w:rPr>
              <w:t>≤</w:t>
            </w:r>
            <w:r>
              <w:rPr>
                <w:rFonts w:hint="default"/>
                <w:color w:val="000000" w:themeColor="text1"/>
                <w:sz w:val="24"/>
                <w:highlight w:val="none"/>
                <w14:textFill>
                  <w14:solidFill>
                    <w14:schemeClr w14:val="tx1"/>
                  </w14:solidFill>
                </w14:textFill>
              </w:rPr>
              <w:t>0.</w:t>
            </w:r>
            <w:r>
              <w:rPr>
                <w:rFonts w:hint="eastAsia"/>
                <w:color w:val="000000" w:themeColor="text1"/>
                <w:sz w:val="24"/>
                <w:highlight w:val="none"/>
                <w:lang w:val="en-US" w:eastAsia="zh-CN"/>
                <w14:textFill>
                  <w14:solidFill>
                    <w14:schemeClr w14:val="tx1"/>
                  </w14:solidFill>
                </w14:textFill>
              </w:rPr>
              <w:t>009</w:t>
            </w:r>
            <w:r>
              <w:rPr>
                <w:rFonts w:hint="default"/>
                <w:bCs/>
                <w:color w:val="000000" w:themeColor="text1"/>
                <w:sz w:val="24"/>
                <w:highlight w:val="none"/>
                <w14:textFill>
                  <w14:solidFill>
                    <w14:schemeClr w14:val="tx1"/>
                  </w14:solidFill>
                </w14:textFill>
              </w:rPr>
              <w:t>t/a</w:t>
            </w:r>
            <w:r>
              <w:rPr>
                <w:rFonts w:hint="eastAsia"/>
                <w:bCs/>
                <w:color w:val="000000" w:themeColor="text1"/>
                <w:sz w:val="24"/>
                <w:highlight w:val="none"/>
                <w:lang w:eastAsia="zh-CN"/>
                <w14:textFill>
                  <w14:solidFill>
                    <w14:schemeClr w14:val="tx1"/>
                  </w14:solidFill>
                </w14:textFill>
              </w:rPr>
              <w:t>；</w:t>
            </w:r>
            <w:r>
              <w:rPr>
                <w:rFonts w:hint="default"/>
                <w:color w:val="000000" w:themeColor="text1"/>
                <w:sz w:val="24"/>
                <w:highlight w:val="none"/>
                <w14:textFill>
                  <w14:solidFill>
                    <w14:schemeClr w14:val="tx1"/>
                  </w14:solidFill>
                </w14:textFill>
              </w:rPr>
              <w:t>废水</w:t>
            </w:r>
            <w:r>
              <w:rPr>
                <w:rFonts w:hint="eastAsia"/>
                <w:bCs/>
                <w:color w:val="000000" w:themeColor="text1"/>
                <w:sz w:val="24"/>
                <w:highlight w:val="none"/>
                <w14:textFill>
                  <w14:solidFill>
                    <w14:schemeClr w14:val="tx1"/>
                  </w14:solidFill>
                </w14:textFill>
              </w:rPr>
              <w:t>总量</w:t>
            </w:r>
            <w:r>
              <w:rPr>
                <w:rFonts w:hint="eastAsia"/>
                <w:bCs/>
                <w:color w:val="000000" w:themeColor="text1"/>
                <w:sz w:val="24"/>
                <w:highlight w:val="none"/>
                <w:lang w:val="en-US" w:eastAsia="zh-CN"/>
                <w14:textFill>
                  <w14:solidFill>
                    <w14:schemeClr w14:val="tx1"/>
                  </w14:solidFill>
                </w14:textFill>
              </w:rPr>
              <w:t>控制</w:t>
            </w:r>
            <w:r>
              <w:rPr>
                <w:rFonts w:hint="eastAsia"/>
                <w:bCs/>
                <w:color w:val="000000" w:themeColor="text1"/>
                <w:sz w:val="24"/>
                <w:highlight w:val="none"/>
                <w14:textFill>
                  <w14:solidFill>
                    <w14:schemeClr w14:val="tx1"/>
                  </w14:solidFill>
                </w14:textFill>
              </w:rPr>
              <w:t>指标</w:t>
            </w:r>
            <w:r>
              <w:rPr>
                <w:rFonts w:hint="default"/>
                <w:color w:val="000000" w:themeColor="text1"/>
                <w:sz w:val="24"/>
                <w:highlight w:val="none"/>
                <w14:textFill>
                  <w14:solidFill>
                    <w14:schemeClr w14:val="tx1"/>
                  </w14:solidFill>
                </w14:textFill>
              </w:rPr>
              <w:t>为：</w:t>
            </w:r>
            <w:r>
              <w:rPr>
                <w:rFonts w:hint="default"/>
                <w:bCs/>
                <w:color w:val="000000" w:themeColor="text1"/>
                <w:sz w:val="24"/>
                <w:highlight w:val="none"/>
                <w14:textFill>
                  <w14:solidFill>
                    <w14:schemeClr w14:val="tx1"/>
                  </w14:solidFill>
                </w14:textFill>
              </w:rPr>
              <w:t>COD</w:t>
            </w:r>
            <w:r>
              <w:rPr>
                <w:rFonts w:hint="default"/>
                <w:bCs/>
                <w:color w:val="000000" w:themeColor="text1"/>
                <w:sz w:val="24"/>
                <w:highlight w:val="none"/>
                <w:vertAlign w:val="subscript"/>
                <w14:textFill>
                  <w14:solidFill>
                    <w14:schemeClr w14:val="tx1"/>
                  </w14:solidFill>
                </w14:textFill>
              </w:rPr>
              <w:t>cr</w:t>
            </w:r>
            <w:r>
              <w:rPr>
                <w:rFonts w:hint="default"/>
                <w:bCs/>
                <w:color w:val="000000" w:themeColor="text1"/>
                <w:sz w:val="24"/>
                <w:highlight w:val="none"/>
                <w14:textFill>
                  <w14:solidFill>
                    <w14:schemeClr w14:val="tx1"/>
                  </w14:solidFill>
                </w14:textFill>
              </w:rPr>
              <w:t>≤</w:t>
            </w:r>
            <w:r>
              <w:rPr>
                <w:rFonts w:hint="default"/>
                <w:color w:val="000000" w:themeColor="text1"/>
                <w:sz w:val="24"/>
                <w:highlight w:val="none"/>
                <w14:textFill>
                  <w14:solidFill>
                    <w14:schemeClr w14:val="tx1"/>
                  </w14:solidFill>
                </w14:textFill>
              </w:rPr>
              <w:t>0.</w:t>
            </w:r>
            <w:r>
              <w:rPr>
                <w:rFonts w:hint="eastAsia"/>
                <w:color w:val="000000" w:themeColor="text1"/>
                <w:sz w:val="24"/>
                <w:highlight w:val="none"/>
                <w:lang w:val="en-US" w:eastAsia="zh-CN"/>
                <w14:textFill>
                  <w14:solidFill>
                    <w14:schemeClr w14:val="tx1"/>
                  </w14:solidFill>
                </w14:textFill>
              </w:rPr>
              <w:t>109</w:t>
            </w:r>
            <w:r>
              <w:rPr>
                <w:rFonts w:hint="default"/>
                <w:bCs/>
                <w:color w:val="000000" w:themeColor="text1"/>
                <w:sz w:val="24"/>
                <w:highlight w:val="none"/>
                <w14:textFill>
                  <w14:solidFill>
                    <w14:schemeClr w14:val="tx1"/>
                  </w14:solidFill>
                </w14:textFill>
              </w:rPr>
              <w:t>t/a</w:t>
            </w:r>
            <w:r>
              <w:rPr>
                <w:rFonts w:hint="eastAsia"/>
                <w:bCs/>
                <w:color w:val="000000" w:themeColor="text1"/>
                <w:sz w:val="24"/>
                <w:highlight w:val="none"/>
                <w:lang w:eastAsia="zh-CN"/>
                <w14:textFill>
                  <w14:solidFill>
                    <w14:schemeClr w14:val="tx1"/>
                  </w14:solidFill>
                </w14:textFill>
              </w:rPr>
              <w:t>，</w:t>
            </w:r>
            <w:r>
              <w:rPr>
                <w:rFonts w:hint="eastAsia"/>
                <w:bCs/>
                <w:color w:val="000000" w:themeColor="text1"/>
                <w:sz w:val="24"/>
                <w:highlight w:val="none"/>
                <w:lang w:val="en-US" w:eastAsia="zh-CN"/>
                <w14:textFill>
                  <w14:solidFill>
                    <w14:schemeClr w14:val="tx1"/>
                  </w14:solidFill>
                </w14:textFill>
              </w:rPr>
              <w:t>TP</w:t>
            </w:r>
            <w:r>
              <w:rPr>
                <w:rFonts w:hint="default"/>
                <w:bCs/>
                <w:color w:val="000000" w:themeColor="text1"/>
                <w:sz w:val="24"/>
                <w:highlight w:val="none"/>
                <w14:textFill>
                  <w14:solidFill>
                    <w14:schemeClr w14:val="tx1"/>
                  </w14:solidFill>
                </w14:textFill>
              </w:rPr>
              <w:t>≤</w:t>
            </w:r>
            <w:r>
              <w:rPr>
                <w:rFonts w:hint="default"/>
                <w:color w:val="000000" w:themeColor="text1"/>
                <w:sz w:val="24"/>
                <w:highlight w:val="none"/>
                <w14:textFill>
                  <w14:solidFill>
                    <w14:schemeClr w14:val="tx1"/>
                  </w14:solidFill>
                </w14:textFill>
              </w:rPr>
              <w:t>0.0</w:t>
            </w:r>
            <w:r>
              <w:rPr>
                <w:rFonts w:hint="eastAsia"/>
                <w:color w:val="000000" w:themeColor="text1"/>
                <w:sz w:val="24"/>
                <w:highlight w:val="none"/>
                <w:lang w:val="en-US" w:eastAsia="zh-CN"/>
                <w14:textFill>
                  <w14:solidFill>
                    <w14:schemeClr w14:val="tx1"/>
                  </w14:solidFill>
                </w14:textFill>
              </w:rPr>
              <w:t>01</w:t>
            </w:r>
            <w:r>
              <w:rPr>
                <w:rFonts w:hint="default"/>
                <w:bCs/>
                <w:color w:val="000000" w:themeColor="text1"/>
                <w:sz w:val="24"/>
                <w:highlight w:val="none"/>
                <w14:textFill>
                  <w14:solidFill>
                    <w14:schemeClr w14:val="tx1"/>
                  </w14:solidFill>
                </w14:textFill>
              </w:rPr>
              <w:t>t/a</w:t>
            </w:r>
            <w:r>
              <w:rPr>
                <w:color w:val="000000" w:themeColor="text1"/>
                <w14:textFill>
                  <w14:solidFill>
                    <w14:schemeClr w14:val="tx1"/>
                  </w14:solidFill>
                </w14:textFill>
              </w:rPr>
              <w:t>。</w:t>
            </w:r>
          </w:p>
          <w:p w14:paraId="3BA2F2D3">
            <w:pPr>
              <w:ind w:firstLine="480"/>
              <w:rPr>
                <w:color w:val="000000" w:themeColor="text1"/>
                <w14:textFill>
                  <w14:solidFill>
                    <w14:schemeClr w14:val="tx1"/>
                  </w14:solidFill>
                </w14:textFill>
              </w:rPr>
            </w:pPr>
          </w:p>
          <w:p w14:paraId="0EB79F8F">
            <w:pPr>
              <w:ind w:left="0" w:leftChars="0" w:firstLine="0" w:firstLineChars="0"/>
              <w:rPr>
                <w:color w:val="000000" w:themeColor="text1"/>
                <w14:textFill>
                  <w14:solidFill>
                    <w14:schemeClr w14:val="tx1"/>
                  </w14:solidFill>
                </w14:textFill>
              </w:rPr>
            </w:pPr>
          </w:p>
          <w:p w14:paraId="1B2D4CF9">
            <w:pPr>
              <w:ind w:left="0" w:leftChars="0" w:firstLine="0" w:firstLineChars="0"/>
              <w:rPr>
                <w:color w:val="000000" w:themeColor="text1"/>
                <w14:textFill>
                  <w14:solidFill>
                    <w14:schemeClr w14:val="tx1"/>
                  </w14:solidFill>
                </w14:textFill>
              </w:rPr>
            </w:pPr>
          </w:p>
          <w:p w14:paraId="3C88ABE1">
            <w:pPr>
              <w:ind w:left="0" w:leftChars="0" w:firstLine="0" w:firstLineChars="0"/>
              <w:rPr>
                <w:color w:val="000000" w:themeColor="text1"/>
                <w14:textFill>
                  <w14:solidFill>
                    <w14:schemeClr w14:val="tx1"/>
                  </w14:solidFill>
                </w14:textFill>
              </w:rPr>
            </w:pPr>
          </w:p>
          <w:p w14:paraId="6794A6E1">
            <w:pPr>
              <w:ind w:left="0" w:leftChars="0" w:firstLine="0" w:firstLineChars="0"/>
              <w:rPr>
                <w:color w:val="000000" w:themeColor="text1"/>
                <w14:textFill>
                  <w14:solidFill>
                    <w14:schemeClr w14:val="tx1"/>
                  </w14:solidFill>
                </w14:textFill>
              </w:rPr>
            </w:pPr>
          </w:p>
          <w:p w14:paraId="3A880D2D">
            <w:pPr>
              <w:ind w:left="0" w:leftChars="0" w:firstLine="0" w:firstLineChars="0"/>
              <w:rPr>
                <w:color w:val="000000" w:themeColor="text1"/>
                <w14:textFill>
                  <w14:solidFill>
                    <w14:schemeClr w14:val="tx1"/>
                  </w14:solidFill>
                </w14:textFill>
              </w:rPr>
            </w:pPr>
          </w:p>
          <w:p w14:paraId="3D034796">
            <w:pPr>
              <w:ind w:left="0" w:leftChars="0" w:firstLine="0" w:firstLineChars="0"/>
              <w:rPr>
                <w:color w:val="000000" w:themeColor="text1"/>
                <w14:textFill>
                  <w14:solidFill>
                    <w14:schemeClr w14:val="tx1"/>
                  </w14:solidFill>
                </w14:textFill>
              </w:rPr>
            </w:pPr>
          </w:p>
        </w:tc>
      </w:tr>
    </w:tbl>
    <w:p w14:paraId="0ABFE4DD">
      <w:pPr>
        <w:pStyle w:val="56"/>
        <w:spacing w:before="120"/>
        <w:rPr>
          <w:rFonts w:hint="eastAsia" w:ascii="黑体" w:hAnsi="黑体"/>
          <w:snapToGrid w:val="0"/>
          <w:color w:val="000000" w:themeColor="text1"/>
          <w:szCs w:val="30"/>
          <w14:textFill>
            <w14:solidFill>
              <w14:schemeClr w14:val="tx1"/>
            </w14:solidFill>
          </w14:textFill>
        </w:rPr>
        <w:sectPr>
          <w:footerReference r:id="rId13" w:type="default"/>
          <w:pgSz w:w="11907" w:h="16840"/>
          <w:pgMar w:top="1797" w:right="1457" w:bottom="1797" w:left="1440" w:header="851" w:footer="1304" w:gutter="0"/>
          <w:pgBorders>
            <w:top w:val="none" w:sz="0" w:space="0"/>
            <w:left w:val="none" w:sz="0" w:space="0"/>
            <w:bottom w:val="none" w:sz="0" w:space="0"/>
            <w:right w:val="none" w:sz="0" w:space="0"/>
          </w:pgBorders>
          <w:cols w:space="0" w:num="1"/>
          <w:docGrid w:linePitch="312" w:charSpace="0"/>
        </w:sectPr>
      </w:pPr>
    </w:p>
    <w:p w14:paraId="7EBBB75E">
      <w:pPr>
        <w:pStyle w:val="56"/>
        <w:numPr>
          <w:ilvl w:val="0"/>
          <w:numId w:val="19"/>
        </w:numPr>
        <w:spacing w:before="120"/>
        <w:rPr>
          <w:rFonts w:hint="eastAsia" w:ascii="黑体" w:hAnsi="黑体"/>
          <w:snapToGrid w:val="0"/>
          <w:color w:val="000000" w:themeColor="text1"/>
          <w:szCs w:val="30"/>
          <w14:textFill>
            <w14:solidFill>
              <w14:schemeClr w14:val="tx1"/>
            </w14:solidFill>
          </w14:textFill>
        </w:rPr>
      </w:pPr>
      <w:bookmarkStart w:id="28" w:name="_Toc10416"/>
      <w:r>
        <w:rPr>
          <w:rFonts w:hint="eastAsia" w:ascii="黑体" w:hAnsi="黑体"/>
          <w:snapToGrid w:val="0"/>
          <w:color w:val="000000" w:themeColor="text1"/>
          <w:szCs w:val="30"/>
          <w14:textFill>
            <w14:solidFill>
              <w14:schemeClr w14:val="tx1"/>
            </w14:solidFill>
          </w14:textFill>
        </w:rPr>
        <w:t>主要环境影响和保护措施</w:t>
      </w:r>
      <w:bookmarkEnd w:id="28"/>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8786"/>
      </w:tblGrid>
      <w:tr w14:paraId="684D0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247" w:type="pct"/>
            <w:vAlign w:val="center"/>
          </w:tcPr>
          <w:p w14:paraId="02767D20">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施工</w:t>
            </w:r>
          </w:p>
          <w:p w14:paraId="16AADE5D">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期环</w:t>
            </w:r>
          </w:p>
          <w:p w14:paraId="34214FEF">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境保</w:t>
            </w:r>
          </w:p>
          <w:p w14:paraId="7D044C80">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护措</w:t>
            </w:r>
          </w:p>
          <w:p w14:paraId="28F7D20C">
            <w:pPr>
              <w:pStyle w:val="45"/>
              <w:jc w:val="center"/>
              <w:rPr>
                <w:rFonts w:ascii="Times New Roman" w:cs="Times New Roman"/>
                <w:color w:val="000000" w:themeColor="text1"/>
                <w14:textFill>
                  <w14:solidFill>
                    <w14:schemeClr w14:val="tx1"/>
                  </w14:solidFill>
                </w14:textFill>
              </w:rPr>
            </w:pPr>
            <w:r>
              <w:rPr>
                <w:rFonts w:ascii="Times New Roman" w:cs="Times New Roman"/>
                <w:color w:val="000000" w:themeColor="text1"/>
                <w14:textFill>
                  <w14:solidFill>
                    <w14:schemeClr w14:val="tx1"/>
                  </w14:solidFill>
                </w14:textFill>
              </w:rPr>
              <w:t>施</w:t>
            </w:r>
          </w:p>
        </w:tc>
        <w:tc>
          <w:tcPr>
            <w:tcW w:w="4753" w:type="pct"/>
            <w:vAlign w:val="center"/>
          </w:tcPr>
          <w:p w14:paraId="4641E077">
            <w:pPr>
              <w:ind w:firstLine="480"/>
              <w:rPr>
                <w:color w:val="000000" w:themeColor="text1"/>
                <w14:textFill>
                  <w14:solidFill>
                    <w14:schemeClr w14:val="tx1"/>
                  </w14:solidFill>
                </w14:textFill>
              </w:rPr>
            </w:pP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租赁</w:t>
            </w:r>
            <w:r>
              <w:rPr>
                <w:rFonts w:hint="eastAsia"/>
                <w:color w:val="000000" w:themeColor="text1"/>
                <w:lang w:val="en-US" w:eastAsia="zh-CN"/>
                <w14:textFill>
                  <w14:solidFill>
                    <w14:schemeClr w14:val="tx1"/>
                  </w14:solidFill>
                </w14:textFill>
              </w:rPr>
              <w:t>江西高安高新技术产业园区新世纪产业园1栋4层标准厂房</w:t>
            </w:r>
            <w:r>
              <w:rPr>
                <w:color w:val="000000" w:themeColor="text1"/>
                <w14:textFill>
                  <w14:solidFill>
                    <w14:schemeClr w14:val="tx1"/>
                  </w14:solidFill>
                </w14:textFill>
              </w:rPr>
              <w:t>，不涉及土建工程，</w:t>
            </w:r>
            <w:r>
              <w:rPr>
                <w:rFonts w:hint="eastAsia" w:ascii="Times New Roman" w:hAnsi="Times New Roman" w:eastAsia="宋体"/>
                <w:color w:val="000000" w:themeColor="text1"/>
                <w:sz w:val="24"/>
                <w:szCs w:val="24"/>
                <w:highlight w:val="none"/>
                <w14:textFill>
                  <w14:solidFill>
                    <w14:schemeClr w14:val="tx1"/>
                  </w14:solidFill>
                </w14:textFill>
              </w:rPr>
              <w:t>施工期</w:t>
            </w: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主要进行</w:t>
            </w:r>
            <w:r>
              <w:rPr>
                <w:rFonts w:hint="eastAsia" w:ascii="Times New Roman" w:hAnsi="Times New Roman" w:eastAsia="宋体"/>
                <w:color w:val="000000" w:themeColor="text1"/>
                <w:sz w:val="24"/>
                <w:szCs w:val="24"/>
                <w:highlight w:val="none"/>
                <w14:textFill>
                  <w14:solidFill>
                    <w14:schemeClr w14:val="tx1"/>
                  </w14:solidFill>
                </w14:textFill>
              </w:rPr>
              <w:t>设备的安装、调试</w:t>
            </w: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等</w:t>
            </w:r>
            <w:r>
              <w:rPr>
                <w:rFonts w:hint="eastAsia" w:ascii="Times New Roman" w:hAnsi="Times New Roman" w:eastAsia="宋体"/>
                <w:color w:val="000000" w:themeColor="text1"/>
                <w:sz w:val="24"/>
                <w:szCs w:val="24"/>
                <w:highlight w:val="none"/>
                <w14:textFill>
                  <w14:solidFill>
                    <w14:schemeClr w14:val="tx1"/>
                  </w14:solidFill>
                </w14:textFill>
              </w:rPr>
              <w:t>，施工期对环境影响较小</w:t>
            </w:r>
            <w:r>
              <w:rPr>
                <w:color w:val="000000" w:themeColor="text1"/>
                <w14:textFill>
                  <w14:solidFill>
                    <w14:schemeClr w14:val="tx1"/>
                  </w14:solidFill>
                </w14:textFill>
              </w:rPr>
              <w:t>。</w:t>
            </w:r>
          </w:p>
          <w:p w14:paraId="0766123C">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为了不产生噪声扰民，建议建设单位要求施工单位采取以下措施减缓施工期设备安装带来的不利影响。</w:t>
            </w:r>
          </w:p>
          <w:p w14:paraId="07B0B211">
            <w:pPr>
              <w:spacing w:line="360" w:lineRule="auto"/>
              <w:ind w:firstLine="482" w:firstLineChars="200"/>
              <w:rPr>
                <w:b/>
                <w:bCs/>
                <w:color w:val="000000" w:themeColor="text1"/>
                <w:sz w:val="24"/>
                <w:szCs w:val="24"/>
                <w:highlight w:val="none"/>
                <w14:textFill>
                  <w14:solidFill>
                    <w14:schemeClr w14:val="tx1"/>
                  </w14:solidFill>
                </w14:textFill>
              </w:rPr>
            </w:pPr>
            <w:r>
              <w:rPr>
                <w:b/>
                <w:bCs/>
                <w:color w:val="000000" w:themeColor="text1"/>
                <w:sz w:val="24"/>
                <w:szCs w:val="24"/>
                <w:highlight w:val="none"/>
                <w14:textFill>
                  <w14:solidFill>
                    <w14:schemeClr w14:val="tx1"/>
                  </w14:solidFill>
                </w14:textFill>
              </w:rPr>
              <w:t>（1）降低声源的噪声源强</w:t>
            </w:r>
          </w:p>
          <w:p w14:paraId="674BD931">
            <w:pPr>
              <w:spacing w:line="360" w:lineRule="auto"/>
              <w:ind w:firstLine="480" w:firstLineChars="2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①采用较先进、噪声较低的施工设备，尽量将噪声源强降到最低；②有固定工作地点的施工机械尽量设置在距</w:t>
            </w:r>
            <w:r>
              <w:rPr>
                <w:rFonts w:hint="eastAsia"/>
                <w:color w:val="000000" w:themeColor="text1"/>
                <w:sz w:val="24"/>
                <w:szCs w:val="24"/>
                <w:highlight w:val="none"/>
                <w:lang w:val="en-US" w:eastAsia="zh-CN"/>
                <w14:textFill>
                  <w14:solidFill>
                    <w14:schemeClr w14:val="tx1"/>
                  </w14:solidFill>
                </w14:textFill>
              </w:rPr>
              <w:t>居民点</w:t>
            </w:r>
            <w:r>
              <w:rPr>
                <w:color w:val="000000" w:themeColor="text1"/>
                <w:sz w:val="24"/>
                <w:szCs w:val="24"/>
                <w:highlight w:val="none"/>
                <w14:textFill>
                  <w14:solidFill>
                    <w14:schemeClr w14:val="tx1"/>
                  </w14:solidFill>
                </w14:textFill>
              </w:rPr>
              <w:t>较远的位置，并采取适当的封闭和隔声措施，如可通过排气管消声器和隔离发动机振动部件来降低噪声；③施工中应加强对施工机械的维护保养，避免由于设备性能差而增大机械噪声的现象发生；④对现场的施工车辆进行疏导，禁止鸣笛；⑤暂不使用的设备及时关闭；⑥在模板、支架拆卸等作业过程中，尽量降低人为噪声影响，对工人进行环保方面的教育，在按操作规范操作机械设备等过程中减少碰撞噪声，在装卸过程中禁止野蛮作业，减少作业噪声。</w:t>
            </w:r>
          </w:p>
          <w:p w14:paraId="2ACF6920">
            <w:pPr>
              <w:spacing w:line="360" w:lineRule="auto"/>
              <w:ind w:firstLine="482" w:firstLineChars="200"/>
              <w:rPr>
                <w:b/>
                <w:bCs/>
                <w:color w:val="000000" w:themeColor="text1"/>
                <w:sz w:val="24"/>
                <w:szCs w:val="24"/>
                <w:highlight w:val="none"/>
                <w14:textFill>
                  <w14:solidFill>
                    <w14:schemeClr w14:val="tx1"/>
                  </w14:solidFill>
                </w14:textFill>
              </w:rPr>
            </w:pPr>
            <w:r>
              <w:rPr>
                <w:b/>
                <w:bCs/>
                <w:color w:val="000000" w:themeColor="text1"/>
                <w:sz w:val="24"/>
                <w:szCs w:val="24"/>
                <w:highlight w:val="none"/>
                <w14:textFill>
                  <w14:solidFill>
                    <w14:schemeClr w14:val="tx1"/>
                  </w14:solidFill>
                </w14:textFill>
              </w:rPr>
              <w:t>（2）采用局部吸声、隔声降噪技术</w:t>
            </w:r>
          </w:p>
          <w:p w14:paraId="105FA48A">
            <w:pPr>
              <w:spacing w:line="360" w:lineRule="auto"/>
              <w:ind w:firstLine="480" w:firstLineChars="200"/>
              <w:rPr>
                <w:rFonts w:hint="eastAsia"/>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对位置相对固定的机械设备，能入棚尽量入棚，对各施工环节中噪声较为突出且又难以对声源进行降噪可能的设备装置，应采取临时围障措施，在围障最好敷以吸声材料，以达到降噪效果</w:t>
            </w:r>
            <w:r>
              <w:rPr>
                <w:rFonts w:hint="eastAsia"/>
                <w:color w:val="000000" w:themeColor="text1"/>
                <w:sz w:val="24"/>
                <w:szCs w:val="24"/>
                <w:highlight w:val="none"/>
                <w14:textFill>
                  <w14:solidFill>
                    <w14:schemeClr w14:val="tx1"/>
                  </w14:solidFill>
                </w14:textFill>
              </w:rPr>
              <w:t>。</w:t>
            </w:r>
          </w:p>
          <w:p w14:paraId="041A7E96">
            <w:pPr>
              <w:spacing w:line="360" w:lineRule="auto"/>
              <w:ind w:firstLine="482" w:firstLineChars="200"/>
              <w:rPr>
                <w:b/>
                <w:bCs/>
                <w:color w:val="000000" w:themeColor="text1"/>
                <w:sz w:val="24"/>
                <w:szCs w:val="24"/>
                <w:highlight w:val="none"/>
                <w14:textFill>
                  <w14:solidFill>
                    <w14:schemeClr w14:val="tx1"/>
                  </w14:solidFill>
                </w14:textFill>
              </w:rPr>
            </w:pPr>
            <w:r>
              <w:rPr>
                <w:b/>
                <w:bCs/>
                <w:color w:val="000000" w:themeColor="text1"/>
                <w:sz w:val="24"/>
                <w:szCs w:val="24"/>
                <w:highlight w:val="none"/>
                <w14:textFill>
                  <w14:solidFill>
                    <w14:schemeClr w14:val="tx1"/>
                  </w14:solidFill>
                </w14:textFill>
              </w:rPr>
              <w:t>（3）加强管理</w:t>
            </w:r>
          </w:p>
          <w:p w14:paraId="756FA922">
            <w:pPr>
              <w:spacing w:line="360" w:lineRule="auto"/>
              <w:ind w:firstLine="480" w:firstLineChars="2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将噪声级大的工作尽量安排在白天，夜间进行噪声较小的施工。严格执行《建筑施工场界环境噪声排放标准》（GB12523-2011）的有关规定。</w:t>
            </w:r>
          </w:p>
          <w:p w14:paraId="5DE52F3D">
            <w:pPr>
              <w:spacing w:line="360" w:lineRule="auto"/>
              <w:ind w:firstLine="482" w:firstLineChars="200"/>
              <w:rPr>
                <w:b/>
                <w:bCs/>
                <w:color w:val="000000" w:themeColor="text1"/>
                <w:sz w:val="24"/>
                <w:szCs w:val="24"/>
                <w:highlight w:val="none"/>
                <w14:textFill>
                  <w14:solidFill>
                    <w14:schemeClr w14:val="tx1"/>
                  </w14:solidFill>
                </w14:textFill>
              </w:rPr>
            </w:pPr>
            <w:r>
              <w:rPr>
                <w:b/>
                <w:bCs/>
                <w:color w:val="000000" w:themeColor="text1"/>
                <w:sz w:val="24"/>
                <w:szCs w:val="24"/>
                <w:highlight w:val="none"/>
                <w14:textFill>
                  <w14:solidFill>
                    <w14:schemeClr w14:val="tx1"/>
                  </w14:solidFill>
                </w14:textFill>
              </w:rPr>
              <w:t>（4）加强沟通</w:t>
            </w:r>
          </w:p>
          <w:p w14:paraId="73FD78C8">
            <w:pPr>
              <w:spacing w:line="360" w:lineRule="auto"/>
              <w:ind w:firstLine="480" w:firstLineChars="200"/>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施工单位应及早与受可能受噪声影响的居民进行协调，征得当地居民理解，并在施工期设立热线投诉电话，接受噪声扰民投诉，并对投诉意见及时、认真、妥善的处理。</w:t>
            </w:r>
          </w:p>
          <w:p w14:paraId="051E8507">
            <w:pPr>
              <w:ind w:firstLine="480"/>
              <w:rPr>
                <w:color w:val="000000" w:themeColor="text1"/>
                <w14:textFill>
                  <w14:solidFill>
                    <w14:schemeClr w14:val="tx1"/>
                  </w14:solidFill>
                </w14:textFill>
              </w:rPr>
            </w:pPr>
            <w:r>
              <w:rPr>
                <w:color w:val="000000" w:themeColor="text1"/>
                <w:sz w:val="24"/>
                <w:szCs w:val="24"/>
                <w:highlight w:val="none"/>
                <w14:textFill>
                  <w14:solidFill>
                    <w14:schemeClr w14:val="tx1"/>
                  </w14:solidFill>
                </w14:textFill>
              </w:rPr>
              <w:t>通过以上措施可将施工期噪声影响控制在较小范围内。随施工的结束，施工噪声影响也将随之消失</w:t>
            </w:r>
            <w:r>
              <w:rPr>
                <w:rFonts w:hint="eastAsia"/>
                <w:color w:val="000000" w:themeColor="text1"/>
                <w:sz w:val="24"/>
                <w:szCs w:val="24"/>
                <w:highlight w:val="none"/>
                <w:lang w:eastAsia="zh-CN"/>
                <w14:textFill>
                  <w14:solidFill>
                    <w14:schemeClr w14:val="tx1"/>
                  </w14:solidFill>
                </w14:textFill>
              </w:rPr>
              <w:t>。</w:t>
            </w:r>
          </w:p>
        </w:tc>
      </w:tr>
    </w:tbl>
    <w:p w14:paraId="340B1423">
      <w:pPr>
        <w:spacing w:line="240" w:lineRule="auto"/>
        <w:ind w:firstLine="0" w:firstLineChars="0"/>
        <w:rPr>
          <w:color w:val="000000" w:themeColor="text1"/>
          <w14:textFill>
            <w14:solidFill>
              <w14:schemeClr w14:val="tx1"/>
            </w14:solidFill>
          </w14:textFill>
        </w:rPr>
        <w:sectPr>
          <w:footerReference r:id="rId14" w:type="default"/>
          <w:pgSz w:w="11907" w:h="16840"/>
          <w:pgMar w:top="1797" w:right="1440" w:bottom="1797" w:left="1440" w:header="907" w:footer="1247" w:gutter="0"/>
          <w:pgBorders>
            <w:top w:val="none" w:sz="0" w:space="0"/>
            <w:left w:val="none" w:sz="0" w:space="0"/>
            <w:bottom w:val="none" w:sz="0" w:space="0"/>
            <w:right w:val="none" w:sz="0" w:space="0"/>
          </w:pgBorders>
          <w:cols w:space="0" w:num="1"/>
          <w:docGrid w:linePitch="312" w:charSpace="0"/>
        </w:sectPr>
      </w:pPr>
    </w:p>
    <w:p w14:paraId="5F0A8CA7">
      <w:pPr>
        <w:pStyle w:val="48"/>
        <w:ind w:firstLine="482"/>
        <w:rPr>
          <w:b/>
          <w:bCs/>
          <w:color w:val="000000" w:themeColor="text1"/>
          <w14:textFill>
            <w14:solidFill>
              <w14:schemeClr w14:val="tx1"/>
            </w14:solidFill>
          </w14:textFill>
        </w:rPr>
      </w:pPr>
      <w:r>
        <w:rPr>
          <w:b/>
          <w:bCs/>
          <w:color w:val="000000" w:themeColor="text1"/>
          <w14:textFill>
            <w14:solidFill>
              <w14:schemeClr w14:val="tx1"/>
            </w14:solidFill>
          </w14:textFill>
        </w:rPr>
        <w:t>一、废气</w:t>
      </w:r>
    </w:p>
    <w:p w14:paraId="32C2C08E">
      <w:pPr>
        <w:ind w:firstLine="0" w:firstLineChars="0"/>
        <w:jc w:val="left"/>
        <w:rPr>
          <w:b/>
          <w:color w:val="000000" w:themeColor="text1"/>
          <w:szCs w:val="22"/>
          <w14:textFill>
            <w14:solidFill>
              <w14:schemeClr w14:val="tx1"/>
            </w14:solidFill>
          </w14:textFill>
        </w:rPr>
      </w:pPr>
      <w:r>
        <w:rPr>
          <w:b/>
          <w:color w:val="000000" w:themeColor="text1"/>
          <w14:textFill>
            <w14:solidFill>
              <w14:schemeClr w14:val="tx1"/>
            </w14:solidFill>
          </w14:textFill>
        </w:rPr>
        <w:t>1、</w:t>
      </w:r>
      <w:r>
        <w:rPr>
          <w:b/>
          <w:bCs w:val="0"/>
          <w:color w:val="000000" w:themeColor="text1"/>
          <w14:textFill>
            <w14:solidFill>
              <w14:schemeClr w14:val="tx1"/>
            </w14:solidFill>
          </w14:textFill>
        </w:rPr>
        <w:t>废气产排情况分析</w:t>
      </w:r>
    </w:p>
    <w:p w14:paraId="207F652A">
      <w:pPr>
        <w:pStyle w:val="57"/>
        <w:numPr>
          <w:ilvl w:val="3"/>
          <w:numId w:val="19"/>
        </w:numPr>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项目大气污染物产生及排放情况</w:t>
      </w:r>
      <w:r>
        <w:rPr>
          <w:color w:val="000000" w:themeColor="text1"/>
          <w:lang w:eastAsia="zh-CN"/>
          <w14:textFill>
            <w14:solidFill>
              <w14:schemeClr w14:val="tx1"/>
            </w14:solidFill>
          </w14:textFill>
        </w:rPr>
        <w:t>表</w:t>
      </w:r>
    </w:p>
    <w:tbl>
      <w:tblPr>
        <w:tblStyle w:val="166"/>
        <w:tblW w:w="5127"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6"/>
        <w:gridCol w:w="1185"/>
        <w:gridCol w:w="690"/>
        <w:gridCol w:w="975"/>
        <w:gridCol w:w="840"/>
        <w:gridCol w:w="780"/>
        <w:gridCol w:w="720"/>
        <w:gridCol w:w="690"/>
        <w:gridCol w:w="1065"/>
        <w:gridCol w:w="576"/>
        <w:gridCol w:w="576"/>
        <w:gridCol w:w="762"/>
        <w:gridCol w:w="845"/>
        <w:gridCol w:w="737"/>
        <w:gridCol w:w="627"/>
        <w:gridCol w:w="586"/>
        <w:gridCol w:w="564"/>
        <w:gridCol w:w="511"/>
        <w:gridCol w:w="409"/>
      </w:tblGrid>
      <w:tr w14:paraId="781C1249">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600" w:type="pct"/>
            <w:gridSpan w:val="2"/>
            <w:vMerge w:val="restart"/>
            <w:noWrap w:val="0"/>
            <w:vAlign w:val="center"/>
          </w:tcPr>
          <w:p w14:paraId="7CD135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污染源</w:t>
            </w:r>
          </w:p>
        </w:tc>
        <w:tc>
          <w:tcPr>
            <w:tcW w:w="253" w:type="pct"/>
            <w:vMerge w:val="restart"/>
            <w:noWrap w:val="0"/>
            <w:vAlign w:val="center"/>
          </w:tcPr>
          <w:p w14:paraId="39E253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废气量(m</w:t>
            </w:r>
            <w:r>
              <w:rPr>
                <w:rFonts w:hint="eastAsia" w:cs="Times New Roman"/>
                <w:b/>
                <w:color w:val="000000" w:themeColor="text1"/>
                <w:kern w:val="0"/>
                <w:sz w:val="18"/>
                <w:szCs w:val="18"/>
                <w:highlight w:val="none"/>
                <w:vertAlign w:val="superscript"/>
                <w:lang w:val="en-US" w:eastAsia="zh-CN"/>
                <w14:textFill>
                  <w14:solidFill>
                    <w14:schemeClr w14:val="tx1"/>
                  </w14:solidFill>
                </w14:textFill>
              </w:rPr>
              <w:t>3</w:t>
            </w: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/h)</w:t>
            </w:r>
          </w:p>
        </w:tc>
        <w:tc>
          <w:tcPr>
            <w:tcW w:w="358" w:type="pct"/>
            <w:vMerge w:val="restart"/>
            <w:noWrap w:val="0"/>
            <w:vAlign w:val="center"/>
          </w:tcPr>
          <w:p w14:paraId="6A2E61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污染物种类</w:t>
            </w:r>
          </w:p>
        </w:tc>
        <w:tc>
          <w:tcPr>
            <w:tcW w:w="861" w:type="pct"/>
            <w:gridSpan w:val="3"/>
            <w:noWrap w:val="0"/>
            <w:vAlign w:val="center"/>
          </w:tcPr>
          <w:p w14:paraId="6BE7D3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污染物产生情况</w:t>
            </w:r>
          </w:p>
        </w:tc>
        <w:tc>
          <w:tcPr>
            <w:tcW w:w="253" w:type="pct"/>
            <w:vMerge w:val="restart"/>
            <w:noWrap w:val="0"/>
            <w:vAlign w:val="center"/>
          </w:tcPr>
          <w:p w14:paraId="1DD381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排放</w:t>
            </w:r>
          </w:p>
          <w:p w14:paraId="7D0845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形式</w:t>
            </w:r>
          </w:p>
        </w:tc>
        <w:tc>
          <w:tcPr>
            <w:tcW w:w="1096" w:type="pct"/>
            <w:gridSpan w:val="4"/>
            <w:noWrap w:val="0"/>
            <w:vAlign w:val="center"/>
          </w:tcPr>
          <w:p w14:paraId="47BA16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主要污染治理设施</w:t>
            </w:r>
          </w:p>
        </w:tc>
        <w:tc>
          <w:tcPr>
            <w:tcW w:w="813" w:type="pct"/>
            <w:gridSpan w:val="3"/>
            <w:noWrap w:val="0"/>
            <w:vAlign w:val="center"/>
          </w:tcPr>
          <w:p w14:paraId="4EAF48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污染物排放情况</w:t>
            </w:r>
          </w:p>
        </w:tc>
        <w:tc>
          <w:tcPr>
            <w:tcW w:w="215" w:type="pct"/>
            <w:vMerge w:val="restart"/>
            <w:noWrap w:val="0"/>
            <w:vAlign w:val="center"/>
          </w:tcPr>
          <w:p w14:paraId="469404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排放口编号</w:t>
            </w:r>
          </w:p>
        </w:tc>
        <w:tc>
          <w:tcPr>
            <w:tcW w:w="395" w:type="pct"/>
            <w:gridSpan w:val="2"/>
            <w:noWrap w:val="0"/>
            <w:vAlign w:val="center"/>
          </w:tcPr>
          <w:p w14:paraId="01CD3F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kern w:val="0"/>
                <w:sz w:val="18"/>
                <w:szCs w:val="18"/>
                <w:highlight w:val="none"/>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排放标准</w:t>
            </w:r>
          </w:p>
        </w:tc>
        <w:tc>
          <w:tcPr>
            <w:tcW w:w="150" w:type="pct"/>
            <w:vMerge w:val="restart"/>
            <w:noWrap w:val="0"/>
            <w:vAlign w:val="center"/>
          </w:tcPr>
          <w:p w14:paraId="1D55CD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kern w:val="0"/>
                <w:sz w:val="18"/>
                <w:szCs w:val="18"/>
                <w:highlight w:val="none"/>
                <w14:textFill>
                  <w14:solidFill>
                    <w14:schemeClr w14:val="tx1"/>
                  </w14:solidFill>
                </w14:textFill>
              </w:rPr>
              <w:t>排放时间</w:t>
            </w:r>
            <w:r>
              <w:rPr>
                <w:rFonts w:hint="eastAsia" w:cs="Times New Roman"/>
                <w:b/>
                <w:color w:val="000000" w:themeColor="text1"/>
                <w:kern w:val="0"/>
                <w:sz w:val="18"/>
                <w:szCs w:val="18"/>
                <w:highlight w:val="none"/>
                <w:lang w:val="en-US" w:eastAsia="zh-CN"/>
                <w14:textFill>
                  <w14:solidFill>
                    <w14:schemeClr w14:val="tx1"/>
                  </w14:solidFill>
                </w14:textFill>
              </w:rPr>
              <w:t>h</w:t>
            </w:r>
          </w:p>
        </w:tc>
      </w:tr>
      <w:tr w14:paraId="4AE427D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blHeader/>
        </w:trPr>
        <w:tc>
          <w:tcPr>
            <w:tcW w:w="600" w:type="pct"/>
            <w:gridSpan w:val="2"/>
            <w:vMerge w:val="continue"/>
            <w:noWrap w:val="0"/>
            <w:vAlign w:val="center"/>
          </w:tcPr>
          <w:p w14:paraId="723B7F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p>
        </w:tc>
        <w:tc>
          <w:tcPr>
            <w:tcW w:w="253" w:type="pct"/>
            <w:vMerge w:val="continue"/>
            <w:noWrap w:val="0"/>
            <w:vAlign w:val="center"/>
          </w:tcPr>
          <w:p w14:paraId="063F66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p>
        </w:tc>
        <w:tc>
          <w:tcPr>
            <w:tcW w:w="358" w:type="pct"/>
            <w:vMerge w:val="continue"/>
            <w:noWrap w:val="0"/>
            <w:vAlign w:val="center"/>
          </w:tcPr>
          <w:p w14:paraId="34BFF9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p>
        </w:tc>
        <w:tc>
          <w:tcPr>
            <w:tcW w:w="309" w:type="pct"/>
            <w:noWrap w:val="0"/>
            <w:vAlign w:val="center"/>
          </w:tcPr>
          <w:p w14:paraId="200108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产生浓度(mg/m</w:t>
            </w:r>
            <w:r>
              <w:rPr>
                <w:rFonts w:hint="default" w:ascii="Times New Roman" w:hAnsi="Times New Roman" w:cs="Times New Roman"/>
                <w:b/>
                <w:color w:val="000000" w:themeColor="text1"/>
                <w:kern w:val="0"/>
                <w:sz w:val="18"/>
                <w:szCs w:val="18"/>
                <w:highlight w:val="none"/>
                <w:vertAlign w:val="superscript"/>
                <w14:textFill>
                  <w14:solidFill>
                    <w14:schemeClr w14:val="tx1"/>
                  </w14:solidFill>
                </w14:textFill>
              </w:rPr>
              <w:t>3</w:t>
            </w:r>
            <w:r>
              <w:rPr>
                <w:rFonts w:hint="default" w:ascii="Times New Roman" w:hAnsi="Times New Roman" w:cs="Times New Roman"/>
                <w:b/>
                <w:color w:val="000000" w:themeColor="text1"/>
                <w:kern w:val="0"/>
                <w:sz w:val="18"/>
                <w:szCs w:val="18"/>
                <w:highlight w:val="none"/>
                <w14:textFill>
                  <w14:solidFill>
                    <w14:schemeClr w14:val="tx1"/>
                  </w14:solidFill>
                </w14:textFill>
              </w:rPr>
              <w:t>)</w:t>
            </w:r>
          </w:p>
        </w:tc>
        <w:tc>
          <w:tcPr>
            <w:tcW w:w="287" w:type="pct"/>
            <w:noWrap w:val="0"/>
            <w:vAlign w:val="center"/>
          </w:tcPr>
          <w:p w14:paraId="519071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产生速率(kg/h)</w:t>
            </w:r>
          </w:p>
        </w:tc>
        <w:tc>
          <w:tcPr>
            <w:tcW w:w="265" w:type="pct"/>
            <w:noWrap w:val="0"/>
            <w:vAlign w:val="center"/>
          </w:tcPr>
          <w:p w14:paraId="5A5DB1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产生量(t/a)</w:t>
            </w:r>
          </w:p>
        </w:tc>
        <w:tc>
          <w:tcPr>
            <w:tcW w:w="253" w:type="pct"/>
            <w:vMerge w:val="continue"/>
            <w:noWrap w:val="0"/>
            <w:vAlign w:val="center"/>
          </w:tcPr>
          <w:p w14:paraId="7845DC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p>
        </w:tc>
        <w:tc>
          <w:tcPr>
            <w:tcW w:w="392" w:type="pct"/>
            <w:noWrap w:val="0"/>
            <w:vAlign w:val="center"/>
          </w:tcPr>
          <w:p w14:paraId="3B0C6F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治理措施</w:t>
            </w:r>
          </w:p>
        </w:tc>
        <w:tc>
          <w:tcPr>
            <w:tcW w:w="212" w:type="pct"/>
            <w:noWrap w:val="0"/>
            <w:vAlign w:val="center"/>
          </w:tcPr>
          <w:p w14:paraId="1053CE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收集效率(%)</w:t>
            </w:r>
          </w:p>
        </w:tc>
        <w:tc>
          <w:tcPr>
            <w:tcW w:w="212" w:type="pct"/>
            <w:noWrap w:val="0"/>
            <w:vAlign w:val="center"/>
          </w:tcPr>
          <w:p w14:paraId="5D3C77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去除效率(%)</w:t>
            </w:r>
          </w:p>
        </w:tc>
        <w:tc>
          <w:tcPr>
            <w:tcW w:w="280" w:type="pct"/>
            <w:noWrap w:val="0"/>
            <w:vAlign w:val="center"/>
          </w:tcPr>
          <w:p w14:paraId="6CED45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是否为可行技术</w:t>
            </w:r>
          </w:p>
        </w:tc>
        <w:tc>
          <w:tcPr>
            <w:tcW w:w="311" w:type="pct"/>
            <w:noWrap w:val="0"/>
            <w:vAlign w:val="center"/>
          </w:tcPr>
          <w:p w14:paraId="278C92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排放浓度(mg/m</w:t>
            </w:r>
            <w:r>
              <w:rPr>
                <w:rFonts w:hint="default" w:ascii="Times New Roman" w:hAnsi="Times New Roman" w:cs="Times New Roman"/>
                <w:b/>
                <w:color w:val="000000" w:themeColor="text1"/>
                <w:kern w:val="0"/>
                <w:sz w:val="18"/>
                <w:szCs w:val="18"/>
                <w:highlight w:val="none"/>
                <w:vertAlign w:val="superscript"/>
                <w14:textFill>
                  <w14:solidFill>
                    <w14:schemeClr w14:val="tx1"/>
                  </w14:solidFill>
                </w14:textFill>
              </w:rPr>
              <w:t>3</w:t>
            </w:r>
            <w:r>
              <w:rPr>
                <w:rFonts w:hint="default" w:ascii="Times New Roman" w:hAnsi="Times New Roman" w:cs="Times New Roman"/>
                <w:b/>
                <w:color w:val="000000" w:themeColor="text1"/>
                <w:kern w:val="0"/>
                <w:sz w:val="18"/>
                <w:szCs w:val="18"/>
                <w:highlight w:val="none"/>
                <w14:textFill>
                  <w14:solidFill>
                    <w14:schemeClr w14:val="tx1"/>
                  </w14:solidFill>
                </w14:textFill>
              </w:rPr>
              <w:t>)</w:t>
            </w:r>
          </w:p>
        </w:tc>
        <w:tc>
          <w:tcPr>
            <w:tcW w:w="271" w:type="pct"/>
            <w:noWrap w:val="0"/>
            <w:vAlign w:val="center"/>
          </w:tcPr>
          <w:p w14:paraId="64F38D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排放速率(kg/h)</w:t>
            </w:r>
          </w:p>
        </w:tc>
        <w:tc>
          <w:tcPr>
            <w:tcW w:w="230" w:type="pct"/>
            <w:noWrap w:val="0"/>
            <w:vAlign w:val="center"/>
          </w:tcPr>
          <w:p w14:paraId="0172D9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排放量(t/a)</w:t>
            </w:r>
          </w:p>
        </w:tc>
        <w:tc>
          <w:tcPr>
            <w:tcW w:w="215" w:type="pct"/>
            <w:vMerge w:val="continue"/>
            <w:noWrap w:val="0"/>
            <w:vAlign w:val="center"/>
          </w:tcPr>
          <w:p w14:paraId="2BEA3F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p>
        </w:tc>
        <w:tc>
          <w:tcPr>
            <w:tcW w:w="207" w:type="pct"/>
            <w:noWrap w:val="0"/>
            <w:vAlign w:val="center"/>
          </w:tcPr>
          <w:p w14:paraId="66FB0C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mg/m</w:t>
            </w:r>
            <w:r>
              <w:rPr>
                <w:rFonts w:hint="default" w:ascii="Times New Roman" w:hAnsi="Times New Roman" w:cs="Times New Roman"/>
                <w:b/>
                <w:color w:val="000000" w:themeColor="text1"/>
                <w:kern w:val="0"/>
                <w:sz w:val="18"/>
                <w:szCs w:val="18"/>
                <w:highlight w:val="none"/>
                <w:vertAlign w:val="superscript"/>
                <w14:textFill>
                  <w14:solidFill>
                    <w14:schemeClr w14:val="tx1"/>
                  </w14:solidFill>
                </w14:textFill>
              </w:rPr>
              <w:t>3</w:t>
            </w:r>
          </w:p>
        </w:tc>
        <w:tc>
          <w:tcPr>
            <w:tcW w:w="188" w:type="pct"/>
            <w:noWrap w:val="0"/>
            <w:vAlign w:val="center"/>
          </w:tcPr>
          <w:p w14:paraId="5DCDBE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r>
              <w:rPr>
                <w:rFonts w:hint="default" w:ascii="Times New Roman" w:hAnsi="Times New Roman" w:cs="Times New Roman"/>
                <w:b/>
                <w:color w:val="000000" w:themeColor="text1"/>
                <w:kern w:val="0"/>
                <w:sz w:val="18"/>
                <w:szCs w:val="18"/>
                <w:highlight w:val="none"/>
                <w14:textFill>
                  <w14:solidFill>
                    <w14:schemeClr w14:val="tx1"/>
                  </w14:solidFill>
                </w14:textFill>
              </w:rPr>
              <w:t>kg/h</w:t>
            </w:r>
          </w:p>
        </w:tc>
        <w:tc>
          <w:tcPr>
            <w:tcW w:w="150" w:type="pct"/>
            <w:vMerge w:val="continue"/>
            <w:noWrap w:val="0"/>
            <w:vAlign w:val="center"/>
          </w:tcPr>
          <w:p w14:paraId="593281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kern w:val="0"/>
                <w:sz w:val="18"/>
                <w:szCs w:val="18"/>
                <w:highlight w:val="none"/>
                <w14:textFill>
                  <w14:solidFill>
                    <w14:schemeClr w14:val="tx1"/>
                  </w14:solidFill>
                </w14:textFill>
              </w:rPr>
            </w:pPr>
          </w:p>
        </w:tc>
      </w:tr>
      <w:tr w14:paraId="729AA70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restart"/>
            <w:noWrap w:val="0"/>
            <w:vAlign w:val="center"/>
          </w:tcPr>
          <w:p w14:paraId="0BAFBE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有组织</w:t>
            </w:r>
          </w:p>
        </w:tc>
        <w:tc>
          <w:tcPr>
            <w:tcW w:w="436" w:type="pct"/>
            <w:vMerge w:val="restart"/>
            <w:noWrap w:val="0"/>
            <w:vAlign w:val="center"/>
          </w:tcPr>
          <w:p w14:paraId="5B261B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搅浆废气、注浆、成型废气及打磨</w:t>
            </w:r>
            <w:r>
              <w:rPr>
                <w:rFonts w:hint="eastAsia" w:cs="Times New Roman"/>
                <w:bCs/>
                <w:color w:val="000000" w:themeColor="text1"/>
                <w:sz w:val="18"/>
                <w:szCs w:val="18"/>
                <w:lang w:val="en-US" w:eastAsia="zh-CN"/>
                <w14:textFill>
                  <w14:solidFill>
                    <w14:schemeClr w14:val="tx1"/>
                  </w14:solidFill>
                </w14:textFill>
              </w:rPr>
              <w:t>粉尘</w:t>
            </w:r>
            <w:r>
              <w:rPr>
                <w:rFonts w:hint="eastAsia" w:ascii="Times New Roman" w:hAnsi="Times New Roman" w:cs="Times New Roman"/>
                <w:bCs/>
                <w:color w:val="000000" w:themeColor="text1"/>
                <w:sz w:val="18"/>
                <w:szCs w:val="18"/>
                <w:lang w:val="en-US" w:eastAsia="zh-CN"/>
                <w14:textFill>
                  <w14:solidFill>
                    <w14:schemeClr w14:val="tx1"/>
                  </w14:solidFill>
                </w14:textFill>
              </w:rPr>
              <w:t>（DA001）</w:t>
            </w:r>
          </w:p>
        </w:tc>
        <w:tc>
          <w:tcPr>
            <w:tcW w:w="253" w:type="pct"/>
            <w:vMerge w:val="restart"/>
            <w:noWrap w:val="0"/>
            <w:vAlign w:val="center"/>
          </w:tcPr>
          <w:p w14:paraId="533C89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10000</w:t>
            </w:r>
          </w:p>
        </w:tc>
        <w:tc>
          <w:tcPr>
            <w:tcW w:w="358" w:type="pct"/>
            <w:noWrap w:val="0"/>
            <w:vAlign w:val="center"/>
          </w:tcPr>
          <w:p w14:paraId="535336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颗粒物</w:t>
            </w:r>
          </w:p>
        </w:tc>
        <w:tc>
          <w:tcPr>
            <w:tcW w:w="309" w:type="pct"/>
            <w:noWrap w:val="0"/>
            <w:vAlign w:val="center"/>
          </w:tcPr>
          <w:p w14:paraId="5CC5E25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26.33 </w:t>
            </w:r>
          </w:p>
        </w:tc>
        <w:tc>
          <w:tcPr>
            <w:tcW w:w="287" w:type="pct"/>
            <w:noWrap w:val="0"/>
            <w:vAlign w:val="center"/>
          </w:tcPr>
          <w:p w14:paraId="00993D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0.263 </w:t>
            </w:r>
          </w:p>
        </w:tc>
        <w:tc>
          <w:tcPr>
            <w:tcW w:w="265" w:type="pct"/>
            <w:noWrap w:val="0"/>
            <w:vAlign w:val="center"/>
          </w:tcPr>
          <w:p w14:paraId="6BAF17F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0.158</w:t>
            </w:r>
          </w:p>
        </w:tc>
        <w:tc>
          <w:tcPr>
            <w:tcW w:w="253" w:type="pct"/>
            <w:vMerge w:val="restart"/>
            <w:noWrap w:val="0"/>
            <w:vAlign w:val="center"/>
          </w:tcPr>
          <w:p w14:paraId="15F0D7F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有组织</w:t>
            </w:r>
          </w:p>
        </w:tc>
        <w:tc>
          <w:tcPr>
            <w:tcW w:w="392" w:type="pct"/>
            <w:noWrap w:val="0"/>
            <w:vAlign w:val="center"/>
          </w:tcPr>
          <w:p w14:paraId="1FDB3E5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1套布袋除尘</w:t>
            </w:r>
          </w:p>
        </w:tc>
        <w:tc>
          <w:tcPr>
            <w:tcW w:w="212" w:type="pct"/>
            <w:noWrap w:val="0"/>
            <w:vAlign w:val="center"/>
          </w:tcPr>
          <w:p w14:paraId="4C7755D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80</w:t>
            </w:r>
          </w:p>
        </w:tc>
        <w:tc>
          <w:tcPr>
            <w:tcW w:w="212" w:type="pct"/>
            <w:noWrap w:val="0"/>
            <w:vAlign w:val="center"/>
          </w:tcPr>
          <w:p w14:paraId="569A5B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95</w:t>
            </w:r>
          </w:p>
        </w:tc>
        <w:tc>
          <w:tcPr>
            <w:tcW w:w="280" w:type="pct"/>
            <w:noWrap w:val="0"/>
            <w:vAlign w:val="center"/>
          </w:tcPr>
          <w:p w14:paraId="581E125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是</w:t>
            </w:r>
          </w:p>
        </w:tc>
        <w:tc>
          <w:tcPr>
            <w:tcW w:w="311" w:type="pct"/>
            <w:noWrap w:val="0"/>
            <w:vAlign w:val="center"/>
          </w:tcPr>
          <w:p w14:paraId="2658CD4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1.32 </w:t>
            </w:r>
          </w:p>
        </w:tc>
        <w:tc>
          <w:tcPr>
            <w:tcW w:w="271" w:type="pct"/>
            <w:noWrap w:val="0"/>
            <w:vAlign w:val="center"/>
          </w:tcPr>
          <w:p w14:paraId="1FA11B1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0.013 </w:t>
            </w:r>
          </w:p>
        </w:tc>
        <w:tc>
          <w:tcPr>
            <w:tcW w:w="230" w:type="pct"/>
            <w:noWrap w:val="0"/>
            <w:vAlign w:val="center"/>
          </w:tcPr>
          <w:p w14:paraId="287F41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0.008 </w:t>
            </w:r>
          </w:p>
        </w:tc>
        <w:tc>
          <w:tcPr>
            <w:tcW w:w="215" w:type="pct"/>
            <w:vMerge w:val="restart"/>
            <w:noWrap w:val="0"/>
            <w:vAlign w:val="center"/>
          </w:tcPr>
          <w:p w14:paraId="6C7988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eastAsia="zh-CN"/>
                <w14:textFill>
                  <w14:solidFill>
                    <w14:schemeClr w14:val="tx1"/>
                  </w14:solidFill>
                </w14:textFill>
              </w:rPr>
            </w:pPr>
            <w:r>
              <w:rPr>
                <w:rFonts w:hint="default" w:ascii="Times New Roman" w:hAnsi="Times New Roman" w:cs="Times New Roman"/>
                <w:color w:val="000000" w:themeColor="text1"/>
                <w:kern w:val="0"/>
                <w:sz w:val="18"/>
                <w:szCs w:val="18"/>
                <w:highlight w:val="none"/>
                <w14:textFill>
                  <w14:solidFill>
                    <w14:schemeClr w14:val="tx1"/>
                  </w14:solidFill>
                </w14:textFill>
              </w:rPr>
              <w:t>DA00</w:t>
            </w:r>
            <w:r>
              <w:rPr>
                <w:rFonts w:hint="eastAsia" w:cs="Times New Roman"/>
                <w:color w:val="000000" w:themeColor="text1"/>
                <w:kern w:val="0"/>
                <w:sz w:val="18"/>
                <w:szCs w:val="18"/>
                <w:highlight w:val="none"/>
                <w:lang w:val="en-US" w:eastAsia="zh-CN"/>
                <w14:textFill>
                  <w14:solidFill>
                    <w14:schemeClr w14:val="tx1"/>
                  </w14:solidFill>
                </w14:textFill>
              </w:rPr>
              <w:t>1</w:t>
            </w:r>
          </w:p>
        </w:tc>
        <w:tc>
          <w:tcPr>
            <w:tcW w:w="207" w:type="pct"/>
            <w:noWrap w:val="0"/>
            <w:vAlign w:val="center"/>
          </w:tcPr>
          <w:p w14:paraId="3654C5B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30</w:t>
            </w:r>
          </w:p>
        </w:tc>
        <w:tc>
          <w:tcPr>
            <w:tcW w:w="188" w:type="pct"/>
            <w:noWrap w:val="0"/>
            <w:vAlign w:val="center"/>
          </w:tcPr>
          <w:p w14:paraId="241005E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6FCFEA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600</w:t>
            </w:r>
          </w:p>
        </w:tc>
      </w:tr>
      <w:tr w14:paraId="6679920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617856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436" w:type="pct"/>
            <w:vMerge w:val="continue"/>
            <w:noWrap w:val="0"/>
            <w:vAlign w:val="center"/>
          </w:tcPr>
          <w:p w14:paraId="200867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411979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358" w:type="pct"/>
            <w:shd w:val="clear" w:color="auto" w:fill="auto"/>
            <w:noWrap w:val="0"/>
            <w:vAlign w:val="center"/>
          </w:tcPr>
          <w:p w14:paraId="6E9F68C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苯乙烯</w:t>
            </w:r>
          </w:p>
        </w:tc>
        <w:tc>
          <w:tcPr>
            <w:tcW w:w="309" w:type="pct"/>
            <w:noWrap w:val="0"/>
            <w:vAlign w:val="center"/>
          </w:tcPr>
          <w:p w14:paraId="04FB1D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2.75 </w:t>
            </w:r>
          </w:p>
        </w:tc>
        <w:tc>
          <w:tcPr>
            <w:tcW w:w="287" w:type="pct"/>
            <w:noWrap w:val="0"/>
            <w:vAlign w:val="center"/>
          </w:tcPr>
          <w:p w14:paraId="5A0C41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0.028 </w:t>
            </w:r>
          </w:p>
        </w:tc>
        <w:tc>
          <w:tcPr>
            <w:tcW w:w="265" w:type="pct"/>
            <w:noWrap w:val="0"/>
            <w:vAlign w:val="center"/>
          </w:tcPr>
          <w:p w14:paraId="70E56C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0.033</w:t>
            </w:r>
          </w:p>
        </w:tc>
        <w:tc>
          <w:tcPr>
            <w:tcW w:w="253" w:type="pct"/>
            <w:vMerge w:val="continue"/>
            <w:noWrap w:val="0"/>
            <w:vAlign w:val="center"/>
          </w:tcPr>
          <w:p w14:paraId="1DB3BA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restart"/>
            <w:noWrap w:val="0"/>
            <w:vAlign w:val="center"/>
          </w:tcPr>
          <w:p w14:paraId="571231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1套二级活性炭吸附</w:t>
            </w:r>
          </w:p>
        </w:tc>
        <w:tc>
          <w:tcPr>
            <w:tcW w:w="212" w:type="pct"/>
            <w:noWrap w:val="0"/>
            <w:vAlign w:val="center"/>
          </w:tcPr>
          <w:p w14:paraId="6710036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80</w:t>
            </w:r>
          </w:p>
        </w:tc>
        <w:tc>
          <w:tcPr>
            <w:tcW w:w="212" w:type="pct"/>
            <w:noWrap w:val="0"/>
            <w:vAlign w:val="center"/>
          </w:tcPr>
          <w:p w14:paraId="37969D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51</w:t>
            </w:r>
          </w:p>
        </w:tc>
        <w:tc>
          <w:tcPr>
            <w:tcW w:w="280" w:type="pct"/>
            <w:noWrap w:val="0"/>
            <w:vAlign w:val="center"/>
          </w:tcPr>
          <w:p w14:paraId="7604F44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是</w:t>
            </w:r>
          </w:p>
        </w:tc>
        <w:tc>
          <w:tcPr>
            <w:tcW w:w="311" w:type="pct"/>
            <w:noWrap w:val="0"/>
            <w:vAlign w:val="center"/>
          </w:tcPr>
          <w:p w14:paraId="0033D4A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1.35 </w:t>
            </w:r>
          </w:p>
        </w:tc>
        <w:tc>
          <w:tcPr>
            <w:tcW w:w="271" w:type="pct"/>
            <w:noWrap w:val="0"/>
            <w:vAlign w:val="center"/>
          </w:tcPr>
          <w:p w14:paraId="0B45233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0.013 </w:t>
            </w:r>
          </w:p>
        </w:tc>
        <w:tc>
          <w:tcPr>
            <w:tcW w:w="230" w:type="pct"/>
            <w:noWrap w:val="0"/>
            <w:vAlign w:val="center"/>
          </w:tcPr>
          <w:p w14:paraId="6C1EC8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0.016 </w:t>
            </w:r>
          </w:p>
        </w:tc>
        <w:tc>
          <w:tcPr>
            <w:tcW w:w="215" w:type="pct"/>
            <w:vMerge w:val="continue"/>
            <w:noWrap w:val="0"/>
            <w:vAlign w:val="center"/>
          </w:tcPr>
          <w:p w14:paraId="2123C1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207" w:type="pct"/>
            <w:noWrap w:val="0"/>
            <w:vAlign w:val="center"/>
          </w:tcPr>
          <w:p w14:paraId="6A449E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5</w:t>
            </w:r>
          </w:p>
        </w:tc>
        <w:tc>
          <w:tcPr>
            <w:tcW w:w="188" w:type="pct"/>
            <w:noWrap w:val="0"/>
            <w:vAlign w:val="center"/>
          </w:tcPr>
          <w:p w14:paraId="783188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2933C1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1200</w:t>
            </w:r>
          </w:p>
        </w:tc>
      </w:tr>
      <w:tr w14:paraId="1F700C3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23AF1D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436" w:type="pct"/>
            <w:vMerge w:val="continue"/>
            <w:noWrap w:val="0"/>
            <w:vAlign w:val="center"/>
          </w:tcPr>
          <w:p w14:paraId="59CA83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75F001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358" w:type="pct"/>
            <w:shd w:val="clear" w:color="auto" w:fill="auto"/>
            <w:noWrap w:val="0"/>
            <w:vAlign w:val="center"/>
          </w:tcPr>
          <w:p w14:paraId="46AB051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TVOC</w:t>
            </w:r>
          </w:p>
        </w:tc>
        <w:tc>
          <w:tcPr>
            <w:tcW w:w="309" w:type="pct"/>
            <w:noWrap w:val="0"/>
            <w:vAlign w:val="center"/>
          </w:tcPr>
          <w:p w14:paraId="71AB95D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38.17 </w:t>
            </w:r>
          </w:p>
        </w:tc>
        <w:tc>
          <w:tcPr>
            <w:tcW w:w="287" w:type="pct"/>
            <w:noWrap w:val="0"/>
            <w:vAlign w:val="center"/>
          </w:tcPr>
          <w:p w14:paraId="1E9E7E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0.382 </w:t>
            </w:r>
          </w:p>
        </w:tc>
        <w:tc>
          <w:tcPr>
            <w:tcW w:w="265" w:type="pct"/>
            <w:noWrap w:val="0"/>
            <w:vAlign w:val="center"/>
          </w:tcPr>
          <w:p w14:paraId="6FBD50B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0.458</w:t>
            </w:r>
          </w:p>
        </w:tc>
        <w:tc>
          <w:tcPr>
            <w:tcW w:w="253" w:type="pct"/>
            <w:vMerge w:val="continue"/>
            <w:noWrap w:val="0"/>
            <w:vAlign w:val="center"/>
          </w:tcPr>
          <w:p w14:paraId="7EEF1F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3B71CE5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6E7DA30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80</w:t>
            </w:r>
          </w:p>
        </w:tc>
        <w:tc>
          <w:tcPr>
            <w:tcW w:w="212" w:type="pct"/>
            <w:noWrap w:val="0"/>
            <w:vAlign w:val="center"/>
          </w:tcPr>
          <w:p w14:paraId="637573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51</w:t>
            </w:r>
          </w:p>
        </w:tc>
        <w:tc>
          <w:tcPr>
            <w:tcW w:w="280" w:type="pct"/>
            <w:noWrap w:val="0"/>
            <w:vAlign w:val="center"/>
          </w:tcPr>
          <w:p w14:paraId="271075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是</w:t>
            </w:r>
          </w:p>
        </w:tc>
        <w:tc>
          <w:tcPr>
            <w:tcW w:w="311" w:type="pct"/>
            <w:noWrap w:val="0"/>
            <w:vAlign w:val="center"/>
          </w:tcPr>
          <w:p w14:paraId="156ACD2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18.70 </w:t>
            </w:r>
          </w:p>
        </w:tc>
        <w:tc>
          <w:tcPr>
            <w:tcW w:w="271" w:type="pct"/>
            <w:noWrap w:val="0"/>
            <w:vAlign w:val="center"/>
          </w:tcPr>
          <w:p w14:paraId="230676C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0.187 </w:t>
            </w:r>
          </w:p>
        </w:tc>
        <w:tc>
          <w:tcPr>
            <w:tcW w:w="230" w:type="pct"/>
            <w:noWrap w:val="0"/>
            <w:vAlign w:val="center"/>
          </w:tcPr>
          <w:p w14:paraId="3FB2C6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0.224 </w:t>
            </w:r>
          </w:p>
        </w:tc>
        <w:tc>
          <w:tcPr>
            <w:tcW w:w="215" w:type="pct"/>
            <w:vMerge w:val="continue"/>
            <w:noWrap w:val="0"/>
            <w:vAlign w:val="center"/>
          </w:tcPr>
          <w:p w14:paraId="7041B8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207" w:type="pct"/>
            <w:noWrap w:val="0"/>
            <w:vAlign w:val="center"/>
          </w:tcPr>
          <w:p w14:paraId="00D862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40</w:t>
            </w:r>
          </w:p>
        </w:tc>
        <w:tc>
          <w:tcPr>
            <w:tcW w:w="188" w:type="pct"/>
            <w:noWrap w:val="0"/>
            <w:vAlign w:val="center"/>
          </w:tcPr>
          <w:p w14:paraId="36908A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3EBFCC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1200</w:t>
            </w:r>
          </w:p>
        </w:tc>
      </w:tr>
      <w:tr w14:paraId="619FEB4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584ABE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436" w:type="pct"/>
            <w:vMerge w:val="continue"/>
            <w:noWrap w:val="0"/>
            <w:vAlign w:val="center"/>
          </w:tcPr>
          <w:p w14:paraId="2FF196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52308B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358" w:type="pct"/>
            <w:shd w:val="clear" w:color="auto" w:fill="auto"/>
            <w:noWrap w:val="0"/>
            <w:vAlign w:val="center"/>
          </w:tcPr>
          <w:p w14:paraId="51992E9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臭气浓度</w:t>
            </w:r>
          </w:p>
        </w:tc>
        <w:tc>
          <w:tcPr>
            <w:tcW w:w="861" w:type="pct"/>
            <w:gridSpan w:val="3"/>
            <w:noWrap w:val="0"/>
            <w:vAlign w:val="center"/>
          </w:tcPr>
          <w:p w14:paraId="5CEB39D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少量</w:t>
            </w:r>
          </w:p>
        </w:tc>
        <w:tc>
          <w:tcPr>
            <w:tcW w:w="253" w:type="pct"/>
            <w:vMerge w:val="continue"/>
            <w:noWrap w:val="0"/>
            <w:vAlign w:val="center"/>
          </w:tcPr>
          <w:p w14:paraId="523085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7C1EC91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4C5A21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80</w:t>
            </w:r>
          </w:p>
        </w:tc>
        <w:tc>
          <w:tcPr>
            <w:tcW w:w="212" w:type="pct"/>
            <w:noWrap w:val="0"/>
            <w:vAlign w:val="center"/>
          </w:tcPr>
          <w:p w14:paraId="143C6C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19E1413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813" w:type="pct"/>
            <w:gridSpan w:val="3"/>
            <w:noWrap w:val="0"/>
            <w:vAlign w:val="center"/>
          </w:tcPr>
          <w:p w14:paraId="1DC354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＜15000（无量纲）</w:t>
            </w:r>
          </w:p>
        </w:tc>
        <w:tc>
          <w:tcPr>
            <w:tcW w:w="215" w:type="pct"/>
            <w:vMerge w:val="continue"/>
            <w:noWrap w:val="0"/>
            <w:vAlign w:val="center"/>
          </w:tcPr>
          <w:p w14:paraId="7EF7CA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207" w:type="pct"/>
            <w:noWrap w:val="0"/>
            <w:vAlign w:val="center"/>
          </w:tcPr>
          <w:p w14:paraId="10E4B9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88" w:type="pct"/>
            <w:noWrap w:val="0"/>
            <w:vAlign w:val="center"/>
          </w:tcPr>
          <w:p w14:paraId="42671FD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15000（无量纲）</w:t>
            </w:r>
          </w:p>
        </w:tc>
        <w:tc>
          <w:tcPr>
            <w:tcW w:w="150" w:type="pct"/>
            <w:noWrap w:val="0"/>
            <w:vAlign w:val="center"/>
          </w:tcPr>
          <w:p w14:paraId="193C8A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1200</w:t>
            </w:r>
          </w:p>
        </w:tc>
      </w:tr>
      <w:tr w14:paraId="6BF0D61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2889E4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436" w:type="pct"/>
            <w:vMerge w:val="restart"/>
            <w:noWrap w:val="0"/>
            <w:vAlign w:val="center"/>
          </w:tcPr>
          <w:p w14:paraId="66922A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调漆废气、喷漆、流平、晾干废气、彩绘、晾干废气及喷枪清洗废气</w:t>
            </w:r>
            <w:r>
              <w:rPr>
                <w:rFonts w:hint="eastAsia" w:cs="Times New Roman"/>
                <w:bCs/>
                <w:color w:val="000000" w:themeColor="text1"/>
                <w:sz w:val="18"/>
                <w:szCs w:val="18"/>
                <w:lang w:val="en-US" w:eastAsia="zh-CN"/>
                <w14:textFill>
                  <w14:solidFill>
                    <w14:schemeClr w14:val="tx1"/>
                  </w14:solidFill>
                </w14:textFill>
              </w:rPr>
              <w:t>（DA002）</w:t>
            </w:r>
          </w:p>
        </w:tc>
        <w:tc>
          <w:tcPr>
            <w:tcW w:w="253" w:type="pct"/>
            <w:vMerge w:val="restart"/>
            <w:noWrap w:val="0"/>
            <w:vAlign w:val="center"/>
          </w:tcPr>
          <w:p w14:paraId="35859E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20000</w:t>
            </w:r>
          </w:p>
        </w:tc>
        <w:tc>
          <w:tcPr>
            <w:tcW w:w="358" w:type="pct"/>
            <w:noWrap w:val="0"/>
            <w:vAlign w:val="center"/>
          </w:tcPr>
          <w:p w14:paraId="736D53B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颗粒物</w:t>
            </w:r>
          </w:p>
        </w:tc>
        <w:tc>
          <w:tcPr>
            <w:tcW w:w="309" w:type="pct"/>
            <w:noWrap w:val="0"/>
            <w:vAlign w:val="center"/>
          </w:tcPr>
          <w:p w14:paraId="33EF7E5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9.83 </w:t>
            </w:r>
          </w:p>
        </w:tc>
        <w:tc>
          <w:tcPr>
            <w:tcW w:w="287" w:type="pct"/>
            <w:noWrap w:val="0"/>
            <w:vAlign w:val="center"/>
          </w:tcPr>
          <w:p w14:paraId="1B219E6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0.197 </w:t>
            </w:r>
          </w:p>
        </w:tc>
        <w:tc>
          <w:tcPr>
            <w:tcW w:w="265" w:type="pct"/>
            <w:noWrap w:val="0"/>
            <w:vAlign w:val="center"/>
          </w:tcPr>
          <w:p w14:paraId="005FCB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0.177</w:t>
            </w:r>
          </w:p>
        </w:tc>
        <w:tc>
          <w:tcPr>
            <w:tcW w:w="253" w:type="pct"/>
            <w:vMerge w:val="continue"/>
            <w:noWrap w:val="0"/>
            <w:vAlign w:val="center"/>
          </w:tcPr>
          <w:p w14:paraId="26E203B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restart"/>
            <w:noWrap w:val="0"/>
            <w:vAlign w:val="center"/>
          </w:tcPr>
          <w:p w14:paraId="451C66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1套“过滤棉+二级活性炭吸附”</w:t>
            </w:r>
          </w:p>
        </w:tc>
        <w:tc>
          <w:tcPr>
            <w:tcW w:w="212" w:type="pct"/>
            <w:noWrap w:val="0"/>
            <w:vAlign w:val="center"/>
          </w:tcPr>
          <w:p w14:paraId="73C801C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90</w:t>
            </w:r>
          </w:p>
        </w:tc>
        <w:tc>
          <w:tcPr>
            <w:tcW w:w="212" w:type="pct"/>
            <w:noWrap w:val="0"/>
            <w:vAlign w:val="center"/>
          </w:tcPr>
          <w:p w14:paraId="27B893A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80</w:t>
            </w:r>
          </w:p>
        </w:tc>
        <w:tc>
          <w:tcPr>
            <w:tcW w:w="280" w:type="pct"/>
            <w:noWrap w:val="0"/>
            <w:vAlign w:val="center"/>
          </w:tcPr>
          <w:p w14:paraId="6FBC8AA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是</w:t>
            </w:r>
          </w:p>
        </w:tc>
        <w:tc>
          <w:tcPr>
            <w:tcW w:w="311" w:type="pct"/>
            <w:noWrap w:val="0"/>
            <w:vAlign w:val="center"/>
          </w:tcPr>
          <w:p w14:paraId="26B7B07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1.97 </w:t>
            </w:r>
          </w:p>
        </w:tc>
        <w:tc>
          <w:tcPr>
            <w:tcW w:w="271" w:type="pct"/>
            <w:noWrap w:val="0"/>
            <w:vAlign w:val="center"/>
          </w:tcPr>
          <w:p w14:paraId="067F665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0.039 </w:t>
            </w:r>
          </w:p>
        </w:tc>
        <w:tc>
          <w:tcPr>
            <w:tcW w:w="230" w:type="pct"/>
            <w:noWrap w:val="0"/>
            <w:vAlign w:val="center"/>
          </w:tcPr>
          <w:p w14:paraId="2923D50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0.035 </w:t>
            </w:r>
          </w:p>
        </w:tc>
        <w:tc>
          <w:tcPr>
            <w:tcW w:w="215" w:type="pct"/>
            <w:vMerge w:val="restart"/>
            <w:noWrap w:val="0"/>
            <w:vAlign w:val="center"/>
          </w:tcPr>
          <w:p w14:paraId="791E71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DA002</w:t>
            </w:r>
          </w:p>
        </w:tc>
        <w:tc>
          <w:tcPr>
            <w:tcW w:w="207" w:type="pct"/>
            <w:noWrap w:val="0"/>
            <w:vAlign w:val="center"/>
          </w:tcPr>
          <w:p w14:paraId="016F50A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w:t>
            </w:r>
          </w:p>
        </w:tc>
        <w:tc>
          <w:tcPr>
            <w:tcW w:w="188" w:type="pct"/>
            <w:noWrap w:val="0"/>
            <w:vAlign w:val="center"/>
          </w:tcPr>
          <w:p w14:paraId="683563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11.5</w:t>
            </w:r>
          </w:p>
        </w:tc>
        <w:tc>
          <w:tcPr>
            <w:tcW w:w="150" w:type="pct"/>
            <w:noWrap w:val="0"/>
            <w:vAlign w:val="center"/>
          </w:tcPr>
          <w:p w14:paraId="674DB8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900</w:t>
            </w:r>
          </w:p>
        </w:tc>
      </w:tr>
      <w:tr w14:paraId="7403D6C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73FC3C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436" w:type="pct"/>
            <w:vMerge w:val="continue"/>
            <w:noWrap w:val="0"/>
            <w:vAlign w:val="center"/>
          </w:tcPr>
          <w:p w14:paraId="4ADC64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3394FF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6040676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二甲苯</w:t>
            </w:r>
          </w:p>
        </w:tc>
        <w:tc>
          <w:tcPr>
            <w:tcW w:w="309" w:type="pct"/>
            <w:noWrap w:val="0"/>
            <w:vAlign w:val="center"/>
          </w:tcPr>
          <w:p w14:paraId="21E26F9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8.83 </w:t>
            </w:r>
          </w:p>
        </w:tc>
        <w:tc>
          <w:tcPr>
            <w:tcW w:w="287" w:type="pct"/>
            <w:noWrap w:val="0"/>
            <w:vAlign w:val="center"/>
          </w:tcPr>
          <w:p w14:paraId="1BB4DA5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0.177 </w:t>
            </w:r>
          </w:p>
        </w:tc>
        <w:tc>
          <w:tcPr>
            <w:tcW w:w="265" w:type="pct"/>
            <w:noWrap w:val="0"/>
            <w:vAlign w:val="center"/>
          </w:tcPr>
          <w:p w14:paraId="563BD92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0.424</w:t>
            </w:r>
          </w:p>
        </w:tc>
        <w:tc>
          <w:tcPr>
            <w:tcW w:w="253" w:type="pct"/>
            <w:vMerge w:val="continue"/>
            <w:noWrap w:val="0"/>
            <w:vAlign w:val="center"/>
          </w:tcPr>
          <w:p w14:paraId="4655E36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04672C6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167CE58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90</w:t>
            </w:r>
          </w:p>
        </w:tc>
        <w:tc>
          <w:tcPr>
            <w:tcW w:w="212" w:type="pct"/>
            <w:noWrap w:val="0"/>
            <w:vAlign w:val="center"/>
          </w:tcPr>
          <w:p w14:paraId="7739AC7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51</w:t>
            </w:r>
          </w:p>
        </w:tc>
        <w:tc>
          <w:tcPr>
            <w:tcW w:w="280" w:type="pct"/>
            <w:noWrap w:val="0"/>
            <w:vAlign w:val="center"/>
          </w:tcPr>
          <w:p w14:paraId="795958E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是</w:t>
            </w:r>
          </w:p>
        </w:tc>
        <w:tc>
          <w:tcPr>
            <w:tcW w:w="311" w:type="pct"/>
            <w:noWrap w:val="0"/>
            <w:vAlign w:val="center"/>
          </w:tcPr>
          <w:p w14:paraId="0FE097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4.33 </w:t>
            </w:r>
          </w:p>
        </w:tc>
        <w:tc>
          <w:tcPr>
            <w:tcW w:w="271" w:type="pct"/>
            <w:noWrap w:val="0"/>
            <w:vAlign w:val="center"/>
          </w:tcPr>
          <w:p w14:paraId="04B4CE0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0.087 </w:t>
            </w:r>
          </w:p>
        </w:tc>
        <w:tc>
          <w:tcPr>
            <w:tcW w:w="230" w:type="pct"/>
            <w:noWrap w:val="0"/>
            <w:vAlign w:val="center"/>
          </w:tcPr>
          <w:p w14:paraId="04DDCE8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0.208 </w:t>
            </w:r>
          </w:p>
        </w:tc>
        <w:tc>
          <w:tcPr>
            <w:tcW w:w="215" w:type="pct"/>
            <w:vMerge w:val="continue"/>
            <w:noWrap w:val="0"/>
            <w:vAlign w:val="center"/>
          </w:tcPr>
          <w:p w14:paraId="62B424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207" w:type="pct"/>
            <w:noWrap w:val="0"/>
            <w:vAlign w:val="center"/>
          </w:tcPr>
          <w:p w14:paraId="1F47819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40</w:t>
            </w:r>
          </w:p>
        </w:tc>
        <w:tc>
          <w:tcPr>
            <w:tcW w:w="188" w:type="pct"/>
            <w:noWrap w:val="0"/>
            <w:vAlign w:val="center"/>
          </w:tcPr>
          <w:p w14:paraId="680BC7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18834D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7C83EC1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4D5888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436" w:type="pct"/>
            <w:vMerge w:val="continue"/>
            <w:noWrap w:val="0"/>
            <w:vAlign w:val="center"/>
          </w:tcPr>
          <w:p w14:paraId="0E4D1C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74A3AD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7D04410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TVOC</w:t>
            </w:r>
          </w:p>
        </w:tc>
        <w:tc>
          <w:tcPr>
            <w:tcW w:w="309" w:type="pct"/>
            <w:noWrap w:val="0"/>
            <w:vAlign w:val="center"/>
          </w:tcPr>
          <w:p w14:paraId="6E5F391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26.63 </w:t>
            </w:r>
          </w:p>
        </w:tc>
        <w:tc>
          <w:tcPr>
            <w:tcW w:w="287" w:type="pct"/>
            <w:noWrap w:val="0"/>
            <w:vAlign w:val="center"/>
          </w:tcPr>
          <w:p w14:paraId="482BF4F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0.533 </w:t>
            </w:r>
          </w:p>
        </w:tc>
        <w:tc>
          <w:tcPr>
            <w:tcW w:w="265" w:type="pct"/>
            <w:noWrap w:val="0"/>
            <w:vAlign w:val="center"/>
          </w:tcPr>
          <w:p w14:paraId="2B2F05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1.278</w:t>
            </w:r>
          </w:p>
        </w:tc>
        <w:tc>
          <w:tcPr>
            <w:tcW w:w="253" w:type="pct"/>
            <w:vMerge w:val="continue"/>
            <w:noWrap w:val="0"/>
            <w:vAlign w:val="center"/>
          </w:tcPr>
          <w:p w14:paraId="395B151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1FC6DA1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4061FCC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90</w:t>
            </w:r>
          </w:p>
        </w:tc>
        <w:tc>
          <w:tcPr>
            <w:tcW w:w="212" w:type="pct"/>
            <w:noWrap w:val="0"/>
            <w:vAlign w:val="center"/>
          </w:tcPr>
          <w:p w14:paraId="332D1F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51</w:t>
            </w:r>
          </w:p>
        </w:tc>
        <w:tc>
          <w:tcPr>
            <w:tcW w:w="280" w:type="pct"/>
            <w:noWrap w:val="0"/>
            <w:vAlign w:val="center"/>
          </w:tcPr>
          <w:p w14:paraId="1FE7EA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是</w:t>
            </w:r>
          </w:p>
        </w:tc>
        <w:tc>
          <w:tcPr>
            <w:tcW w:w="311" w:type="pct"/>
            <w:noWrap w:val="0"/>
            <w:vAlign w:val="center"/>
          </w:tcPr>
          <w:p w14:paraId="27DE93F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13.05 </w:t>
            </w:r>
          </w:p>
        </w:tc>
        <w:tc>
          <w:tcPr>
            <w:tcW w:w="271" w:type="pct"/>
            <w:noWrap w:val="0"/>
            <w:vAlign w:val="center"/>
          </w:tcPr>
          <w:p w14:paraId="1D01E4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0.261 </w:t>
            </w:r>
          </w:p>
        </w:tc>
        <w:tc>
          <w:tcPr>
            <w:tcW w:w="230" w:type="pct"/>
            <w:noWrap w:val="0"/>
            <w:vAlign w:val="center"/>
          </w:tcPr>
          <w:p w14:paraId="6889379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0.626 </w:t>
            </w:r>
          </w:p>
        </w:tc>
        <w:tc>
          <w:tcPr>
            <w:tcW w:w="215" w:type="pct"/>
            <w:vMerge w:val="continue"/>
            <w:noWrap w:val="0"/>
            <w:vAlign w:val="center"/>
          </w:tcPr>
          <w:p w14:paraId="07A2E0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207" w:type="pct"/>
            <w:noWrap w:val="0"/>
            <w:vAlign w:val="center"/>
          </w:tcPr>
          <w:p w14:paraId="0C2866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100</w:t>
            </w:r>
          </w:p>
        </w:tc>
        <w:tc>
          <w:tcPr>
            <w:tcW w:w="188" w:type="pct"/>
            <w:noWrap w:val="0"/>
            <w:vAlign w:val="center"/>
          </w:tcPr>
          <w:p w14:paraId="5DC865B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55685E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18D7E7F6">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7E1394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436" w:type="pct"/>
            <w:vMerge w:val="continue"/>
            <w:noWrap w:val="0"/>
            <w:vAlign w:val="center"/>
          </w:tcPr>
          <w:p w14:paraId="72A01A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433A47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47CB6AE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臭气浓度</w:t>
            </w:r>
          </w:p>
        </w:tc>
        <w:tc>
          <w:tcPr>
            <w:tcW w:w="861" w:type="pct"/>
            <w:gridSpan w:val="3"/>
            <w:noWrap w:val="0"/>
            <w:vAlign w:val="center"/>
          </w:tcPr>
          <w:p w14:paraId="06B232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少量</w:t>
            </w:r>
          </w:p>
        </w:tc>
        <w:tc>
          <w:tcPr>
            <w:tcW w:w="253" w:type="pct"/>
            <w:vMerge w:val="continue"/>
            <w:noWrap w:val="0"/>
            <w:vAlign w:val="center"/>
          </w:tcPr>
          <w:p w14:paraId="7626B72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71E29AD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40DA9F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90</w:t>
            </w:r>
          </w:p>
        </w:tc>
        <w:tc>
          <w:tcPr>
            <w:tcW w:w="212" w:type="pct"/>
            <w:noWrap w:val="0"/>
            <w:vAlign w:val="center"/>
          </w:tcPr>
          <w:p w14:paraId="643BD57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51</w:t>
            </w:r>
          </w:p>
        </w:tc>
        <w:tc>
          <w:tcPr>
            <w:tcW w:w="280" w:type="pct"/>
            <w:noWrap w:val="0"/>
            <w:vAlign w:val="center"/>
          </w:tcPr>
          <w:p w14:paraId="4B0ABC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是</w:t>
            </w:r>
          </w:p>
        </w:tc>
        <w:tc>
          <w:tcPr>
            <w:tcW w:w="813" w:type="pct"/>
            <w:gridSpan w:val="3"/>
            <w:noWrap w:val="0"/>
            <w:vAlign w:val="center"/>
          </w:tcPr>
          <w:p w14:paraId="206934E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＜15000（无量纲）</w:t>
            </w:r>
          </w:p>
        </w:tc>
        <w:tc>
          <w:tcPr>
            <w:tcW w:w="215" w:type="pct"/>
            <w:vMerge w:val="continue"/>
            <w:noWrap w:val="0"/>
            <w:vAlign w:val="center"/>
          </w:tcPr>
          <w:p w14:paraId="7FCAA6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207" w:type="pct"/>
            <w:noWrap w:val="0"/>
            <w:vAlign w:val="center"/>
          </w:tcPr>
          <w:p w14:paraId="19F481A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88" w:type="pct"/>
            <w:noWrap w:val="0"/>
            <w:vAlign w:val="center"/>
          </w:tcPr>
          <w:p w14:paraId="57AE19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15000（无量纲）</w:t>
            </w:r>
          </w:p>
        </w:tc>
        <w:tc>
          <w:tcPr>
            <w:tcW w:w="150" w:type="pct"/>
            <w:noWrap w:val="0"/>
            <w:vAlign w:val="center"/>
          </w:tcPr>
          <w:p w14:paraId="2FAB92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6418EEF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restart"/>
            <w:noWrap w:val="0"/>
            <w:vAlign w:val="center"/>
          </w:tcPr>
          <w:p w14:paraId="57EFA0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无组织</w:t>
            </w:r>
          </w:p>
        </w:tc>
        <w:tc>
          <w:tcPr>
            <w:tcW w:w="436" w:type="pct"/>
            <w:noWrap w:val="0"/>
            <w:vAlign w:val="center"/>
          </w:tcPr>
          <w:p w14:paraId="219F78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石膏投料粉尘</w:t>
            </w:r>
          </w:p>
        </w:tc>
        <w:tc>
          <w:tcPr>
            <w:tcW w:w="253" w:type="pct"/>
            <w:vMerge w:val="restart"/>
            <w:noWrap w:val="0"/>
            <w:vAlign w:val="center"/>
          </w:tcPr>
          <w:p w14:paraId="6822DC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358" w:type="pct"/>
            <w:noWrap w:val="0"/>
            <w:vAlign w:val="center"/>
          </w:tcPr>
          <w:p w14:paraId="0E8297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t>颗粒物</w:t>
            </w:r>
          </w:p>
        </w:tc>
        <w:tc>
          <w:tcPr>
            <w:tcW w:w="309" w:type="pct"/>
            <w:noWrap w:val="0"/>
            <w:vAlign w:val="center"/>
          </w:tcPr>
          <w:p w14:paraId="3A70B60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7DF2CFE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0.002 </w:t>
            </w:r>
          </w:p>
        </w:tc>
        <w:tc>
          <w:tcPr>
            <w:tcW w:w="265" w:type="pct"/>
            <w:noWrap w:val="0"/>
            <w:vAlign w:val="center"/>
          </w:tcPr>
          <w:p w14:paraId="5A2B79C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1.77E-04</w:t>
            </w:r>
          </w:p>
        </w:tc>
        <w:tc>
          <w:tcPr>
            <w:tcW w:w="253" w:type="pct"/>
            <w:vMerge w:val="restart"/>
            <w:noWrap w:val="0"/>
            <w:vAlign w:val="center"/>
          </w:tcPr>
          <w:p w14:paraId="4106DFF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无组织</w:t>
            </w:r>
          </w:p>
        </w:tc>
        <w:tc>
          <w:tcPr>
            <w:tcW w:w="392" w:type="pct"/>
            <w:noWrap w:val="0"/>
            <w:vAlign w:val="center"/>
          </w:tcPr>
          <w:p w14:paraId="6A2B39F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自然沉降</w:t>
            </w:r>
          </w:p>
        </w:tc>
        <w:tc>
          <w:tcPr>
            <w:tcW w:w="212" w:type="pct"/>
            <w:noWrap w:val="0"/>
            <w:vAlign w:val="center"/>
          </w:tcPr>
          <w:p w14:paraId="7D197D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4494707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2946904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311" w:type="pct"/>
            <w:noWrap w:val="0"/>
            <w:vAlign w:val="center"/>
          </w:tcPr>
          <w:p w14:paraId="636441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460ECFA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7.08E-04</w:t>
            </w:r>
          </w:p>
        </w:tc>
        <w:tc>
          <w:tcPr>
            <w:tcW w:w="230" w:type="pct"/>
            <w:noWrap w:val="0"/>
            <w:vAlign w:val="center"/>
          </w:tcPr>
          <w:p w14:paraId="147569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7.08E-05</w:t>
            </w:r>
          </w:p>
        </w:tc>
        <w:tc>
          <w:tcPr>
            <w:tcW w:w="215" w:type="pct"/>
            <w:noWrap w:val="0"/>
            <w:vAlign w:val="center"/>
          </w:tcPr>
          <w:p w14:paraId="62B6CB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5DF6D71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w:t>
            </w:r>
          </w:p>
        </w:tc>
        <w:tc>
          <w:tcPr>
            <w:tcW w:w="188" w:type="pct"/>
            <w:noWrap w:val="0"/>
            <w:vAlign w:val="center"/>
          </w:tcPr>
          <w:p w14:paraId="12EC12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179534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100</w:t>
            </w:r>
          </w:p>
        </w:tc>
      </w:tr>
      <w:tr w14:paraId="69207D3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65F6E8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436" w:type="pct"/>
            <w:noWrap w:val="0"/>
            <w:vAlign w:val="center"/>
          </w:tcPr>
          <w:p w14:paraId="1ABA24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石粉投料粉尘</w:t>
            </w:r>
          </w:p>
        </w:tc>
        <w:tc>
          <w:tcPr>
            <w:tcW w:w="253" w:type="pct"/>
            <w:vMerge w:val="continue"/>
            <w:noWrap w:val="0"/>
            <w:vAlign w:val="center"/>
          </w:tcPr>
          <w:p w14:paraId="6EBBD4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1A9D05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bidi="ar-SA"/>
                <w14:textFill>
                  <w14:solidFill>
                    <w14:schemeClr w14:val="tx1"/>
                  </w14:solidFill>
                </w14:textFill>
              </w:rPr>
              <w:t>颗粒物</w:t>
            </w:r>
          </w:p>
        </w:tc>
        <w:tc>
          <w:tcPr>
            <w:tcW w:w="309" w:type="pct"/>
            <w:noWrap w:val="0"/>
            <w:vAlign w:val="center"/>
          </w:tcPr>
          <w:p w14:paraId="21177EB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0D6664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0.017 </w:t>
            </w:r>
          </w:p>
        </w:tc>
        <w:tc>
          <w:tcPr>
            <w:tcW w:w="265" w:type="pct"/>
            <w:noWrap w:val="0"/>
            <w:vAlign w:val="center"/>
          </w:tcPr>
          <w:p w14:paraId="3E4298B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0.005</w:t>
            </w:r>
          </w:p>
        </w:tc>
        <w:tc>
          <w:tcPr>
            <w:tcW w:w="253" w:type="pct"/>
            <w:vMerge w:val="continue"/>
            <w:noWrap w:val="0"/>
            <w:vAlign w:val="center"/>
          </w:tcPr>
          <w:p w14:paraId="641DFB8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noWrap w:val="0"/>
            <w:vAlign w:val="center"/>
          </w:tcPr>
          <w:p w14:paraId="201F68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自然沉降</w:t>
            </w:r>
          </w:p>
        </w:tc>
        <w:tc>
          <w:tcPr>
            <w:tcW w:w="212" w:type="pct"/>
            <w:noWrap w:val="0"/>
            <w:vAlign w:val="center"/>
          </w:tcPr>
          <w:p w14:paraId="2DD99E5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7BFCE48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0664C4E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311" w:type="pct"/>
            <w:noWrap w:val="0"/>
            <w:vAlign w:val="center"/>
          </w:tcPr>
          <w:p w14:paraId="0CA05F5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71BBDE1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0.007 </w:t>
            </w:r>
          </w:p>
        </w:tc>
        <w:tc>
          <w:tcPr>
            <w:tcW w:w="230" w:type="pct"/>
            <w:noWrap w:val="0"/>
            <w:vAlign w:val="center"/>
          </w:tcPr>
          <w:p w14:paraId="601D139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0.002</w:t>
            </w:r>
          </w:p>
        </w:tc>
        <w:tc>
          <w:tcPr>
            <w:tcW w:w="215" w:type="pct"/>
            <w:noWrap w:val="0"/>
            <w:vAlign w:val="center"/>
          </w:tcPr>
          <w:p w14:paraId="146C64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52066F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w:t>
            </w:r>
          </w:p>
        </w:tc>
        <w:tc>
          <w:tcPr>
            <w:tcW w:w="188" w:type="pct"/>
            <w:noWrap w:val="0"/>
            <w:vAlign w:val="center"/>
          </w:tcPr>
          <w:p w14:paraId="620E9FE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041422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300</w:t>
            </w:r>
          </w:p>
        </w:tc>
      </w:tr>
      <w:tr w14:paraId="13D71EE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420F96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restart"/>
            <w:noWrap w:val="0"/>
            <w:vAlign w:val="center"/>
          </w:tcPr>
          <w:p w14:paraId="4B62C5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未被收集的</w:t>
            </w:r>
            <w:r>
              <w:rPr>
                <w:rFonts w:hint="default" w:ascii="Times New Roman" w:hAnsi="Times New Roman" w:cs="Times New Roman"/>
                <w:bCs/>
                <w:color w:val="000000" w:themeColor="text1"/>
                <w:sz w:val="18"/>
                <w:szCs w:val="18"/>
                <w:lang w:val="en-US" w:eastAsia="zh-CN"/>
                <w14:textFill>
                  <w14:solidFill>
                    <w14:schemeClr w14:val="tx1"/>
                  </w14:solidFill>
                </w14:textFill>
              </w:rPr>
              <w:t>搅浆废气、注浆、成型废气及打磨</w:t>
            </w:r>
            <w:r>
              <w:rPr>
                <w:rFonts w:hint="eastAsia" w:cs="Times New Roman"/>
                <w:bCs/>
                <w:color w:val="000000" w:themeColor="text1"/>
                <w:sz w:val="18"/>
                <w:szCs w:val="18"/>
                <w:lang w:val="en-US" w:eastAsia="zh-CN"/>
                <w14:textFill>
                  <w14:solidFill>
                    <w14:schemeClr w14:val="tx1"/>
                  </w14:solidFill>
                </w14:textFill>
              </w:rPr>
              <w:t>粉尘</w:t>
            </w:r>
          </w:p>
        </w:tc>
        <w:tc>
          <w:tcPr>
            <w:tcW w:w="253" w:type="pct"/>
            <w:vMerge w:val="restart"/>
            <w:noWrap w:val="0"/>
            <w:vAlign w:val="center"/>
          </w:tcPr>
          <w:p w14:paraId="43D735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358" w:type="pct"/>
            <w:noWrap w:val="0"/>
            <w:vAlign w:val="center"/>
          </w:tcPr>
          <w:p w14:paraId="38AD09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颗粒物</w:t>
            </w:r>
          </w:p>
        </w:tc>
        <w:tc>
          <w:tcPr>
            <w:tcW w:w="309" w:type="pct"/>
            <w:noWrap w:val="0"/>
            <w:vAlign w:val="center"/>
          </w:tcPr>
          <w:p w14:paraId="1D44D6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1F8551A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 xml:space="preserve">0.065 </w:t>
            </w:r>
          </w:p>
        </w:tc>
        <w:tc>
          <w:tcPr>
            <w:tcW w:w="265" w:type="pct"/>
            <w:noWrap w:val="0"/>
            <w:vAlign w:val="center"/>
          </w:tcPr>
          <w:p w14:paraId="6BADF5F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0.039</w:t>
            </w:r>
          </w:p>
        </w:tc>
        <w:tc>
          <w:tcPr>
            <w:tcW w:w="253" w:type="pct"/>
            <w:vMerge w:val="continue"/>
            <w:noWrap w:val="0"/>
            <w:vAlign w:val="center"/>
          </w:tcPr>
          <w:p w14:paraId="4701F24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392" w:type="pct"/>
            <w:vMerge w:val="restart"/>
            <w:noWrap w:val="0"/>
            <w:vAlign w:val="center"/>
          </w:tcPr>
          <w:p w14:paraId="6264CB0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加强车间通风</w:t>
            </w:r>
          </w:p>
        </w:tc>
        <w:tc>
          <w:tcPr>
            <w:tcW w:w="212" w:type="pct"/>
            <w:noWrap w:val="0"/>
            <w:vAlign w:val="center"/>
          </w:tcPr>
          <w:p w14:paraId="1CA0B00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12" w:type="pct"/>
            <w:noWrap w:val="0"/>
            <w:vAlign w:val="center"/>
          </w:tcPr>
          <w:p w14:paraId="580217A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80" w:type="pct"/>
            <w:noWrap w:val="0"/>
            <w:vAlign w:val="center"/>
          </w:tcPr>
          <w:p w14:paraId="36DDF81A">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311" w:type="pct"/>
            <w:noWrap w:val="0"/>
            <w:vAlign w:val="center"/>
          </w:tcPr>
          <w:p w14:paraId="6083B9D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71" w:type="pct"/>
            <w:noWrap w:val="0"/>
            <w:vAlign w:val="center"/>
          </w:tcPr>
          <w:p w14:paraId="6EFAA7D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 xml:space="preserve">0.065 </w:t>
            </w:r>
          </w:p>
        </w:tc>
        <w:tc>
          <w:tcPr>
            <w:tcW w:w="230" w:type="pct"/>
            <w:noWrap w:val="0"/>
            <w:vAlign w:val="center"/>
          </w:tcPr>
          <w:p w14:paraId="0B5977B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0.039</w:t>
            </w:r>
          </w:p>
        </w:tc>
        <w:tc>
          <w:tcPr>
            <w:tcW w:w="215" w:type="pct"/>
            <w:noWrap w:val="0"/>
            <w:vAlign w:val="center"/>
          </w:tcPr>
          <w:p w14:paraId="427E82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0925829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w:t>
            </w:r>
          </w:p>
        </w:tc>
        <w:tc>
          <w:tcPr>
            <w:tcW w:w="188" w:type="pct"/>
            <w:noWrap w:val="0"/>
            <w:vAlign w:val="center"/>
          </w:tcPr>
          <w:p w14:paraId="653C08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214F94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600</w:t>
            </w:r>
          </w:p>
        </w:tc>
      </w:tr>
      <w:tr w14:paraId="0428D46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33C919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185096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61075A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1676414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苯乙烯</w:t>
            </w:r>
          </w:p>
        </w:tc>
        <w:tc>
          <w:tcPr>
            <w:tcW w:w="309" w:type="pct"/>
            <w:noWrap w:val="0"/>
            <w:vAlign w:val="center"/>
          </w:tcPr>
          <w:p w14:paraId="7E13E6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1BD5D11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 xml:space="preserve">0.007 </w:t>
            </w:r>
          </w:p>
        </w:tc>
        <w:tc>
          <w:tcPr>
            <w:tcW w:w="265" w:type="pct"/>
            <w:noWrap w:val="0"/>
            <w:vAlign w:val="center"/>
          </w:tcPr>
          <w:p w14:paraId="67A1CE0D">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0.008</w:t>
            </w:r>
          </w:p>
        </w:tc>
        <w:tc>
          <w:tcPr>
            <w:tcW w:w="253" w:type="pct"/>
            <w:vMerge w:val="continue"/>
            <w:noWrap w:val="0"/>
            <w:vAlign w:val="center"/>
          </w:tcPr>
          <w:p w14:paraId="572D506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392" w:type="pct"/>
            <w:vMerge w:val="continue"/>
            <w:noWrap w:val="0"/>
            <w:vAlign w:val="center"/>
          </w:tcPr>
          <w:p w14:paraId="1D369FFE">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212" w:type="pct"/>
            <w:noWrap w:val="0"/>
            <w:vAlign w:val="center"/>
          </w:tcPr>
          <w:p w14:paraId="0CD4EE1D">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12" w:type="pct"/>
            <w:noWrap w:val="0"/>
            <w:vAlign w:val="center"/>
          </w:tcPr>
          <w:p w14:paraId="0D1A891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80" w:type="pct"/>
            <w:noWrap w:val="0"/>
            <w:vAlign w:val="center"/>
          </w:tcPr>
          <w:p w14:paraId="5447F1A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311" w:type="pct"/>
            <w:noWrap w:val="0"/>
            <w:vAlign w:val="center"/>
          </w:tcPr>
          <w:p w14:paraId="6822A73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71" w:type="pct"/>
            <w:noWrap w:val="0"/>
            <w:vAlign w:val="center"/>
          </w:tcPr>
          <w:p w14:paraId="428AD8E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 xml:space="preserve">0.007 </w:t>
            </w:r>
          </w:p>
        </w:tc>
        <w:tc>
          <w:tcPr>
            <w:tcW w:w="230" w:type="pct"/>
            <w:noWrap w:val="0"/>
            <w:vAlign w:val="center"/>
          </w:tcPr>
          <w:p w14:paraId="2C6C612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0.008</w:t>
            </w:r>
          </w:p>
        </w:tc>
        <w:tc>
          <w:tcPr>
            <w:tcW w:w="215" w:type="pct"/>
            <w:noWrap w:val="0"/>
            <w:vAlign w:val="center"/>
          </w:tcPr>
          <w:p w14:paraId="492EE4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34E1608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0.2</w:t>
            </w:r>
          </w:p>
        </w:tc>
        <w:tc>
          <w:tcPr>
            <w:tcW w:w="188" w:type="pct"/>
            <w:noWrap w:val="0"/>
            <w:vAlign w:val="center"/>
          </w:tcPr>
          <w:p w14:paraId="371BA6E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33345A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1200</w:t>
            </w:r>
          </w:p>
        </w:tc>
      </w:tr>
      <w:tr w14:paraId="35BAD459">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0CD22C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421355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51CDA1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2B63390E">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TVOC</w:t>
            </w:r>
          </w:p>
        </w:tc>
        <w:tc>
          <w:tcPr>
            <w:tcW w:w="309" w:type="pct"/>
            <w:noWrap w:val="0"/>
            <w:vAlign w:val="center"/>
          </w:tcPr>
          <w:p w14:paraId="5CFD2C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20511749">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 xml:space="preserve">0.095 </w:t>
            </w:r>
          </w:p>
        </w:tc>
        <w:tc>
          <w:tcPr>
            <w:tcW w:w="265" w:type="pct"/>
            <w:noWrap w:val="0"/>
            <w:vAlign w:val="center"/>
          </w:tcPr>
          <w:p w14:paraId="040D07C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0.114</w:t>
            </w:r>
          </w:p>
        </w:tc>
        <w:tc>
          <w:tcPr>
            <w:tcW w:w="253" w:type="pct"/>
            <w:vMerge w:val="continue"/>
            <w:noWrap w:val="0"/>
            <w:vAlign w:val="center"/>
          </w:tcPr>
          <w:p w14:paraId="319ACE0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392" w:type="pct"/>
            <w:vMerge w:val="continue"/>
            <w:noWrap w:val="0"/>
            <w:vAlign w:val="center"/>
          </w:tcPr>
          <w:p w14:paraId="54A1C96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p>
        </w:tc>
        <w:tc>
          <w:tcPr>
            <w:tcW w:w="212" w:type="pct"/>
            <w:noWrap w:val="0"/>
            <w:vAlign w:val="center"/>
          </w:tcPr>
          <w:p w14:paraId="5089C5F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12" w:type="pct"/>
            <w:noWrap w:val="0"/>
            <w:vAlign w:val="center"/>
          </w:tcPr>
          <w:p w14:paraId="2D2027F3">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80" w:type="pct"/>
            <w:noWrap w:val="0"/>
            <w:vAlign w:val="center"/>
          </w:tcPr>
          <w:p w14:paraId="7676057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311" w:type="pct"/>
            <w:noWrap w:val="0"/>
            <w:vAlign w:val="center"/>
          </w:tcPr>
          <w:p w14:paraId="797AF68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w:t>
            </w:r>
          </w:p>
        </w:tc>
        <w:tc>
          <w:tcPr>
            <w:tcW w:w="271" w:type="pct"/>
            <w:noWrap w:val="0"/>
            <w:vAlign w:val="center"/>
          </w:tcPr>
          <w:p w14:paraId="50566B70">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 xml:space="preserve">0.095 </w:t>
            </w:r>
          </w:p>
        </w:tc>
        <w:tc>
          <w:tcPr>
            <w:tcW w:w="230" w:type="pct"/>
            <w:noWrap w:val="0"/>
            <w:vAlign w:val="center"/>
          </w:tcPr>
          <w:p w14:paraId="59B1BBE8">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bCs/>
                <w:color w:val="000000" w:themeColor="text1"/>
                <w:sz w:val="18"/>
                <w:szCs w:val="18"/>
                <w:lang w:val="en-US" w:eastAsia="zh-CN"/>
                <w14:textFill>
                  <w14:solidFill>
                    <w14:schemeClr w14:val="tx1"/>
                  </w14:solidFill>
                </w14:textFill>
              </w:rPr>
            </w:pPr>
            <w:r>
              <w:rPr>
                <w:rFonts w:hint="default" w:ascii="Times New Roman" w:hAnsi="Times New Roman" w:eastAsia="宋体" w:cs="Times New Roman"/>
                <w:bCs/>
                <w:color w:val="000000" w:themeColor="text1"/>
                <w:sz w:val="18"/>
                <w:szCs w:val="18"/>
                <w:lang w:val="en-US" w:eastAsia="zh-CN"/>
                <w14:textFill>
                  <w14:solidFill>
                    <w14:schemeClr w14:val="tx1"/>
                  </w14:solidFill>
                </w14:textFill>
              </w:rPr>
              <w:t>0.114</w:t>
            </w:r>
          </w:p>
        </w:tc>
        <w:tc>
          <w:tcPr>
            <w:tcW w:w="215" w:type="pct"/>
            <w:noWrap w:val="0"/>
            <w:vAlign w:val="center"/>
          </w:tcPr>
          <w:p w14:paraId="520CE8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128189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w:t>
            </w:r>
          </w:p>
        </w:tc>
        <w:tc>
          <w:tcPr>
            <w:tcW w:w="188" w:type="pct"/>
            <w:noWrap w:val="0"/>
            <w:vAlign w:val="center"/>
          </w:tcPr>
          <w:p w14:paraId="04F3802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2A438A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1200</w:t>
            </w:r>
          </w:p>
        </w:tc>
      </w:tr>
      <w:tr w14:paraId="612DB0C0">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4140DC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4F1EE5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7AC135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39BC8CED">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臭气浓度</w:t>
            </w:r>
          </w:p>
        </w:tc>
        <w:tc>
          <w:tcPr>
            <w:tcW w:w="861" w:type="pct"/>
            <w:gridSpan w:val="3"/>
            <w:noWrap w:val="0"/>
            <w:vAlign w:val="center"/>
          </w:tcPr>
          <w:p w14:paraId="0E3372F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少量</w:t>
            </w:r>
          </w:p>
        </w:tc>
        <w:tc>
          <w:tcPr>
            <w:tcW w:w="253" w:type="pct"/>
            <w:vMerge w:val="continue"/>
            <w:noWrap w:val="0"/>
            <w:vAlign w:val="center"/>
          </w:tcPr>
          <w:p w14:paraId="3B8FEA8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7139D04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398474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1A763F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5F58989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813" w:type="pct"/>
            <w:gridSpan w:val="3"/>
            <w:noWrap w:val="0"/>
            <w:vAlign w:val="center"/>
          </w:tcPr>
          <w:p w14:paraId="614A59D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＜20（无量纲）</w:t>
            </w:r>
          </w:p>
        </w:tc>
        <w:tc>
          <w:tcPr>
            <w:tcW w:w="215" w:type="pct"/>
            <w:noWrap w:val="0"/>
            <w:vAlign w:val="center"/>
          </w:tcPr>
          <w:p w14:paraId="0EB742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18A8FBE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20（无量纲）</w:t>
            </w:r>
          </w:p>
        </w:tc>
        <w:tc>
          <w:tcPr>
            <w:tcW w:w="188" w:type="pct"/>
            <w:noWrap w:val="0"/>
            <w:vAlign w:val="center"/>
          </w:tcPr>
          <w:p w14:paraId="0ECA57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17266C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1200</w:t>
            </w:r>
          </w:p>
        </w:tc>
      </w:tr>
      <w:tr w14:paraId="4E7791B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78CDBD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restart"/>
            <w:noWrap w:val="0"/>
            <w:vAlign w:val="center"/>
          </w:tcPr>
          <w:p w14:paraId="24EBFE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未被收集的</w:t>
            </w:r>
            <w:r>
              <w:rPr>
                <w:rFonts w:hint="eastAsia" w:ascii="Times New Roman" w:hAnsi="Times New Roman" w:cs="Times New Roman"/>
                <w:bCs/>
                <w:color w:val="000000" w:themeColor="text1"/>
                <w:sz w:val="18"/>
                <w:szCs w:val="18"/>
                <w:lang w:val="en-US" w:eastAsia="zh-CN"/>
                <w14:textFill>
                  <w14:solidFill>
                    <w14:schemeClr w14:val="tx1"/>
                  </w14:solidFill>
                </w14:textFill>
              </w:rPr>
              <w:t>调漆废气、喷漆、流平、晾干废气、彩绘、晾干废气及喷枪清洗废气</w:t>
            </w:r>
          </w:p>
        </w:tc>
        <w:tc>
          <w:tcPr>
            <w:tcW w:w="253" w:type="pct"/>
            <w:vMerge w:val="restart"/>
            <w:noWrap w:val="0"/>
            <w:vAlign w:val="center"/>
          </w:tcPr>
          <w:p w14:paraId="194AB5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358" w:type="pct"/>
            <w:noWrap w:val="0"/>
            <w:vAlign w:val="center"/>
          </w:tcPr>
          <w:p w14:paraId="396220A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颗粒物</w:t>
            </w:r>
          </w:p>
        </w:tc>
        <w:tc>
          <w:tcPr>
            <w:tcW w:w="309" w:type="pct"/>
            <w:shd w:val="clear" w:color="auto" w:fill="auto"/>
            <w:noWrap w:val="0"/>
            <w:vAlign w:val="center"/>
          </w:tcPr>
          <w:p w14:paraId="54D19F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133385C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0.022 </w:t>
            </w:r>
          </w:p>
        </w:tc>
        <w:tc>
          <w:tcPr>
            <w:tcW w:w="265" w:type="pct"/>
            <w:noWrap w:val="0"/>
            <w:vAlign w:val="center"/>
          </w:tcPr>
          <w:p w14:paraId="0D2C3B9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0.020</w:t>
            </w:r>
          </w:p>
        </w:tc>
        <w:tc>
          <w:tcPr>
            <w:tcW w:w="253" w:type="pct"/>
            <w:vMerge w:val="continue"/>
            <w:noWrap w:val="0"/>
            <w:vAlign w:val="center"/>
          </w:tcPr>
          <w:p w14:paraId="09E5B3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restart"/>
            <w:noWrap w:val="0"/>
            <w:vAlign w:val="center"/>
          </w:tcPr>
          <w:p w14:paraId="44F6E8A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加强车间通风</w:t>
            </w:r>
          </w:p>
        </w:tc>
        <w:tc>
          <w:tcPr>
            <w:tcW w:w="212" w:type="pct"/>
            <w:shd w:val="clear" w:color="auto" w:fill="auto"/>
            <w:noWrap w:val="0"/>
            <w:vAlign w:val="center"/>
          </w:tcPr>
          <w:p w14:paraId="147C249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shd w:val="clear" w:color="auto" w:fill="auto"/>
            <w:noWrap w:val="0"/>
            <w:vAlign w:val="center"/>
          </w:tcPr>
          <w:p w14:paraId="77DA418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shd w:val="clear" w:color="auto" w:fill="auto"/>
            <w:noWrap w:val="0"/>
            <w:vAlign w:val="center"/>
          </w:tcPr>
          <w:p w14:paraId="77C7C0E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311" w:type="pct"/>
            <w:shd w:val="clear" w:color="auto" w:fill="auto"/>
            <w:noWrap w:val="0"/>
            <w:vAlign w:val="center"/>
          </w:tcPr>
          <w:p w14:paraId="111135C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1AFF28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0.022 </w:t>
            </w:r>
          </w:p>
        </w:tc>
        <w:tc>
          <w:tcPr>
            <w:tcW w:w="230" w:type="pct"/>
            <w:noWrap w:val="0"/>
            <w:vAlign w:val="center"/>
          </w:tcPr>
          <w:p w14:paraId="09F203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0.020 </w:t>
            </w:r>
          </w:p>
        </w:tc>
        <w:tc>
          <w:tcPr>
            <w:tcW w:w="215" w:type="pct"/>
            <w:noWrap w:val="0"/>
            <w:vAlign w:val="center"/>
          </w:tcPr>
          <w:p w14:paraId="436C95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16BF3ED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w:t>
            </w:r>
          </w:p>
        </w:tc>
        <w:tc>
          <w:tcPr>
            <w:tcW w:w="188" w:type="pct"/>
            <w:noWrap w:val="0"/>
            <w:vAlign w:val="center"/>
          </w:tcPr>
          <w:p w14:paraId="3BF400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3F93CF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900</w:t>
            </w:r>
          </w:p>
        </w:tc>
      </w:tr>
      <w:tr w14:paraId="7F8D0E53">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65F96C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2760BB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524A31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47B709BE">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二甲苯</w:t>
            </w:r>
          </w:p>
        </w:tc>
        <w:tc>
          <w:tcPr>
            <w:tcW w:w="309" w:type="pct"/>
            <w:shd w:val="clear" w:color="auto" w:fill="auto"/>
            <w:noWrap w:val="0"/>
            <w:vAlign w:val="center"/>
          </w:tcPr>
          <w:p w14:paraId="38C30A1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62FB76F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0.020 </w:t>
            </w:r>
          </w:p>
        </w:tc>
        <w:tc>
          <w:tcPr>
            <w:tcW w:w="265" w:type="pct"/>
            <w:noWrap w:val="0"/>
            <w:vAlign w:val="center"/>
          </w:tcPr>
          <w:p w14:paraId="5F7D4AD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0.047</w:t>
            </w:r>
          </w:p>
        </w:tc>
        <w:tc>
          <w:tcPr>
            <w:tcW w:w="253" w:type="pct"/>
            <w:vMerge w:val="continue"/>
            <w:noWrap w:val="0"/>
            <w:vAlign w:val="center"/>
          </w:tcPr>
          <w:p w14:paraId="33E8F11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005ADE4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shd w:val="clear" w:color="auto" w:fill="auto"/>
            <w:noWrap w:val="0"/>
            <w:vAlign w:val="center"/>
          </w:tcPr>
          <w:p w14:paraId="3AA510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shd w:val="clear" w:color="auto" w:fill="auto"/>
            <w:noWrap w:val="0"/>
            <w:vAlign w:val="center"/>
          </w:tcPr>
          <w:p w14:paraId="399846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80" w:type="pct"/>
            <w:shd w:val="clear" w:color="auto" w:fill="auto"/>
            <w:noWrap w:val="0"/>
            <w:vAlign w:val="center"/>
          </w:tcPr>
          <w:p w14:paraId="15FA3F0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311" w:type="pct"/>
            <w:shd w:val="clear" w:color="auto" w:fill="auto"/>
            <w:noWrap w:val="0"/>
            <w:vAlign w:val="center"/>
          </w:tcPr>
          <w:p w14:paraId="3319242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34075B8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0.020 </w:t>
            </w:r>
          </w:p>
        </w:tc>
        <w:tc>
          <w:tcPr>
            <w:tcW w:w="230" w:type="pct"/>
            <w:noWrap w:val="0"/>
            <w:vAlign w:val="center"/>
          </w:tcPr>
          <w:p w14:paraId="135B8E3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0.047 </w:t>
            </w:r>
          </w:p>
        </w:tc>
        <w:tc>
          <w:tcPr>
            <w:tcW w:w="215" w:type="pct"/>
            <w:noWrap w:val="0"/>
            <w:vAlign w:val="center"/>
          </w:tcPr>
          <w:p w14:paraId="452FBA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2D41B44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w:t>
            </w:r>
          </w:p>
        </w:tc>
        <w:tc>
          <w:tcPr>
            <w:tcW w:w="188" w:type="pct"/>
            <w:noWrap w:val="0"/>
            <w:vAlign w:val="center"/>
          </w:tcPr>
          <w:p w14:paraId="7039CD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066D2E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2674E77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6418F8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4792F6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217032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70195D5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ascii="Times New Roman" w:hAnsi="Times New Roman" w:cs="Times New Roman"/>
                <w:bCs/>
                <w:color w:val="000000" w:themeColor="text1"/>
                <w:sz w:val="18"/>
                <w:szCs w:val="18"/>
                <w:lang w:val="en-US" w:eastAsia="zh-CN"/>
                <w14:textFill>
                  <w14:solidFill>
                    <w14:schemeClr w14:val="tx1"/>
                  </w14:solidFill>
                </w14:textFill>
              </w:rPr>
              <w:t>TVOC</w:t>
            </w:r>
          </w:p>
        </w:tc>
        <w:tc>
          <w:tcPr>
            <w:tcW w:w="309" w:type="pct"/>
            <w:shd w:val="clear" w:color="auto" w:fill="auto"/>
            <w:noWrap w:val="0"/>
            <w:vAlign w:val="center"/>
          </w:tcPr>
          <w:p w14:paraId="5E18737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67D333C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0.059 </w:t>
            </w:r>
          </w:p>
        </w:tc>
        <w:tc>
          <w:tcPr>
            <w:tcW w:w="265" w:type="pct"/>
            <w:noWrap w:val="0"/>
            <w:vAlign w:val="center"/>
          </w:tcPr>
          <w:p w14:paraId="3765B5A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0.142</w:t>
            </w:r>
          </w:p>
        </w:tc>
        <w:tc>
          <w:tcPr>
            <w:tcW w:w="253" w:type="pct"/>
            <w:vMerge w:val="continue"/>
            <w:noWrap w:val="0"/>
            <w:vAlign w:val="center"/>
          </w:tcPr>
          <w:p w14:paraId="2C2A04F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48DCA04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shd w:val="clear" w:color="auto" w:fill="auto"/>
            <w:noWrap w:val="0"/>
            <w:vAlign w:val="center"/>
          </w:tcPr>
          <w:p w14:paraId="6EF800D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shd w:val="clear" w:color="auto" w:fill="auto"/>
            <w:noWrap w:val="0"/>
            <w:vAlign w:val="center"/>
          </w:tcPr>
          <w:p w14:paraId="7734E89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shd w:val="clear" w:color="auto" w:fill="auto"/>
            <w:noWrap w:val="0"/>
            <w:vAlign w:val="center"/>
          </w:tcPr>
          <w:p w14:paraId="5D56479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311" w:type="pct"/>
            <w:shd w:val="clear" w:color="auto" w:fill="auto"/>
            <w:noWrap w:val="0"/>
            <w:vAlign w:val="center"/>
          </w:tcPr>
          <w:p w14:paraId="02FB457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63C050B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0.059 </w:t>
            </w:r>
          </w:p>
        </w:tc>
        <w:tc>
          <w:tcPr>
            <w:tcW w:w="230" w:type="pct"/>
            <w:noWrap w:val="0"/>
            <w:vAlign w:val="center"/>
          </w:tcPr>
          <w:p w14:paraId="0209526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0.142 </w:t>
            </w:r>
          </w:p>
        </w:tc>
        <w:tc>
          <w:tcPr>
            <w:tcW w:w="215" w:type="pct"/>
            <w:noWrap w:val="0"/>
            <w:vAlign w:val="center"/>
          </w:tcPr>
          <w:p w14:paraId="2D7BD2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0134470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w:t>
            </w:r>
          </w:p>
        </w:tc>
        <w:tc>
          <w:tcPr>
            <w:tcW w:w="188" w:type="pct"/>
            <w:noWrap w:val="0"/>
            <w:vAlign w:val="center"/>
          </w:tcPr>
          <w:p w14:paraId="0210881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7FAB58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5B8EF8F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70DA88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37912C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0D44A8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35C24C3D">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臭气浓度</w:t>
            </w:r>
          </w:p>
        </w:tc>
        <w:tc>
          <w:tcPr>
            <w:tcW w:w="861" w:type="pct"/>
            <w:gridSpan w:val="3"/>
            <w:shd w:val="clear" w:color="auto" w:fill="auto"/>
            <w:noWrap w:val="0"/>
            <w:vAlign w:val="center"/>
          </w:tcPr>
          <w:p w14:paraId="00F896F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少量</w:t>
            </w:r>
          </w:p>
        </w:tc>
        <w:tc>
          <w:tcPr>
            <w:tcW w:w="253" w:type="pct"/>
            <w:vMerge w:val="continue"/>
            <w:noWrap w:val="0"/>
            <w:vAlign w:val="center"/>
          </w:tcPr>
          <w:p w14:paraId="1DC7CA0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5D66FC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shd w:val="clear" w:color="auto" w:fill="auto"/>
            <w:noWrap w:val="0"/>
            <w:vAlign w:val="center"/>
          </w:tcPr>
          <w:p w14:paraId="7D264F3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shd w:val="clear" w:color="auto" w:fill="auto"/>
            <w:noWrap w:val="0"/>
            <w:vAlign w:val="center"/>
          </w:tcPr>
          <w:p w14:paraId="764B8F6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shd w:val="clear" w:color="auto" w:fill="auto"/>
            <w:noWrap w:val="0"/>
            <w:vAlign w:val="center"/>
          </w:tcPr>
          <w:p w14:paraId="3610507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813" w:type="pct"/>
            <w:gridSpan w:val="3"/>
            <w:shd w:val="clear" w:color="auto" w:fill="auto"/>
            <w:noWrap w:val="0"/>
            <w:vAlign w:val="center"/>
          </w:tcPr>
          <w:p w14:paraId="48E41E4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＜20（无量纲）</w:t>
            </w:r>
          </w:p>
        </w:tc>
        <w:tc>
          <w:tcPr>
            <w:tcW w:w="215" w:type="pct"/>
            <w:noWrap w:val="0"/>
            <w:vAlign w:val="center"/>
          </w:tcPr>
          <w:p w14:paraId="44BC95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69E54C6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20（无量纲）</w:t>
            </w:r>
          </w:p>
        </w:tc>
        <w:tc>
          <w:tcPr>
            <w:tcW w:w="188" w:type="pct"/>
            <w:noWrap w:val="0"/>
            <w:vAlign w:val="center"/>
          </w:tcPr>
          <w:p w14:paraId="7B345FC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0859A3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0740A6C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1DD518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noWrap w:val="0"/>
            <w:vAlign w:val="center"/>
          </w:tcPr>
          <w:p w14:paraId="7C11C6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焊接烟尘</w:t>
            </w:r>
          </w:p>
        </w:tc>
        <w:tc>
          <w:tcPr>
            <w:tcW w:w="253" w:type="pct"/>
            <w:noWrap w:val="0"/>
            <w:vAlign w:val="center"/>
          </w:tcPr>
          <w:p w14:paraId="55557E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358" w:type="pct"/>
            <w:noWrap w:val="0"/>
            <w:vAlign w:val="center"/>
          </w:tcPr>
          <w:p w14:paraId="6748BC81">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cs="Times New Roman"/>
                <w:bCs/>
                <w:color w:val="000000" w:themeColor="text1"/>
                <w:sz w:val="18"/>
                <w:szCs w:val="18"/>
                <w:lang w:val="en-US" w:eastAsia="zh-CN"/>
                <w14:textFill>
                  <w14:solidFill>
                    <w14:schemeClr w14:val="tx1"/>
                  </w14:solidFill>
                </w14:textFill>
              </w:rPr>
              <w:t>颗粒物</w:t>
            </w:r>
          </w:p>
        </w:tc>
        <w:tc>
          <w:tcPr>
            <w:tcW w:w="309" w:type="pct"/>
            <w:shd w:val="clear" w:color="auto" w:fill="auto"/>
            <w:noWrap w:val="0"/>
            <w:vAlign w:val="center"/>
          </w:tcPr>
          <w:p w14:paraId="5C8F8FD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298B1E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0.007 </w:t>
            </w:r>
          </w:p>
        </w:tc>
        <w:tc>
          <w:tcPr>
            <w:tcW w:w="265" w:type="pct"/>
            <w:noWrap w:val="0"/>
            <w:vAlign w:val="center"/>
          </w:tcPr>
          <w:p w14:paraId="30C218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0.002</w:t>
            </w:r>
          </w:p>
        </w:tc>
        <w:tc>
          <w:tcPr>
            <w:tcW w:w="253" w:type="pct"/>
            <w:vMerge w:val="continue"/>
            <w:noWrap w:val="0"/>
            <w:vAlign w:val="center"/>
          </w:tcPr>
          <w:p w14:paraId="2373D30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noWrap w:val="0"/>
            <w:vAlign w:val="center"/>
          </w:tcPr>
          <w:p w14:paraId="393F601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加强车间通风</w:t>
            </w:r>
          </w:p>
        </w:tc>
        <w:tc>
          <w:tcPr>
            <w:tcW w:w="212" w:type="pct"/>
            <w:shd w:val="clear" w:color="auto" w:fill="auto"/>
            <w:noWrap w:val="0"/>
            <w:vAlign w:val="center"/>
          </w:tcPr>
          <w:p w14:paraId="344A019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shd w:val="clear" w:color="auto" w:fill="auto"/>
            <w:noWrap w:val="0"/>
            <w:vAlign w:val="center"/>
          </w:tcPr>
          <w:p w14:paraId="6333EBF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shd w:val="clear" w:color="auto" w:fill="auto"/>
            <w:noWrap w:val="0"/>
            <w:vAlign w:val="center"/>
          </w:tcPr>
          <w:p w14:paraId="2822C8D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311" w:type="pct"/>
            <w:shd w:val="clear" w:color="auto" w:fill="auto"/>
            <w:noWrap w:val="0"/>
            <w:vAlign w:val="center"/>
          </w:tcPr>
          <w:p w14:paraId="384C1C2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0EC2097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0.007 </w:t>
            </w:r>
          </w:p>
        </w:tc>
        <w:tc>
          <w:tcPr>
            <w:tcW w:w="230" w:type="pct"/>
            <w:noWrap w:val="0"/>
            <w:vAlign w:val="center"/>
          </w:tcPr>
          <w:p w14:paraId="0F53E6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0.002 </w:t>
            </w:r>
          </w:p>
        </w:tc>
        <w:tc>
          <w:tcPr>
            <w:tcW w:w="215" w:type="pct"/>
            <w:noWrap w:val="0"/>
            <w:vAlign w:val="center"/>
          </w:tcPr>
          <w:p w14:paraId="1A3765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311ACA8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w:t>
            </w:r>
          </w:p>
        </w:tc>
        <w:tc>
          <w:tcPr>
            <w:tcW w:w="188" w:type="pct"/>
            <w:noWrap w:val="0"/>
            <w:vAlign w:val="center"/>
          </w:tcPr>
          <w:p w14:paraId="2DD343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0CE35E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300</w:t>
            </w:r>
          </w:p>
        </w:tc>
      </w:tr>
      <w:tr w14:paraId="142D6D6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4660C7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restart"/>
            <w:noWrap w:val="0"/>
            <w:vAlign w:val="center"/>
          </w:tcPr>
          <w:p w14:paraId="5D9836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粘胶废气</w:t>
            </w:r>
          </w:p>
        </w:tc>
        <w:tc>
          <w:tcPr>
            <w:tcW w:w="253" w:type="pct"/>
            <w:vMerge w:val="restart"/>
            <w:noWrap w:val="0"/>
            <w:vAlign w:val="center"/>
          </w:tcPr>
          <w:p w14:paraId="2A68FD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358" w:type="pct"/>
            <w:noWrap w:val="0"/>
            <w:vAlign w:val="center"/>
          </w:tcPr>
          <w:p w14:paraId="04D1BC07">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cs="Times New Roman"/>
                <w:bCs/>
                <w:color w:val="000000" w:themeColor="text1"/>
                <w:sz w:val="18"/>
                <w:szCs w:val="18"/>
                <w:lang w:val="en-US" w:eastAsia="zh-CN"/>
                <w14:textFill>
                  <w14:solidFill>
                    <w14:schemeClr w14:val="tx1"/>
                  </w14:solidFill>
                </w14:textFill>
              </w:rPr>
              <w:t>TVOC</w:t>
            </w:r>
          </w:p>
        </w:tc>
        <w:tc>
          <w:tcPr>
            <w:tcW w:w="309" w:type="pct"/>
            <w:shd w:val="clear" w:color="auto" w:fill="auto"/>
            <w:noWrap w:val="0"/>
            <w:vAlign w:val="center"/>
          </w:tcPr>
          <w:p w14:paraId="50DAEC2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5393E35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0.017 </w:t>
            </w:r>
          </w:p>
        </w:tc>
        <w:tc>
          <w:tcPr>
            <w:tcW w:w="265" w:type="pct"/>
            <w:noWrap w:val="0"/>
            <w:vAlign w:val="center"/>
          </w:tcPr>
          <w:p w14:paraId="2FE9015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0.010</w:t>
            </w:r>
          </w:p>
        </w:tc>
        <w:tc>
          <w:tcPr>
            <w:tcW w:w="253" w:type="pct"/>
            <w:vMerge w:val="continue"/>
            <w:noWrap w:val="0"/>
            <w:vAlign w:val="center"/>
          </w:tcPr>
          <w:p w14:paraId="62A4FFD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restart"/>
            <w:noWrap w:val="0"/>
            <w:vAlign w:val="center"/>
          </w:tcPr>
          <w:p w14:paraId="64098F1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ascii="Times New Roman" w:hAnsi="Times New Roman" w:eastAsia="宋体" w:cs="Times New Roman"/>
                <w:bCs/>
                <w:color w:val="000000" w:themeColor="text1"/>
                <w:sz w:val="18"/>
                <w:szCs w:val="18"/>
                <w:lang w:val="en-US" w:eastAsia="zh-CN"/>
                <w14:textFill>
                  <w14:solidFill>
                    <w14:schemeClr w14:val="tx1"/>
                  </w14:solidFill>
                </w14:textFill>
              </w:rPr>
              <w:t>加强车间通风</w:t>
            </w:r>
          </w:p>
        </w:tc>
        <w:tc>
          <w:tcPr>
            <w:tcW w:w="212" w:type="pct"/>
            <w:shd w:val="clear" w:color="auto" w:fill="auto"/>
            <w:noWrap w:val="0"/>
            <w:vAlign w:val="center"/>
          </w:tcPr>
          <w:p w14:paraId="41307C7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shd w:val="clear" w:color="auto" w:fill="auto"/>
            <w:noWrap w:val="0"/>
            <w:vAlign w:val="center"/>
          </w:tcPr>
          <w:p w14:paraId="0F7DBBF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80" w:type="pct"/>
            <w:shd w:val="clear" w:color="auto" w:fill="auto"/>
            <w:noWrap w:val="0"/>
            <w:vAlign w:val="center"/>
          </w:tcPr>
          <w:p w14:paraId="5765E8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311" w:type="pct"/>
            <w:shd w:val="clear" w:color="auto" w:fill="auto"/>
            <w:noWrap w:val="0"/>
            <w:vAlign w:val="center"/>
          </w:tcPr>
          <w:p w14:paraId="6019831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508149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0.017 </w:t>
            </w:r>
          </w:p>
        </w:tc>
        <w:tc>
          <w:tcPr>
            <w:tcW w:w="230" w:type="pct"/>
            <w:noWrap w:val="0"/>
            <w:vAlign w:val="center"/>
          </w:tcPr>
          <w:p w14:paraId="68DF2C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 xml:space="preserve">0.010 </w:t>
            </w:r>
          </w:p>
        </w:tc>
        <w:tc>
          <w:tcPr>
            <w:tcW w:w="215" w:type="pct"/>
            <w:noWrap w:val="0"/>
            <w:vAlign w:val="center"/>
          </w:tcPr>
          <w:p w14:paraId="5B75C4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7A40EA4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w:t>
            </w:r>
          </w:p>
        </w:tc>
        <w:tc>
          <w:tcPr>
            <w:tcW w:w="188" w:type="pct"/>
            <w:noWrap w:val="0"/>
            <w:vAlign w:val="center"/>
          </w:tcPr>
          <w:p w14:paraId="2C173B6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7B7D12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600</w:t>
            </w:r>
          </w:p>
        </w:tc>
      </w:tr>
      <w:tr w14:paraId="78C7B5B0">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6418E6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00729B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07A95F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49EB3EF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ascii="Times New Roman" w:hAnsi="Times New Roman" w:cs="Times New Roman"/>
                <w:bCs/>
                <w:color w:val="000000" w:themeColor="text1"/>
                <w:sz w:val="18"/>
                <w:szCs w:val="18"/>
                <w:lang w:val="en-US" w:eastAsia="zh-CN"/>
                <w14:textFill>
                  <w14:solidFill>
                    <w14:schemeClr w14:val="tx1"/>
                  </w14:solidFill>
                </w14:textFill>
              </w:rPr>
            </w:pPr>
            <w:r>
              <w:rPr>
                <w:rFonts w:hint="eastAsia" w:cs="Times New Roman"/>
                <w:bCs/>
                <w:color w:val="000000" w:themeColor="text1"/>
                <w:sz w:val="18"/>
                <w:szCs w:val="18"/>
                <w:lang w:val="en-US" w:eastAsia="zh-CN"/>
                <w14:textFill>
                  <w14:solidFill>
                    <w14:schemeClr w14:val="tx1"/>
                  </w14:solidFill>
                </w14:textFill>
              </w:rPr>
              <w:t>臭气浓度</w:t>
            </w:r>
          </w:p>
        </w:tc>
        <w:tc>
          <w:tcPr>
            <w:tcW w:w="861" w:type="pct"/>
            <w:gridSpan w:val="3"/>
            <w:noWrap w:val="0"/>
            <w:vAlign w:val="center"/>
          </w:tcPr>
          <w:p w14:paraId="5CED760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少量</w:t>
            </w:r>
          </w:p>
        </w:tc>
        <w:tc>
          <w:tcPr>
            <w:tcW w:w="253" w:type="pct"/>
            <w:vMerge w:val="continue"/>
            <w:noWrap w:val="0"/>
            <w:vAlign w:val="center"/>
          </w:tcPr>
          <w:p w14:paraId="1B08E40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5A0989D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shd w:val="clear" w:color="auto" w:fill="auto"/>
            <w:noWrap w:val="0"/>
            <w:vAlign w:val="center"/>
          </w:tcPr>
          <w:p w14:paraId="1F9E25D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212" w:type="pct"/>
            <w:shd w:val="clear" w:color="auto" w:fill="auto"/>
            <w:noWrap w:val="0"/>
            <w:vAlign w:val="center"/>
          </w:tcPr>
          <w:p w14:paraId="4153F1A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0" w:type="pct"/>
            <w:shd w:val="clear" w:color="auto" w:fill="auto"/>
            <w:noWrap w:val="0"/>
            <w:vAlign w:val="center"/>
          </w:tcPr>
          <w:p w14:paraId="748884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default" w:cs="Times New Roman"/>
                <w:color w:val="000000" w:themeColor="text1"/>
                <w:kern w:val="0"/>
                <w:sz w:val="18"/>
                <w:szCs w:val="18"/>
                <w:highlight w:val="none"/>
                <w:lang w:val="en-US" w:eastAsia="zh-CN"/>
                <w14:textFill>
                  <w14:solidFill>
                    <w14:schemeClr w14:val="tx1"/>
                  </w14:solidFill>
                </w14:textFill>
              </w:rPr>
              <w:t>/</w:t>
            </w:r>
          </w:p>
        </w:tc>
        <w:tc>
          <w:tcPr>
            <w:tcW w:w="813" w:type="pct"/>
            <w:gridSpan w:val="3"/>
            <w:shd w:val="clear" w:color="auto" w:fill="auto"/>
            <w:noWrap w:val="0"/>
            <w:vAlign w:val="center"/>
          </w:tcPr>
          <w:p w14:paraId="6D9EB7B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＜20（无量纲）</w:t>
            </w:r>
          </w:p>
        </w:tc>
        <w:tc>
          <w:tcPr>
            <w:tcW w:w="215" w:type="pct"/>
            <w:noWrap w:val="0"/>
            <w:vAlign w:val="center"/>
          </w:tcPr>
          <w:p w14:paraId="53D79A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436D45D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20（无量纲）</w:t>
            </w:r>
          </w:p>
        </w:tc>
        <w:tc>
          <w:tcPr>
            <w:tcW w:w="188" w:type="pct"/>
            <w:noWrap w:val="0"/>
            <w:vAlign w:val="center"/>
          </w:tcPr>
          <w:p w14:paraId="64D7AEB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2D311C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600</w:t>
            </w:r>
          </w:p>
        </w:tc>
      </w:tr>
      <w:tr w14:paraId="6AC47BA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565DF4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restart"/>
            <w:noWrap w:val="0"/>
            <w:vAlign w:val="center"/>
          </w:tcPr>
          <w:p w14:paraId="0A245C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全厂合计</w:t>
            </w:r>
          </w:p>
        </w:tc>
        <w:tc>
          <w:tcPr>
            <w:tcW w:w="253" w:type="pct"/>
            <w:vMerge w:val="restart"/>
            <w:noWrap w:val="0"/>
            <w:vAlign w:val="center"/>
          </w:tcPr>
          <w:p w14:paraId="08B51C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358" w:type="pct"/>
            <w:shd w:val="clear" w:color="auto" w:fill="auto"/>
            <w:noWrap w:val="0"/>
            <w:vAlign w:val="center"/>
          </w:tcPr>
          <w:p w14:paraId="583549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颗粒物</w:t>
            </w:r>
          </w:p>
        </w:tc>
        <w:tc>
          <w:tcPr>
            <w:tcW w:w="309" w:type="pct"/>
            <w:noWrap w:val="0"/>
            <w:vAlign w:val="center"/>
          </w:tcPr>
          <w:p w14:paraId="55B888B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61150C4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0.074 </w:t>
            </w:r>
          </w:p>
        </w:tc>
        <w:tc>
          <w:tcPr>
            <w:tcW w:w="265" w:type="pct"/>
            <w:noWrap w:val="0"/>
            <w:vAlign w:val="center"/>
          </w:tcPr>
          <w:p w14:paraId="1F04313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0.066 </w:t>
            </w:r>
          </w:p>
        </w:tc>
        <w:tc>
          <w:tcPr>
            <w:tcW w:w="253" w:type="pct"/>
            <w:vMerge w:val="continue"/>
            <w:noWrap w:val="0"/>
            <w:vAlign w:val="center"/>
          </w:tcPr>
          <w:p w14:paraId="3A5581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392" w:type="pct"/>
            <w:vMerge w:val="restart"/>
            <w:noWrap w:val="0"/>
            <w:vAlign w:val="center"/>
          </w:tcPr>
          <w:p w14:paraId="273DF3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16A6593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6ED2E1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3021D92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311" w:type="pct"/>
            <w:noWrap w:val="0"/>
            <w:vAlign w:val="center"/>
          </w:tcPr>
          <w:p w14:paraId="7967216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188D926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0.070 </w:t>
            </w:r>
          </w:p>
        </w:tc>
        <w:tc>
          <w:tcPr>
            <w:tcW w:w="230" w:type="pct"/>
            <w:noWrap w:val="0"/>
            <w:vAlign w:val="center"/>
          </w:tcPr>
          <w:p w14:paraId="47EA42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0.063 </w:t>
            </w:r>
          </w:p>
        </w:tc>
        <w:tc>
          <w:tcPr>
            <w:tcW w:w="215" w:type="pct"/>
            <w:noWrap w:val="0"/>
            <w:vAlign w:val="center"/>
          </w:tcPr>
          <w:p w14:paraId="7554F6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388AE16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1.0</w:t>
            </w:r>
          </w:p>
        </w:tc>
        <w:tc>
          <w:tcPr>
            <w:tcW w:w="188" w:type="pct"/>
            <w:noWrap w:val="0"/>
            <w:vAlign w:val="center"/>
          </w:tcPr>
          <w:p w14:paraId="4DA9EF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150" w:type="pct"/>
            <w:noWrap w:val="0"/>
            <w:vAlign w:val="center"/>
          </w:tcPr>
          <w:p w14:paraId="684469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900</w:t>
            </w:r>
          </w:p>
        </w:tc>
      </w:tr>
      <w:tr w14:paraId="3C496B9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6831D5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7511AB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3ACB3A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shd w:val="clear" w:color="auto" w:fill="auto"/>
            <w:noWrap w:val="0"/>
            <w:vAlign w:val="center"/>
          </w:tcPr>
          <w:p w14:paraId="56F754C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bCs/>
                <w:color w:val="000000" w:themeColor="text1"/>
                <w:sz w:val="18"/>
                <w:szCs w:val="18"/>
                <w:lang w:val="en-US" w:eastAsia="zh-CN"/>
                <w14:textFill>
                  <w14:solidFill>
                    <w14:schemeClr w14:val="tx1"/>
                  </w14:solidFill>
                </w14:textFill>
              </w:rPr>
              <w:t>二甲苯</w:t>
            </w:r>
          </w:p>
        </w:tc>
        <w:tc>
          <w:tcPr>
            <w:tcW w:w="309" w:type="pct"/>
            <w:noWrap w:val="0"/>
            <w:vAlign w:val="center"/>
          </w:tcPr>
          <w:p w14:paraId="709E41B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5BC6BCA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0.020 </w:t>
            </w:r>
          </w:p>
        </w:tc>
        <w:tc>
          <w:tcPr>
            <w:tcW w:w="265" w:type="pct"/>
            <w:noWrap w:val="0"/>
            <w:vAlign w:val="center"/>
          </w:tcPr>
          <w:p w14:paraId="79F2F9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0.047</w:t>
            </w:r>
          </w:p>
        </w:tc>
        <w:tc>
          <w:tcPr>
            <w:tcW w:w="253" w:type="pct"/>
            <w:vMerge w:val="continue"/>
            <w:noWrap w:val="0"/>
            <w:vAlign w:val="center"/>
          </w:tcPr>
          <w:p w14:paraId="71C0B3D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2058EEF1">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03B12F4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5F3252B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0E7320C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311" w:type="pct"/>
            <w:noWrap w:val="0"/>
            <w:vAlign w:val="center"/>
          </w:tcPr>
          <w:p w14:paraId="38BF767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379642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0.020 </w:t>
            </w:r>
          </w:p>
        </w:tc>
        <w:tc>
          <w:tcPr>
            <w:tcW w:w="230" w:type="pct"/>
            <w:noWrap w:val="0"/>
            <w:vAlign w:val="center"/>
          </w:tcPr>
          <w:p w14:paraId="5BDD47F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0.047 </w:t>
            </w:r>
          </w:p>
        </w:tc>
        <w:tc>
          <w:tcPr>
            <w:tcW w:w="215" w:type="pct"/>
            <w:noWrap w:val="0"/>
            <w:vAlign w:val="center"/>
          </w:tcPr>
          <w:p w14:paraId="46DBFF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0693F1E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bidi="ar-SA"/>
                <w14:textFill>
                  <w14:solidFill>
                    <w14:schemeClr w14:val="tx1"/>
                  </w14:solidFill>
                </w14:textFill>
              </w:rPr>
              <w:t>0.2</w:t>
            </w:r>
          </w:p>
        </w:tc>
        <w:tc>
          <w:tcPr>
            <w:tcW w:w="188" w:type="pct"/>
            <w:noWrap w:val="0"/>
            <w:vAlign w:val="center"/>
          </w:tcPr>
          <w:p w14:paraId="18D3278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19F0B5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459261E0">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7ABEDD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6840A6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576CBD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shd w:val="clear" w:color="auto" w:fill="auto"/>
            <w:noWrap w:val="0"/>
            <w:vAlign w:val="center"/>
          </w:tcPr>
          <w:p w14:paraId="228A3045">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苯乙烯</w:t>
            </w:r>
          </w:p>
        </w:tc>
        <w:tc>
          <w:tcPr>
            <w:tcW w:w="309" w:type="pct"/>
            <w:noWrap w:val="0"/>
            <w:vAlign w:val="center"/>
          </w:tcPr>
          <w:p w14:paraId="6ACFCB3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26BDEBE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0.007 </w:t>
            </w:r>
          </w:p>
        </w:tc>
        <w:tc>
          <w:tcPr>
            <w:tcW w:w="265" w:type="pct"/>
            <w:noWrap w:val="0"/>
            <w:vAlign w:val="center"/>
          </w:tcPr>
          <w:p w14:paraId="4C4124E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0.008</w:t>
            </w:r>
          </w:p>
        </w:tc>
        <w:tc>
          <w:tcPr>
            <w:tcW w:w="253" w:type="pct"/>
            <w:vMerge w:val="continue"/>
            <w:noWrap w:val="0"/>
            <w:vAlign w:val="center"/>
          </w:tcPr>
          <w:p w14:paraId="5A3392D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2CCB03C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2C7A6C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0453E47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15360FF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311" w:type="pct"/>
            <w:noWrap w:val="0"/>
            <w:vAlign w:val="center"/>
          </w:tcPr>
          <w:p w14:paraId="173EFFC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09B5CE7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0.007 </w:t>
            </w:r>
          </w:p>
        </w:tc>
        <w:tc>
          <w:tcPr>
            <w:tcW w:w="230" w:type="pct"/>
            <w:noWrap w:val="0"/>
            <w:vAlign w:val="center"/>
          </w:tcPr>
          <w:p w14:paraId="26A9441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0.008 </w:t>
            </w:r>
          </w:p>
        </w:tc>
        <w:tc>
          <w:tcPr>
            <w:tcW w:w="215" w:type="pct"/>
            <w:noWrap w:val="0"/>
            <w:vAlign w:val="center"/>
          </w:tcPr>
          <w:p w14:paraId="781268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5346BB5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bidi="ar-SA"/>
                <w14:textFill>
                  <w14:solidFill>
                    <w14:schemeClr w14:val="tx1"/>
                  </w14:solidFill>
                </w14:textFill>
              </w:rPr>
              <w:t>0.2</w:t>
            </w:r>
          </w:p>
        </w:tc>
        <w:tc>
          <w:tcPr>
            <w:tcW w:w="188" w:type="pct"/>
            <w:noWrap w:val="0"/>
            <w:vAlign w:val="center"/>
          </w:tcPr>
          <w:p w14:paraId="3BD518D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652418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1200</w:t>
            </w:r>
          </w:p>
        </w:tc>
      </w:tr>
      <w:tr w14:paraId="774914C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7FEA8E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5576D7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567FDE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shd w:val="clear" w:color="auto" w:fill="auto"/>
            <w:noWrap w:val="0"/>
            <w:vAlign w:val="center"/>
          </w:tcPr>
          <w:p w14:paraId="1DCD51B6">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TVOC</w:t>
            </w:r>
          </w:p>
        </w:tc>
        <w:tc>
          <w:tcPr>
            <w:tcW w:w="309" w:type="pct"/>
            <w:noWrap w:val="0"/>
            <w:vAlign w:val="center"/>
          </w:tcPr>
          <w:p w14:paraId="1DA51067">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87" w:type="pct"/>
            <w:noWrap w:val="0"/>
            <w:vAlign w:val="center"/>
          </w:tcPr>
          <w:p w14:paraId="391F7672">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0.111 </w:t>
            </w:r>
          </w:p>
        </w:tc>
        <w:tc>
          <w:tcPr>
            <w:tcW w:w="265" w:type="pct"/>
            <w:noWrap w:val="0"/>
            <w:vAlign w:val="center"/>
          </w:tcPr>
          <w:p w14:paraId="1E05596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0.266</w:t>
            </w:r>
          </w:p>
        </w:tc>
        <w:tc>
          <w:tcPr>
            <w:tcW w:w="253" w:type="pct"/>
            <w:vMerge w:val="continue"/>
            <w:noWrap w:val="0"/>
            <w:vAlign w:val="center"/>
          </w:tcPr>
          <w:p w14:paraId="553F220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392" w:type="pct"/>
            <w:vMerge w:val="continue"/>
            <w:noWrap w:val="0"/>
            <w:vAlign w:val="center"/>
          </w:tcPr>
          <w:p w14:paraId="3390D89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7EC896F4">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12" w:type="pct"/>
            <w:noWrap w:val="0"/>
            <w:vAlign w:val="center"/>
          </w:tcPr>
          <w:p w14:paraId="46D83F35">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80" w:type="pct"/>
            <w:noWrap w:val="0"/>
            <w:vAlign w:val="center"/>
          </w:tcPr>
          <w:p w14:paraId="3D711E8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311" w:type="pct"/>
            <w:noWrap w:val="0"/>
            <w:vAlign w:val="center"/>
          </w:tcPr>
          <w:p w14:paraId="7AB29F3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w:t>
            </w:r>
          </w:p>
        </w:tc>
        <w:tc>
          <w:tcPr>
            <w:tcW w:w="271" w:type="pct"/>
            <w:noWrap w:val="0"/>
            <w:vAlign w:val="center"/>
          </w:tcPr>
          <w:p w14:paraId="13AAFEDD">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0.111 </w:t>
            </w:r>
          </w:p>
        </w:tc>
        <w:tc>
          <w:tcPr>
            <w:tcW w:w="230" w:type="pct"/>
            <w:noWrap w:val="0"/>
            <w:vAlign w:val="center"/>
          </w:tcPr>
          <w:p w14:paraId="0C4BA12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18"/>
                <w:szCs w:val="18"/>
                <w:highlight w:val="none"/>
                <w:lang w:val="en-US" w:eastAsia="zh-CN"/>
                <w14:textFill>
                  <w14:solidFill>
                    <w14:schemeClr w14:val="tx1"/>
                  </w14:solidFill>
                </w14:textFill>
              </w:rPr>
              <w:t xml:space="preserve">0.266 </w:t>
            </w:r>
          </w:p>
        </w:tc>
        <w:tc>
          <w:tcPr>
            <w:tcW w:w="215" w:type="pct"/>
            <w:noWrap w:val="0"/>
            <w:vAlign w:val="center"/>
          </w:tcPr>
          <w:p w14:paraId="59AA30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4BDE338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bidi="ar-SA"/>
                <w14:textFill>
                  <w14:solidFill>
                    <w14:schemeClr w14:val="tx1"/>
                  </w14:solidFill>
                </w14:textFill>
              </w:rPr>
              <w:t>2.0</w:t>
            </w:r>
          </w:p>
        </w:tc>
        <w:tc>
          <w:tcPr>
            <w:tcW w:w="188" w:type="pct"/>
            <w:noWrap w:val="0"/>
            <w:vAlign w:val="center"/>
          </w:tcPr>
          <w:p w14:paraId="72EE9AE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77B0A5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r w14:paraId="4528D1A9">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64" w:type="pct"/>
            <w:vMerge w:val="continue"/>
            <w:noWrap w:val="0"/>
            <w:vAlign w:val="center"/>
          </w:tcPr>
          <w:p w14:paraId="666503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436" w:type="pct"/>
            <w:vMerge w:val="continue"/>
            <w:noWrap w:val="0"/>
            <w:vAlign w:val="center"/>
          </w:tcPr>
          <w:p w14:paraId="0ED6EB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53" w:type="pct"/>
            <w:vMerge w:val="continue"/>
            <w:noWrap w:val="0"/>
            <w:vAlign w:val="center"/>
          </w:tcPr>
          <w:p w14:paraId="6D3C3D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358" w:type="pct"/>
            <w:noWrap w:val="0"/>
            <w:vAlign w:val="center"/>
          </w:tcPr>
          <w:p w14:paraId="7E6488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18"/>
                <w:szCs w:val="18"/>
                <w:lang w:val="en-US" w:eastAsia="zh-CN"/>
                <w14:textFill>
                  <w14:solidFill>
                    <w14:schemeClr w14:val="tx1"/>
                  </w14:solidFill>
                </w14:textFill>
              </w:rPr>
              <w:t>臭气浓度</w:t>
            </w:r>
          </w:p>
        </w:tc>
        <w:tc>
          <w:tcPr>
            <w:tcW w:w="861" w:type="pct"/>
            <w:gridSpan w:val="3"/>
            <w:noWrap w:val="0"/>
            <w:vAlign w:val="center"/>
          </w:tcPr>
          <w:p w14:paraId="3AE70146">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少量</w:t>
            </w:r>
          </w:p>
        </w:tc>
        <w:tc>
          <w:tcPr>
            <w:tcW w:w="253" w:type="pct"/>
            <w:vMerge w:val="continue"/>
            <w:noWrap w:val="0"/>
            <w:vAlign w:val="center"/>
          </w:tcPr>
          <w:p w14:paraId="6B2147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0"/>
                <w:sz w:val="18"/>
                <w:szCs w:val="18"/>
                <w:highlight w:val="none"/>
                <w14:textFill>
                  <w14:solidFill>
                    <w14:schemeClr w14:val="tx1"/>
                  </w14:solidFill>
                </w14:textFill>
              </w:rPr>
            </w:pPr>
          </w:p>
        </w:tc>
        <w:tc>
          <w:tcPr>
            <w:tcW w:w="392" w:type="pct"/>
            <w:vMerge w:val="continue"/>
            <w:noWrap w:val="0"/>
            <w:vAlign w:val="center"/>
          </w:tcPr>
          <w:p w14:paraId="7BAE0B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18"/>
                <w:szCs w:val="18"/>
                <w:highlight w:val="none"/>
                <w:lang w:val="en-US" w:eastAsia="zh-CN"/>
                <w14:textFill>
                  <w14:solidFill>
                    <w14:schemeClr w14:val="tx1"/>
                  </w14:solidFill>
                </w14:textFill>
              </w:rPr>
            </w:pPr>
          </w:p>
        </w:tc>
        <w:tc>
          <w:tcPr>
            <w:tcW w:w="212" w:type="pct"/>
            <w:noWrap w:val="0"/>
            <w:vAlign w:val="center"/>
          </w:tcPr>
          <w:p w14:paraId="0CCFB4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18"/>
                <w:szCs w:val="18"/>
                <w:highlight w:val="none"/>
                <w14:textFill>
                  <w14:solidFill>
                    <w14:schemeClr w14:val="tx1"/>
                  </w14:solidFill>
                </w14:textFill>
              </w:rPr>
              <w:t>/</w:t>
            </w:r>
          </w:p>
        </w:tc>
        <w:tc>
          <w:tcPr>
            <w:tcW w:w="212" w:type="pct"/>
            <w:noWrap w:val="0"/>
            <w:vAlign w:val="center"/>
          </w:tcPr>
          <w:p w14:paraId="154C44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18"/>
                <w:szCs w:val="18"/>
                <w:highlight w:val="none"/>
                <w14:textFill>
                  <w14:solidFill>
                    <w14:schemeClr w14:val="tx1"/>
                  </w14:solidFill>
                </w14:textFill>
              </w:rPr>
              <w:t>/</w:t>
            </w:r>
          </w:p>
        </w:tc>
        <w:tc>
          <w:tcPr>
            <w:tcW w:w="280" w:type="pct"/>
            <w:noWrap w:val="0"/>
            <w:vAlign w:val="center"/>
          </w:tcPr>
          <w:p w14:paraId="11399090">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18"/>
                <w:szCs w:val="18"/>
                <w:highlight w:val="none"/>
                <w14:textFill>
                  <w14:solidFill>
                    <w14:schemeClr w14:val="tx1"/>
                  </w14:solidFill>
                </w14:textFill>
              </w:rPr>
              <w:t>/</w:t>
            </w:r>
          </w:p>
        </w:tc>
        <w:tc>
          <w:tcPr>
            <w:tcW w:w="813" w:type="pct"/>
            <w:gridSpan w:val="3"/>
            <w:noWrap w:val="0"/>
            <w:vAlign w:val="center"/>
          </w:tcPr>
          <w:p w14:paraId="33A9DB3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＜20（无量纲）</w:t>
            </w:r>
          </w:p>
        </w:tc>
        <w:tc>
          <w:tcPr>
            <w:tcW w:w="215" w:type="pct"/>
            <w:noWrap w:val="0"/>
            <w:vAlign w:val="center"/>
          </w:tcPr>
          <w:p w14:paraId="30484F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w:t>
            </w:r>
          </w:p>
        </w:tc>
        <w:tc>
          <w:tcPr>
            <w:tcW w:w="207" w:type="pct"/>
            <w:noWrap w:val="0"/>
            <w:vAlign w:val="center"/>
          </w:tcPr>
          <w:p w14:paraId="2F70C53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eastAsia" w:ascii="Times New Roman" w:hAnsi="Times New Roman" w:eastAsia="宋体" w:cs="Times New Roman"/>
                <w:color w:val="000000" w:themeColor="text1"/>
                <w:kern w:val="0"/>
                <w:sz w:val="18"/>
                <w:szCs w:val="18"/>
                <w:highlight w:val="none"/>
                <w:lang w:val="en-US" w:eastAsia="zh-CN" w:bidi="ar-SA"/>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20（无量纲）</w:t>
            </w:r>
          </w:p>
        </w:tc>
        <w:tc>
          <w:tcPr>
            <w:tcW w:w="188" w:type="pct"/>
            <w:noWrap w:val="0"/>
            <w:vAlign w:val="center"/>
          </w:tcPr>
          <w:p w14:paraId="03058C13">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p>
        </w:tc>
        <w:tc>
          <w:tcPr>
            <w:tcW w:w="150" w:type="pct"/>
            <w:noWrap w:val="0"/>
            <w:vAlign w:val="center"/>
          </w:tcPr>
          <w:p w14:paraId="5888C1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18"/>
                <w:szCs w:val="18"/>
                <w:highlight w:val="none"/>
                <w:lang w:val="en-US" w:eastAsia="zh-CN"/>
                <w14:textFill>
                  <w14:solidFill>
                    <w14:schemeClr w14:val="tx1"/>
                  </w14:solidFill>
                </w14:textFill>
              </w:rPr>
            </w:pPr>
            <w:r>
              <w:rPr>
                <w:rFonts w:hint="eastAsia" w:cs="Times New Roman"/>
                <w:color w:val="000000" w:themeColor="text1"/>
                <w:kern w:val="0"/>
                <w:sz w:val="18"/>
                <w:szCs w:val="18"/>
                <w:highlight w:val="none"/>
                <w:lang w:val="en-US" w:eastAsia="zh-CN"/>
                <w14:textFill>
                  <w14:solidFill>
                    <w14:schemeClr w14:val="tx1"/>
                  </w14:solidFill>
                </w14:textFill>
              </w:rPr>
              <w:t>2400</w:t>
            </w:r>
          </w:p>
        </w:tc>
      </w:tr>
    </w:tbl>
    <w:p w14:paraId="54BB8B38">
      <w:pPr>
        <w:pStyle w:val="57"/>
        <w:numPr>
          <w:ilvl w:val="3"/>
          <w:numId w:val="0"/>
        </w:numPr>
        <w:tabs>
          <w:tab w:val="clear" w:pos="420"/>
        </w:tabs>
        <w:ind w:leftChars="0"/>
        <w:jc w:val="both"/>
        <w:rPr>
          <w:color w:val="000000" w:themeColor="text1"/>
          <w:lang w:eastAsia="zh-CN"/>
          <w14:textFill>
            <w14:solidFill>
              <w14:schemeClr w14:val="tx1"/>
            </w14:solidFill>
          </w14:textFill>
        </w:rPr>
      </w:pPr>
    </w:p>
    <w:p w14:paraId="49B7CA70">
      <w:pPr>
        <w:pStyle w:val="57"/>
        <w:numPr>
          <w:ilvl w:val="3"/>
          <w:numId w:val="19"/>
        </w:numPr>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项目废气非正常工况排放量核算</w:t>
      </w:r>
      <w:r>
        <w:rPr>
          <w:color w:val="000000" w:themeColor="text1"/>
          <w:lang w:eastAsia="zh-CN"/>
          <w14:textFill>
            <w14:solidFill>
              <w14:schemeClr w14:val="tx1"/>
            </w14:solidFill>
          </w14:textFill>
        </w:rPr>
        <w:t>表</w:t>
      </w:r>
    </w:p>
    <w:tbl>
      <w:tblPr>
        <w:tblStyle w:val="166"/>
        <w:tblW w:w="4999"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61"/>
        <w:gridCol w:w="703"/>
        <w:gridCol w:w="1548"/>
        <w:gridCol w:w="1137"/>
        <w:gridCol w:w="1808"/>
        <w:gridCol w:w="2110"/>
        <w:gridCol w:w="1548"/>
        <w:gridCol w:w="1408"/>
        <w:gridCol w:w="2522"/>
      </w:tblGrid>
      <w:tr w14:paraId="0E7B6E9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74" w:type="pct"/>
            <w:noWrap w:val="0"/>
            <w:vAlign w:val="center"/>
          </w:tcPr>
          <w:p w14:paraId="4EA5636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序号</w:t>
            </w:r>
          </w:p>
        </w:tc>
        <w:tc>
          <w:tcPr>
            <w:tcW w:w="265" w:type="pct"/>
            <w:noWrap w:val="0"/>
            <w:vAlign w:val="center"/>
          </w:tcPr>
          <w:p w14:paraId="6EC1019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污染源</w:t>
            </w:r>
          </w:p>
        </w:tc>
        <w:tc>
          <w:tcPr>
            <w:tcW w:w="584" w:type="pct"/>
            <w:noWrap w:val="0"/>
            <w:vAlign w:val="center"/>
          </w:tcPr>
          <w:p w14:paraId="01BC3A3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非正常排放原因</w:t>
            </w:r>
          </w:p>
        </w:tc>
        <w:tc>
          <w:tcPr>
            <w:tcW w:w="429" w:type="pct"/>
            <w:noWrap w:val="0"/>
            <w:vAlign w:val="center"/>
          </w:tcPr>
          <w:p w14:paraId="3AFF84D0">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污染物</w:t>
            </w:r>
          </w:p>
        </w:tc>
        <w:tc>
          <w:tcPr>
            <w:tcW w:w="682" w:type="pct"/>
            <w:noWrap w:val="0"/>
            <w:vAlign w:val="center"/>
          </w:tcPr>
          <w:p w14:paraId="5BB18FB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非正常排放浓度(mg/m</w:t>
            </w:r>
            <w:r>
              <w:rPr>
                <w:rFonts w:hint="default" w:ascii="Times New Roman" w:hAnsi="Times New Roman" w:eastAsia="宋体" w:cs="Times New Roman"/>
                <w:b/>
                <w:color w:val="000000" w:themeColor="text1"/>
                <w:sz w:val="21"/>
                <w:szCs w:val="21"/>
                <w:highlight w:val="none"/>
                <w:vertAlign w:val="superscript"/>
                <w14:textFill>
                  <w14:solidFill>
                    <w14:schemeClr w14:val="tx1"/>
                  </w14:solidFill>
                </w14:textFill>
              </w:rPr>
              <w:t>3</w:t>
            </w:r>
            <w:r>
              <w:rPr>
                <w:rFonts w:hint="default" w:ascii="Times New Roman" w:hAnsi="Times New Roman" w:eastAsia="宋体" w:cs="Times New Roman"/>
                <w:b/>
                <w:color w:val="000000" w:themeColor="text1"/>
                <w:sz w:val="21"/>
                <w:szCs w:val="21"/>
                <w:highlight w:val="none"/>
                <w14:textFill>
                  <w14:solidFill>
                    <w14:schemeClr w14:val="tx1"/>
                  </w14:solidFill>
                </w14:textFill>
              </w:rPr>
              <w:t>)</w:t>
            </w:r>
          </w:p>
        </w:tc>
        <w:tc>
          <w:tcPr>
            <w:tcW w:w="796" w:type="pct"/>
            <w:noWrap w:val="0"/>
            <w:vAlign w:val="center"/>
          </w:tcPr>
          <w:p w14:paraId="404827A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非正常排放速率(kg/h)</w:t>
            </w:r>
          </w:p>
        </w:tc>
        <w:tc>
          <w:tcPr>
            <w:tcW w:w="584" w:type="pct"/>
            <w:noWrap w:val="0"/>
            <w:vAlign w:val="center"/>
          </w:tcPr>
          <w:p w14:paraId="7601FE2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单次持续时间/h</w:t>
            </w:r>
          </w:p>
        </w:tc>
        <w:tc>
          <w:tcPr>
            <w:tcW w:w="531" w:type="pct"/>
            <w:noWrap w:val="0"/>
            <w:vAlign w:val="center"/>
          </w:tcPr>
          <w:p w14:paraId="217FFC9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年发生频次/次</w:t>
            </w:r>
          </w:p>
        </w:tc>
        <w:tc>
          <w:tcPr>
            <w:tcW w:w="952" w:type="pct"/>
            <w:noWrap w:val="0"/>
            <w:vAlign w:val="center"/>
          </w:tcPr>
          <w:p w14:paraId="4E1314A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应对措施</w:t>
            </w:r>
          </w:p>
        </w:tc>
      </w:tr>
      <w:tr w14:paraId="1DA4AAC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74" w:type="pct"/>
            <w:vMerge w:val="restart"/>
            <w:noWrap w:val="0"/>
            <w:vAlign w:val="center"/>
          </w:tcPr>
          <w:p w14:paraId="7038076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w:t>
            </w:r>
          </w:p>
        </w:tc>
        <w:tc>
          <w:tcPr>
            <w:tcW w:w="265" w:type="pct"/>
            <w:vMerge w:val="restart"/>
            <w:noWrap w:val="0"/>
            <w:vAlign w:val="center"/>
          </w:tcPr>
          <w:p w14:paraId="3555DF0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DA00</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1</w:t>
            </w:r>
          </w:p>
        </w:tc>
        <w:tc>
          <w:tcPr>
            <w:tcW w:w="584" w:type="pct"/>
            <w:vMerge w:val="restart"/>
            <w:noWrap w:val="0"/>
            <w:vAlign w:val="center"/>
          </w:tcPr>
          <w:p w14:paraId="4C4B388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废气处理设施完全失效</w:t>
            </w:r>
          </w:p>
        </w:tc>
        <w:tc>
          <w:tcPr>
            <w:tcW w:w="429" w:type="pct"/>
            <w:noWrap w:val="0"/>
            <w:vAlign w:val="center"/>
          </w:tcPr>
          <w:p w14:paraId="4F233D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颗粒物</w:t>
            </w:r>
          </w:p>
        </w:tc>
        <w:tc>
          <w:tcPr>
            <w:tcW w:w="1808" w:type="dxa"/>
            <w:noWrap w:val="0"/>
            <w:vAlign w:val="center"/>
          </w:tcPr>
          <w:p w14:paraId="33558949">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26.33 </w:t>
            </w:r>
          </w:p>
        </w:tc>
        <w:tc>
          <w:tcPr>
            <w:tcW w:w="2110" w:type="dxa"/>
            <w:noWrap w:val="0"/>
            <w:vAlign w:val="center"/>
          </w:tcPr>
          <w:p w14:paraId="49E7C96A">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0.263 </w:t>
            </w:r>
          </w:p>
        </w:tc>
        <w:tc>
          <w:tcPr>
            <w:tcW w:w="584" w:type="pct"/>
            <w:vMerge w:val="restart"/>
            <w:noWrap w:val="0"/>
            <w:vAlign w:val="center"/>
          </w:tcPr>
          <w:p w14:paraId="7662C8A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0.5</w:t>
            </w:r>
          </w:p>
        </w:tc>
        <w:tc>
          <w:tcPr>
            <w:tcW w:w="531" w:type="pct"/>
            <w:vMerge w:val="restart"/>
            <w:noWrap w:val="0"/>
            <w:vAlign w:val="center"/>
          </w:tcPr>
          <w:p w14:paraId="741DD0B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w:t>
            </w:r>
          </w:p>
        </w:tc>
        <w:tc>
          <w:tcPr>
            <w:tcW w:w="952" w:type="pct"/>
            <w:vMerge w:val="restart"/>
            <w:noWrap w:val="0"/>
            <w:vAlign w:val="center"/>
          </w:tcPr>
          <w:p w14:paraId="6F114E5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立即停止生产，关闭排放阀，及时更换废气处理设施。</w:t>
            </w:r>
          </w:p>
        </w:tc>
      </w:tr>
      <w:tr w14:paraId="7002A29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74" w:type="pct"/>
            <w:vMerge w:val="continue"/>
            <w:noWrap w:val="0"/>
            <w:vAlign w:val="center"/>
          </w:tcPr>
          <w:p w14:paraId="478CE0D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65" w:type="pct"/>
            <w:vMerge w:val="continue"/>
            <w:noWrap w:val="0"/>
            <w:vAlign w:val="center"/>
          </w:tcPr>
          <w:p w14:paraId="5131D56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84" w:type="pct"/>
            <w:vMerge w:val="continue"/>
            <w:noWrap w:val="0"/>
            <w:vAlign w:val="center"/>
          </w:tcPr>
          <w:p w14:paraId="4512833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29" w:type="pct"/>
            <w:noWrap w:val="0"/>
            <w:vAlign w:val="center"/>
          </w:tcPr>
          <w:p w14:paraId="645CE73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苯乙烯</w:t>
            </w:r>
          </w:p>
        </w:tc>
        <w:tc>
          <w:tcPr>
            <w:tcW w:w="1808" w:type="dxa"/>
            <w:noWrap w:val="0"/>
            <w:vAlign w:val="center"/>
          </w:tcPr>
          <w:p w14:paraId="2AA9160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2.75 </w:t>
            </w:r>
          </w:p>
        </w:tc>
        <w:tc>
          <w:tcPr>
            <w:tcW w:w="2110" w:type="dxa"/>
            <w:noWrap w:val="0"/>
            <w:vAlign w:val="center"/>
          </w:tcPr>
          <w:p w14:paraId="4B566A9F">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0.028 </w:t>
            </w:r>
          </w:p>
        </w:tc>
        <w:tc>
          <w:tcPr>
            <w:tcW w:w="584" w:type="pct"/>
            <w:vMerge w:val="continue"/>
            <w:noWrap w:val="0"/>
            <w:vAlign w:val="center"/>
          </w:tcPr>
          <w:p w14:paraId="3309A96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31" w:type="pct"/>
            <w:vMerge w:val="continue"/>
            <w:noWrap w:val="0"/>
            <w:vAlign w:val="center"/>
          </w:tcPr>
          <w:p w14:paraId="37F2D7D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952" w:type="pct"/>
            <w:vMerge w:val="continue"/>
            <w:noWrap w:val="0"/>
            <w:vAlign w:val="center"/>
          </w:tcPr>
          <w:p w14:paraId="7440609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3D2249A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74" w:type="pct"/>
            <w:vMerge w:val="continue"/>
            <w:noWrap w:val="0"/>
            <w:vAlign w:val="center"/>
          </w:tcPr>
          <w:p w14:paraId="62F69A9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65" w:type="pct"/>
            <w:vMerge w:val="continue"/>
            <w:noWrap w:val="0"/>
            <w:vAlign w:val="center"/>
          </w:tcPr>
          <w:p w14:paraId="6F386F9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84" w:type="pct"/>
            <w:vMerge w:val="continue"/>
            <w:noWrap w:val="0"/>
            <w:vAlign w:val="center"/>
          </w:tcPr>
          <w:p w14:paraId="65F538D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29" w:type="pct"/>
            <w:noWrap w:val="0"/>
            <w:vAlign w:val="center"/>
          </w:tcPr>
          <w:p w14:paraId="0C91159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TVOC</w:t>
            </w:r>
          </w:p>
        </w:tc>
        <w:tc>
          <w:tcPr>
            <w:tcW w:w="1808" w:type="dxa"/>
            <w:noWrap w:val="0"/>
            <w:vAlign w:val="center"/>
          </w:tcPr>
          <w:p w14:paraId="5B7CDF7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38.17 </w:t>
            </w:r>
          </w:p>
        </w:tc>
        <w:tc>
          <w:tcPr>
            <w:tcW w:w="2110" w:type="dxa"/>
            <w:noWrap w:val="0"/>
            <w:vAlign w:val="center"/>
          </w:tcPr>
          <w:p w14:paraId="6EB1834E">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0.382 </w:t>
            </w:r>
          </w:p>
        </w:tc>
        <w:tc>
          <w:tcPr>
            <w:tcW w:w="584" w:type="pct"/>
            <w:vMerge w:val="continue"/>
            <w:noWrap w:val="0"/>
            <w:vAlign w:val="center"/>
          </w:tcPr>
          <w:p w14:paraId="3E62A00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31" w:type="pct"/>
            <w:vMerge w:val="continue"/>
            <w:noWrap w:val="0"/>
            <w:vAlign w:val="center"/>
          </w:tcPr>
          <w:p w14:paraId="6AE8FCD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952" w:type="pct"/>
            <w:vMerge w:val="continue"/>
            <w:noWrap w:val="0"/>
            <w:vAlign w:val="center"/>
          </w:tcPr>
          <w:p w14:paraId="2F105B6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47A890E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74" w:type="pct"/>
            <w:vMerge w:val="restart"/>
            <w:noWrap w:val="0"/>
            <w:vAlign w:val="center"/>
          </w:tcPr>
          <w:p w14:paraId="1F60A2F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2</w:t>
            </w:r>
          </w:p>
        </w:tc>
        <w:tc>
          <w:tcPr>
            <w:tcW w:w="265" w:type="pct"/>
            <w:vMerge w:val="restart"/>
            <w:noWrap w:val="0"/>
            <w:vAlign w:val="center"/>
          </w:tcPr>
          <w:p w14:paraId="216FF0F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DA002</w:t>
            </w:r>
          </w:p>
        </w:tc>
        <w:tc>
          <w:tcPr>
            <w:tcW w:w="584" w:type="pct"/>
            <w:vMerge w:val="continue"/>
            <w:noWrap w:val="0"/>
            <w:vAlign w:val="center"/>
          </w:tcPr>
          <w:p w14:paraId="16EF691A">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29" w:type="pct"/>
            <w:noWrap w:val="0"/>
            <w:vAlign w:val="center"/>
          </w:tcPr>
          <w:p w14:paraId="7B87B7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颗粒物</w:t>
            </w:r>
          </w:p>
        </w:tc>
        <w:tc>
          <w:tcPr>
            <w:tcW w:w="1808" w:type="dxa"/>
            <w:noWrap w:val="0"/>
            <w:vAlign w:val="center"/>
          </w:tcPr>
          <w:p w14:paraId="62D73FDC">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cs="Times New Roman"/>
                <w:color w:val="000000" w:themeColor="text1"/>
                <w:kern w:val="0"/>
                <w:sz w:val="21"/>
                <w:szCs w:val="21"/>
                <w:highlight w:val="none"/>
                <w:lang w:val="en-US" w:eastAsia="zh-CN"/>
                <w14:textFill>
                  <w14:solidFill>
                    <w14:schemeClr w14:val="tx1"/>
                  </w14:solidFill>
                </w14:textFill>
              </w:rPr>
              <w:t xml:space="preserve">9.83 </w:t>
            </w:r>
          </w:p>
        </w:tc>
        <w:tc>
          <w:tcPr>
            <w:tcW w:w="2110" w:type="dxa"/>
            <w:noWrap w:val="0"/>
            <w:vAlign w:val="center"/>
          </w:tcPr>
          <w:p w14:paraId="74A0349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cs="Times New Roman"/>
                <w:color w:val="000000" w:themeColor="text1"/>
                <w:kern w:val="0"/>
                <w:sz w:val="21"/>
                <w:szCs w:val="21"/>
                <w:highlight w:val="none"/>
                <w:lang w:val="en-US" w:eastAsia="zh-CN"/>
                <w14:textFill>
                  <w14:solidFill>
                    <w14:schemeClr w14:val="tx1"/>
                  </w14:solidFill>
                </w14:textFill>
              </w:rPr>
              <w:t xml:space="preserve">0.197 </w:t>
            </w:r>
          </w:p>
        </w:tc>
        <w:tc>
          <w:tcPr>
            <w:tcW w:w="584" w:type="pct"/>
            <w:vMerge w:val="restart"/>
            <w:noWrap w:val="0"/>
            <w:vAlign w:val="center"/>
          </w:tcPr>
          <w:p w14:paraId="6D7B530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0.5</w:t>
            </w:r>
          </w:p>
        </w:tc>
        <w:tc>
          <w:tcPr>
            <w:tcW w:w="531" w:type="pct"/>
            <w:vMerge w:val="restart"/>
            <w:noWrap w:val="0"/>
            <w:vAlign w:val="center"/>
          </w:tcPr>
          <w:p w14:paraId="4621433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2</w:t>
            </w:r>
          </w:p>
        </w:tc>
        <w:tc>
          <w:tcPr>
            <w:tcW w:w="952" w:type="pct"/>
            <w:vMerge w:val="continue"/>
            <w:noWrap w:val="0"/>
            <w:vAlign w:val="center"/>
          </w:tcPr>
          <w:p w14:paraId="5F5B92A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22F4866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74" w:type="pct"/>
            <w:vMerge w:val="continue"/>
            <w:noWrap w:val="0"/>
            <w:vAlign w:val="center"/>
          </w:tcPr>
          <w:p w14:paraId="1CE8E11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65" w:type="pct"/>
            <w:vMerge w:val="continue"/>
            <w:noWrap w:val="0"/>
            <w:vAlign w:val="center"/>
          </w:tcPr>
          <w:p w14:paraId="5AD2FB60">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84" w:type="pct"/>
            <w:vMerge w:val="continue"/>
            <w:noWrap w:val="0"/>
            <w:vAlign w:val="center"/>
          </w:tcPr>
          <w:p w14:paraId="0F10822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29" w:type="pct"/>
            <w:noWrap w:val="0"/>
            <w:vAlign w:val="center"/>
          </w:tcPr>
          <w:p w14:paraId="74B1E4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bidi="ar-SA"/>
                <w14:textFill>
                  <w14:solidFill>
                    <w14:schemeClr w14:val="tx1"/>
                  </w14:solidFill>
                </w14:textFill>
              </w:rPr>
              <w:t>二甲苯</w:t>
            </w:r>
          </w:p>
        </w:tc>
        <w:tc>
          <w:tcPr>
            <w:tcW w:w="1808" w:type="dxa"/>
            <w:noWrap w:val="0"/>
            <w:vAlign w:val="center"/>
          </w:tcPr>
          <w:p w14:paraId="4B85CE50">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cs="Times New Roman"/>
                <w:color w:val="000000" w:themeColor="text1"/>
                <w:kern w:val="0"/>
                <w:sz w:val="21"/>
                <w:szCs w:val="21"/>
                <w:highlight w:val="none"/>
                <w:lang w:val="en-US" w:eastAsia="zh-CN"/>
                <w14:textFill>
                  <w14:solidFill>
                    <w14:schemeClr w14:val="tx1"/>
                  </w14:solidFill>
                </w14:textFill>
              </w:rPr>
              <w:t xml:space="preserve">8.83 </w:t>
            </w:r>
          </w:p>
        </w:tc>
        <w:tc>
          <w:tcPr>
            <w:tcW w:w="2110" w:type="dxa"/>
            <w:noWrap w:val="0"/>
            <w:vAlign w:val="center"/>
          </w:tcPr>
          <w:p w14:paraId="15ED501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cs="Times New Roman"/>
                <w:color w:val="000000" w:themeColor="text1"/>
                <w:kern w:val="0"/>
                <w:sz w:val="21"/>
                <w:szCs w:val="21"/>
                <w:highlight w:val="none"/>
                <w:lang w:val="en-US" w:eastAsia="zh-CN"/>
                <w14:textFill>
                  <w14:solidFill>
                    <w14:schemeClr w14:val="tx1"/>
                  </w14:solidFill>
                </w14:textFill>
              </w:rPr>
              <w:t xml:space="preserve">0.177 </w:t>
            </w:r>
          </w:p>
        </w:tc>
        <w:tc>
          <w:tcPr>
            <w:tcW w:w="584" w:type="pct"/>
            <w:vMerge w:val="continue"/>
            <w:noWrap w:val="0"/>
            <w:vAlign w:val="center"/>
          </w:tcPr>
          <w:p w14:paraId="1FA446D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31" w:type="pct"/>
            <w:vMerge w:val="continue"/>
            <w:noWrap w:val="0"/>
            <w:vAlign w:val="center"/>
          </w:tcPr>
          <w:p w14:paraId="23690BD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952" w:type="pct"/>
            <w:vMerge w:val="continue"/>
            <w:noWrap w:val="0"/>
            <w:vAlign w:val="center"/>
          </w:tcPr>
          <w:p w14:paraId="1639C3F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35A2DD7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174" w:type="pct"/>
            <w:vMerge w:val="continue"/>
            <w:noWrap w:val="0"/>
            <w:vAlign w:val="center"/>
          </w:tcPr>
          <w:p w14:paraId="39F6D26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65" w:type="pct"/>
            <w:vMerge w:val="continue"/>
            <w:noWrap w:val="0"/>
            <w:vAlign w:val="center"/>
          </w:tcPr>
          <w:p w14:paraId="310A57C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84" w:type="pct"/>
            <w:vMerge w:val="continue"/>
            <w:noWrap w:val="0"/>
            <w:vAlign w:val="center"/>
          </w:tcPr>
          <w:p w14:paraId="3E508C1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29" w:type="pct"/>
            <w:noWrap w:val="0"/>
            <w:vAlign w:val="center"/>
          </w:tcPr>
          <w:p w14:paraId="796610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bidi="ar-SA"/>
                <w14:textFill>
                  <w14:solidFill>
                    <w14:schemeClr w14:val="tx1"/>
                  </w14:solidFill>
                </w14:textFill>
              </w:rPr>
              <w:t>TVOC</w:t>
            </w:r>
          </w:p>
        </w:tc>
        <w:tc>
          <w:tcPr>
            <w:tcW w:w="1808" w:type="dxa"/>
            <w:noWrap w:val="0"/>
            <w:vAlign w:val="center"/>
          </w:tcPr>
          <w:p w14:paraId="656CE09B">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cs="Times New Roman"/>
                <w:color w:val="000000" w:themeColor="text1"/>
                <w:kern w:val="0"/>
                <w:sz w:val="21"/>
                <w:szCs w:val="21"/>
                <w:highlight w:val="none"/>
                <w:lang w:val="en-US" w:eastAsia="zh-CN"/>
                <w14:textFill>
                  <w14:solidFill>
                    <w14:schemeClr w14:val="tx1"/>
                  </w14:solidFill>
                </w14:textFill>
              </w:rPr>
              <w:t xml:space="preserve">26.63 </w:t>
            </w:r>
          </w:p>
        </w:tc>
        <w:tc>
          <w:tcPr>
            <w:tcW w:w="2110" w:type="dxa"/>
            <w:noWrap w:val="0"/>
            <w:vAlign w:val="center"/>
          </w:tcPr>
          <w:p w14:paraId="352D8478">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cs="Times New Roman"/>
                <w:color w:val="000000" w:themeColor="text1"/>
                <w:kern w:val="0"/>
                <w:sz w:val="21"/>
                <w:szCs w:val="21"/>
                <w:highlight w:val="none"/>
                <w:lang w:val="en-US" w:eastAsia="zh-CN"/>
                <w14:textFill>
                  <w14:solidFill>
                    <w14:schemeClr w14:val="tx1"/>
                  </w14:solidFill>
                </w14:textFill>
              </w:rPr>
              <w:t xml:space="preserve">0.533 </w:t>
            </w:r>
          </w:p>
        </w:tc>
        <w:tc>
          <w:tcPr>
            <w:tcW w:w="584" w:type="pct"/>
            <w:vMerge w:val="continue"/>
            <w:noWrap w:val="0"/>
            <w:vAlign w:val="center"/>
          </w:tcPr>
          <w:p w14:paraId="0719442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531" w:type="pct"/>
            <w:vMerge w:val="continue"/>
            <w:noWrap w:val="0"/>
            <w:vAlign w:val="center"/>
          </w:tcPr>
          <w:p w14:paraId="26ADF6AA">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952" w:type="pct"/>
            <w:vMerge w:val="continue"/>
            <w:noWrap w:val="0"/>
            <w:vAlign w:val="center"/>
          </w:tcPr>
          <w:p w14:paraId="55A71B0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bl>
    <w:p w14:paraId="7895C759">
      <w:pPr>
        <w:pStyle w:val="48"/>
        <w:keepNext w:val="0"/>
        <w:keepLines w:val="0"/>
        <w:pageBreakBefore w:val="0"/>
        <w:widowControl w:val="0"/>
        <w:kinsoku/>
        <w:wordWrap/>
        <w:overflowPunct/>
        <w:topLinePunct w:val="0"/>
        <w:autoSpaceDE/>
        <w:autoSpaceDN/>
        <w:bidi w:val="0"/>
        <w:adjustRightInd w:val="0"/>
        <w:snapToGrid w:val="0"/>
        <w:spacing w:before="164" w:beforeLines="50" w:line="360" w:lineRule="auto"/>
        <w:textAlignment w:val="auto"/>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2、废气排放口基本情况及监测计划</w:t>
      </w:r>
    </w:p>
    <w:p w14:paraId="77F2A4A1">
      <w:pPr>
        <w:pStyle w:val="19"/>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宋体"/>
          <w:color w:val="000000" w:themeColor="text1"/>
          <w:spacing w:val="-9"/>
          <w:kern w:val="0"/>
          <w:sz w:val="24"/>
          <w:szCs w:val="21"/>
          <w:highlight w:val="none"/>
          <w:lang w:val="zh-CN" w:eastAsia="zh-CN" w:bidi="ar-SA"/>
          <w14:textFill>
            <w14:solidFill>
              <w14:schemeClr w14:val="tx1"/>
            </w14:solidFill>
          </w14:textFill>
        </w:rPr>
      </w:pPr>
      <w:r>
        <w:rPr>
          <w:rFonts w:hint="eastAsia" w:ascii="Times New Roman" w:hAnsi="Times New Roman" w:eastAsia="宋体" w:cs="宋体"/>
          <w:color w:val="000000" w:themeColor="text1"/>
          <w:spacing w:val="-9"/>
          <w:kern w:val="0"/>
          <w:sz w:val="24"/>
          <w:szCs w:val="21"/>
          <w:highlight w:val="none"/>
          <w:lang w:val="en-US" w:eastAsia="zh-CN" w:bidi="ar-SA"/>
          <w14:textFill>
            <w14:solidFill>
              <w14:schemeClr w14:val="tx1"/>
            </w14:solidFill>
          </w14:textFill>
        </w:rPr>
        <w:t>根据</w:t>
      </w:r>
      <w:r>
        <w:rPr>
          <w:rFonts w:hint="eastAsia" w:ascii="Times New Roman" w:hAnsi="Times New Roman" w:eastAsia="宋体" w:cs="宋体"/>
          <w:color w:val="000000" w:themeColor="text1"/>
          <w:spacing w:val="-9"/>
          <w:kern w:val="0"/>
          <w:sz w:val="24"/>
          <w:szCs w:val="21"/>
          <w:highlight w:val="none"/>
          <w:lang w:val="zh-CN" w:eastAsia="zh-CN" w:bidi="ar-SA"/>
          <w14:textFill>
            <w14:solidFill>
              <w14:schemeClr w14:val="tx1"/>
            </w14:solidFill>
          </w14:textFill>
        </w:rPr>
        <w:t>《排污单位自行监测技术指南</w:t>
      </w:r>
      <w:r>
        <w:rPr>
          <w:rFonts w:hint="eastAsia" w:ascii="Times New Roman" w:hAnsi="Times New Roman" w:eastAsia="宋体" w:cs="宋体"/>
          <w:color w:val="000000" w:themeColor="text1"/>
          <w:spacing w:val="-9"/>
          <w:kern w:val="0"/>
          <w:sz w:val="24"/>
          <w:szCs w:val="21"/>
          <w:highlight w:val="none"/>
          <w:lang w:val="en-US" w:eastAsia="zh-CN" w:bidi="ar-SA"/>
          <w14:textFill>
            <w14:solidFill>
              <w14:schemeClr w14:val="tx1"/>
            </w14:solidFill>
          </w14:textFill>
        </w:rPr>
        <w:t xml:space="preserve"> </w:t>
      </w:r>
      <w:r>
        <w:rPr>
          <w:rFonts w:hint="eastAsia" w:ascii="Times New Roman" w:hAnsi="Times New Roman" w:eastAsia="宋体" w:cs="宋体"/>
          <w:color w:val="000000" w:themeColor="text1"/>
          <w:spacing w:val="-9"/>
          <w:kern w:val="0"/>
          <w:sz w:val="24"/>
          <w:szCs w:val="21"/>
          <w:highlight w:val="none"/>
          <w:lang w:val="zh-CN" w:eastAsia="zh-CN" w:bidi="ar-SA"/>
          <w14:textFill>
            <w14:solidFill>
              <w14:schemeClr w14:val="tx1"/>
            </w14:solidFill>
          </w14:textFill>
        </w:rPr>
        <w:t>总则》（HJ</w:t>
      </w:r>
      <w:r>
        <w:rPr>
          <w:rFonts w:hint="eastAsia" w:ascii="Times New Roman" w:hAnsi="Times New Roman" w:eastAsia="宋体" w:cs="宋体"/>
          <w:color w:val="000000" w:themeColor="text1"/>
          <w:spacing w:val="-9"/>
          <w:kern w:val="0"/>
          <w:sz w:val="24"/>
          <w:szCs w:val="21"/>
          <w:highlight w:val="none"/>
          <w:lang w:val="en-US" w:eastAsia="zh-CN" w:bidi="ar-SA"/>
          <w14:textFill>
            <w14:solidFill>
              <w14:schemeClr w14:val="tx1"/>
            </w14:solidFill>
          </w14:textFill>
        </w:rPr>
        <w:t xml:space="preserve"> </w:t>
      </w:r>
      <w:r>
        <w:rPr>
          <w:rFonts w:hint="eastAsia" w:ascii="Times New Roman" w:hAnsi="Times New Roman" w:eastAsia="宋体" w:cs="宋体"/>
          <w:color w:val="000000" w:themeColor="text1"/>
          <w:spacing w:val="-9"/>
          <w:kern w:val="0"/>
          <w:sz w:val="24"/>
          <w:szCs w:val="21"/>
          <w:highlight w:val="none"/>
          <w:lang w:val="zh-CN" w:eastAsia="zh-CN" w:bidi="ar-SA"/>
          <w14:textFill>
            <w14:solidFill>
              <w14:schemeClr w14:val="tx1"/>
            </w14:solidFill>
          </w14:textFill>
        </w:rPr>
        <w:t>819-2017）、</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排污单位自行监测技术指南  橡胶和塑料制品</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TimesNewRomanPSMT" w:cs="Times New Roman"/>
          <w:color w:val="000000" w:themeColor="text1"/>
          <w:sz w:val="24"/>
          <w:szCs w:val="24"/>
          <w14:textFill>
            <w14:solidFill>
              <w14:schemeClr w14:val="tx1"/>
            </w14:solidFill>
          </w14:textFill>
        </w:rPr>
        <w:t>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1</w:t>
      </w:r>
      <w:r>
        <w:rPr>
          <w:rFonts w:hint="default" w:ascii="Times New Roman" w:hAnsi="Times New Roman" w:cs="Times New Roman"/>
          <w:color w:val="000000" w:themeColor="text1"/>
          <w:sz w:val="24"/>
          <w:szCs w:val="24"/>
          <w:lang w:val="en-US" w:eastAsia="zh-CN"/>
          <w14:textFill>
            <w14:solidFill>
              <w14:schemeClr w14:val="tx1"/>
            </w14:solidFill>
          </w14:textFill>
        </w:rPr>
        <w:t>207</w:t>
      </w:r>
      <w:r>
        <w:rPr>
          <w:rFonts w:hint="default" w:ascii="Times New Roman" w:hAnsi="Times New Roman" w:eastAsia="TimesNewRomanPSMT"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宋体" w:hAnsi="宋体"/>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lang w:val="en-US" w:eastAsia="zh-CN"/>
          <w14:textFill>
            <w14:solidFill>
              <w14:schemeClr w14:val="tx1"/>
            </w14:solidFill>
          </w14:textFill>
        </w:rPr>
        <w:t>排污单位自行监测技术指南  涂装</w:t>
      </w:r>
      <w:r>
        <w:rPr>
          <w:rFonts w:hint="eastAsia" w:ascii="宋体" w:hAnsi="宋体"/>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HJ 1086-2020</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等</w:t>
      </w:r>
      <w:r>
        <w:rPr>
          <w:rFonts w:hint="eastAsia" w:ascii="Times New Roman" w:hAnsi="Times New Roman" w:eastAsia="宋体" w:cs="宋体"/>
          <w:color w:val="000000" w:themeColor="text1"/>
          <w:spacing w:val="-9"/>
          <w:kern w:val="0"/>
          <w:sz w:val="24"/>
          <w:szCs w:val="21"/>
          <w:highlight w:val="none"/>
          <w:lang w:val="zh-CN" w:eastAsia="zh-CN" w:bidi="ar-SA"/>
          <w14:textFill>
            <w14:solidFill>
              <w14:schemeClr w14:val="tx1"/>
            </w14:solidFill>
          </w14:textFill>
        </w:rPr>
        <w:t>相关要求，结合项目特点，本项目废气监测要求如下</w:t>
      </w:r>
      <w:r>
        <w:rPr>
          <w:rFonts w:hint="eastAsia" w:cs="宋体"/>
          <w:color w:val="000000" w:themeColor="text1"/>
          <w:spacing w:val="-9"/>
          <w:kern w:val="0"/>
          <w:sz w:val="24"/>
          <w:szCs w:val="21"/>
          <w:highlight w:val="none"/>
          <w:lang w:val="zh-CN" w:eastAsia="zh-CN" w:bidi="ar-SA"/>
          <w14:textFill>
            <w14:solidFill>
              <w14:schemeClr w14:val="tx1"/>
            </w14:solidFill>
          </w14:textFill>
        </w:rPr>
        <w:t>：</w:t>
      </w:r>
    </w:p>
    <w:p w14:paraId="58AED84B">
      <w:pPr>
        <w:pStyle w:val="35"/>
        <w:rPr>
          <w:rFonts w:hint="eastAsia" w:cs="宋体"/>
          <w:color w:val="000000" w:themeColor="text1"/>
          <w:spacing w:val="-9"/>
          <w:kern w:val="0"/>
          <w:sz w:val="24"/>
          <w:szCs w:val="21"/>
          <w:highlight w:val="none"/>
          <w:lang w:val="zh-CN" w:eastAsia="zh-CN" w:bidi="ar-SA"/>
          <w14:textFill>
            <w14:solidFill>
              <w14:schemeClr w14:val="tx1"/>
            </w14:solidFill>
          </w14:textFill>
        </w:rPr>
      </w:pPr>
    </w:p>
    <w:p w14:paraId="182BBDC4">
      <w:pPr>
        <w:pStyle w:val="34"/>
        <w:rPr>
          <w:rFonts w:hint="default"/>
          <w:color w:val="000000" w:themeColor="text1"/>
          <w:lang w:val="en-US" w:eastAsia="zh-CN"/>
          <w14:textFill>
            <w14:solidFill>
              <w14:schemeClr w14:val="tx1"/>
            </w14:solidFill>
          </w14:textFill>
        </w:rPr>
      </w:pPr>
    </w:p>
    <w:p w14:paraId="646C3CA2">
      <w:pPr>
        <w:rPr>
          <w:rFonts w:hint="default"/>
          <w:color w:val="000000" w:themeColor="text1"/>
          <w:lang w:val="en-US" w:eastAsia="zh-CN"/>
          <w14:textFill>
            <w14:solidFill>
              <w14:schemeClr w14:val="tx1"/>
            </w14:solidFill>
          </w14:textFill>
        </w:rPr>
      </w:pPr>
    </w:p>
    <w:p w14:paraId="2D6A9E11">
      <w:pPr>
        <w:pStyle w:val="57"/>
        <w:numPr>
          <w:ilvl w:val="3"/>
          <w:numId w:val="19"/>
        </w:numPr>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项目排放口设置及大气污染物监测计划</w:t>
      </w:r>
      <w:r>
        <w:rPr>
          <w:color w:val="000000" w:themeColor="text1"/>
          <w:lang w:eastAsia="zh-CN"/>
          <w14:textFill>
            <w14:solidFill>
              <w14:schemeClr w14:val="tx1"/>
            </w14:solidFill>
          </w14:textFill>
        </w:rPr>
        <w:t>表</w:t>
      </w:r>
    </w:p>
    <w:tbl>
      <w:tblPr>
        <w:tblStyle w:val="166"/>
        <w:tblW w:w="4999"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30"/>
        <w:gridCol w:w="983"/>
        <w:gridCol w:w="565"/>
        <w:gridCol w:w="776"/>
        <w:gridCol w:w="786"/>
        <w:gridCol w:w="1202"/>
        <w:gridCol w:w="856"/>
        <w:gridCol w:w="1097"/>
        <w:gridCol w:w="930"/>
        <w:gridCol w:w="1027"/>
        <w:gridCol w:w="4292"/>
      </w:tblGrid>
      <w:tr w14:paraId="2EB1F17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restart"/>
            <w:noWrap w:val="0"/>
            <w:vAlign w:val="center"/>
          </w:tcPr>
          <w:p w14:paraId="7D4A1D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eastAsia="宋体" w:cs="Times New Roman"/>
                <w:b/>
                <w:color w:val="000000" w:themeColor="text1"/>
                <w:kern w:val="0"/>
                <w:sz w:val="21"/>
                <w:szCs w:val="21"/>
                <w:highlight w:val="none"/>
                <w14:textFill>
                  <w14:solidFill>
                    <w14:schemeClr w14:val="tx1"/>
                  </w14:solidFill>
                </w14:textFill>
              </w:rPr>
            </w:pPr>
            <w:r>
              <w:rPr>
                <w:rFonts w:ascii="宋体" w:hAnsi="宋体" w:eastAsia="宋体" w:cs="Times New Roman"/>
                <w:b/>
                <w:color w:val="000000" w:themeColor="text1"/>
                <w:kern w:val="0"/>
                <w:sz w:val="21"/>
                <w:szCs w:val="21"/>
                <w:highlight w:val="none"/>
                <w14:textFill>
                  <w14:solidFill>
                    <w14:schemeClr w14:val="tx1"/>
                  </w14:solidFill>
                </w14:textFill>
              </w:rPr>
              <w:t>污染源</w:t>
            </w:r>
          </w:p>
          <w:p w14:paraId="50506F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eastAsia="宋体" w:cs="Times New Roman"/>
                <w:b/>
                <w:color w:val="000000" w:themeColor="text1"/>
                <w:kern w:val="0"/>
                <w:sz w:val="21"/>
                <w:szCs w:val="21"/>
                <w:highlight w:val="none"/>
                <w14:textFill>
                  <w14:solidFill>
                    <w14:schemeClr w14:val="tx1"/>
                  </w14:solidFill>
                </w14:textFill>
              </w:rPr>
            </w:pPr>
            <w:r>
              <w:rPr>
                <w:rFonts w:ascii="宋体" w:hAnsi="宋体" w:eastAsia="宋体" w:cs="Times New Roman"/>
                <w:b/>
                <w:color w:val="000000" w:themeColor="text1"/>
                <w:kern w:val="0"/>
                <w:sz w:val="21"/>
                <w:szCs w:val="21"/>
                <w:highlight w:val="none"/>
                <w14:textFill>
                  <w14:solidFill>
                    <w14:schemeClr w14:val="tx1"/>
                  </w14:solidFill>
                </w14:textFill>
              </w:rPr>
              <w:t>类别</w:t>
            </w:r>
          </w:p>
        </w:tc>
        <w:tc>
          <w:tcPr>
            <w:tcW w:w="371" w:type="pct"/>
            <w:vMerge w:val="restart"/>
            <w:noWrap w:val="0"/>
            <w:vAlign w:val="center"/>
          </w:tcPr>
          <w:p w14:paraId="1A4990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eastAsia="宋体" w:cs="Times New Roman"/>
                <w:b/>
                <w:color w:val="000000" w:themeColor="text1"/>
                <w:kern w:val="0"/>
                <w:sz w:val="21"/>
                <w:szCs w:val="21"/>
                <w:highlight w:val="none"/>
                <w14:textFill>
                  <w14:solidFill>
                    <w14:schemeClr w14:val="tx1"/>
                  </w14:solidFill>
                </w14:textFill>
              </w:rPr>
            </w:pPr>
            <w:r>
              <w:rPr>
                <w:rFonts w:ascii="宋体" w:hAnsi="宋体" w:eastAsia="宋体" w:cs="Times New Roman"/>
                <w:b/>
                <w:color w:val="000000" w:themeColor="text1"/>
                <w:kern w:val="0"/>
                <w:sz w:val="21"/>
                <w:szCs w:val="21"/>
                <w:highlight w:val="none"/>
                <w14:textFill>
                  <w14:solidFill>
                    <w14:schemeClr w14:val="tx1"/>
                  </w14:solidFill>
                </w14:textFill>
              </w:rPr>
              <w:t>排放口编号及名称</w:t>
            </w:r>
          </w:p>
        </w:tc>
        <w:tc>
          <w:tcPr>
            <w:tcW w:w="1579" w:type="pct"/>
            <w:gridSpan w:val="5"/>
            <w:noWrap w:val="0"/>
            <w:vAlign w:val="center"/>
          </w:tcPr>
          <w:p w14:paraId="5449BE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eastAsia="宋体" w:cs="Times New Roman"/>
                <w:b/>
                <w:color w:val="000000" w:themeColor="text1"/>
                <w:kern w:val="0"/>
                <w:sz w:val="21"/>
                <w:szCs w:val="21"/>
                <w:highlight w:val="none"/>
                <w14:textFill>
                  <w14:solidFill>
                    <w14:schemeClr w14:val="tx1"/>
                  </w14:solidFill>
                </w14:textFill>
              </w:rPr>
            </w:pPr>
            <w:r>
              <w:rPr>
                <w:rFonts w:ascii="宋体" w:hAnsi="宋体" w:eastAsia="宋体" w:cs="Times New Roman"/>
                <w:b/>
                <w:color w:val="000000" w:themeColor="text1"/>
                <w:kern w:val="0"/>
                <w:sz w:val="21"/>
                <w:szCs w:val="21"/>
                <w:highlight w:val="none"/>
                <w14:textFill>
                  <w14:solidFill>
                    <w14:schemeClr w14:val="tx1"/>
                  </w14:solidFill>
                </w14:textFill>
              </w:rPr>
              <w:t>排放口基本情况</w:t>
            </w:r>
          </w:p>
        </w:tc>
        <w:tc>
          <w:tcPr>
            <w:tcW w:w="2773" w:type="pct"/>
            <w:gridSpan w:val="4"/>
            <w:noWrap w:val="0"/>
            <w:vAlign w:val="center"/>
          </w:tcPr>
          <w:p w14:paraId="07A04F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宋体" w:hAnsi="宋体" w:eastAsia="宋体" w:cs="Times New Roman"/>
                <w:b/>
                <w:color w:val="000000" w:themeColor="text1"/>
                <w:kern w:val="0"/>
                <w:sz w:val="21"/>
                <w:szCs w:val="21"/>
                <w:highlight w:val="none"/>
                <w14:textFill>
                  <w14:solidFill>
                    <w14:schemeClr w14:val="tx1"/>
                  </w14:solidFill>
                </w14:textFill>
              </w:rPr>
            </w:pPr>
            <w:r>
              <w:rPr>
                <w:rFonts w:ascii="宋体" w:hAnsi="宋体" w:eastAsia="宋体" w:cs="Times New Roman"/>
                <w:b/>
                <w:color w:val="000000" w:themeColor="text1"/>
                <w:kern w:val="0"/>
                <w:sz w:val="21"/>
                <w:szCs w:val="21"/>
                <w:highlight w:val="none"/>
                <w14:textFill>
                  <w14:solidFill>
                    <w14:schemeClr w14:val="tx1"/>
                  </w14:solidFill>
                </w14:textFill>
              </w:rPr>
              <w:t>监测要求</w:t>
            </w:r>
          </w:p>
        </w:tc>
      </w:tr>
      <w:tr w14:paraId="114B1B3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1C9358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0F4CC2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p>
        </w:tc>
        <w:tc>
          <w:tcPr>
            <w:tcW w:w="213" w:type="pct"/>
            <w:noWrap w:val="0"/>
            <w:vAlign w:val="center"/>
          </w:tcPr>
          <w:p w14:paraId="32A46E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高(m)</w:t>
            </w:r>
          </w:p>
        </w:tc>
        <w:tc>
          <w:tcPr>
            <w:tcW w:w="292" w:type="pct"/>
            <w:noWrap w:val="0"/>
            <w:vAlign w:val="center"/>
          </w:tcPr>
          <w:p w14:paraId="5B5974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内径(m)</w:t>
            </w:r>
          </w:p>
        </w:tc>
        <w:tc>
          <w:tcPr>
            <w:tcW w:w="296" w:type="pct"/>
            <w:noWrap w:val="0"/>
            <w:vAlign w:val="center"/>
          </w:tcPr>
          <w:p w14:paraId="4B6FDE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温度(℃)</w:t>
            </w:r>
          </w:p>
        </w:tc>
        <w:tc>
          <w:tcPr>
            <w:tcW w:w="453" w:type="pct"/>
            <w:noWrap w:val="0"/>
            <w:vAlign w:val="center"/>
          </w:tcPr>
          <w:p w14:paraId="3D1720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坐标</w:t>
            </w:r>
          </w:p>
        </w:tc>
        <w:tc>
          <w:tcPr>
            <w:tcW w:w="323" w:type="pct"/>
            <w:noWrap w:val="0"/>
            <w:vAlign w:val="center"/>
          </w:tcPr>
          <w:p w14:paraId="39EA4A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类型</w:t>
            </w:r>
          </w:p>
        </w:tc>
        <w:tc>
          <w:tcPr>
            <w:tcW w:w="414" w:type="pct"/>
            <w:noWrap w:val="0"/>
            <w:vAlign w:val="center"/>
          </w:tcPr>
          <w:p w14:paraId="6429B1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监测点位</w:t>
            </w:r>
          </w:p>
        </w:tc>
        <w:tc>
          <w:tcPr>
            <w:tcW w:w="351" w:type="pct"/>
            <w:noWrap w:val="0"/>
            <w:vAlign w:val="center"/>
          </w:tcPr>
          <w:p w14:paraId="118EA84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监测因子</w:t>
            </w:r>
          </w:p>
        </w:tc>
        <w:tc>
          <w:tcPr>
            <w:tcW w:w="387" w:type="pct"/>
            <w:noWrap w:val="0"/>
            <w:vAlign w:val="center"/>
          </w:tcPr>
          <w:p w14:paraId="26E8AB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b/>
                <w:color w:val="000000" w:themeColor="text1"/>
                <w:kern w:val="0"/>
                <w:sz w:val="21"/>
                <w:szCs w:val="21"/>
                <w:highlight w:val="none"/>
                <w14:textFill>
                  <w14:solidFill>
                    <w14:schemeClr w14:val="tx1"/>
                  </w14:solidFill>
                </w14:textFill>
              </w:rPr>
            </w:pPr>
            <w:r>
              <w:rPr>
                <w:rFonts w:cs="Times New Roman"/>
                <w:b/>
                <w:color w:val="000000" w:themeColor="text1"/>
                <w:kern w:val="0"/>
                <w:sz w:val="21"/>
                <w:szCs w:val="21"/>
                <w:highlight w:val="none"/>
                <w14:textFill>
                  <w14:solidFill>
                    <w14:schemeClr w14:val="tx1"/>
                  </w14:solidFill>
                </w14:textFill>
              </w:rPr>
              <w:t>监测频次</w:t>
            </w:r>
          </w:p>
        </w:tc>
        <w:tc>
          <w:tcPr>
            <w:tcW w:w="1620" w:type="pct"/>
            <w:noWrap w:val="0"/>
            <w:vAlign w:val="center"/>
          </w:tcPr>
          <w:p w14:paraId="6871570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cs="Times New Roman"/>
                <w:b/>
                <w:color w:val="000000" w:themeColor="text1"/>
                <w:kern w:val="0"/>
                <w:sz w:val="21"/>
                <w:szCs w:val="21"/>
                <w:highlight w:val="none"/>
                <w:lang w:val="en-US" w:eastAsia="zh-CN"/>
                <w14:textFill>
                  <w14:solidFill>
                    <w14:schemeClr w14:val="tx1"/>
                  </w14:solidFill>
                </w14:textFill>
              </w:rPr>
              <w:t>执行标准</w:t>
            </w:r>
          </w:p>
        </w:tc>
      </w:tr>
      <w:tr w14:paraId="271E0F6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restart"/>
            <w:noWrap w:val="0"/>
            <w:vAlign w:val="center"/>
          </w:tcPr>
          <w:p w14:paraId="1D571C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有组织</w:t>
            </w:r>
          </w:p>
        </w:tc>
        <w:tc>
          <w:tcPr>
            <w:tcW w:w="371" w:type="pct"/>
            <w:vMerge w:val="restart"/>
            <w:noWrap w:val="0"/>
            <w:vAlign w:val="center"/>
          </w:tcPr>
          <w:p w14:paraId="0D00DCE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color w:val="000000" w:themeColor="text1"/>
                <w:kern w:val="0"/>
                <w:sz w:val="21"/>
                <w:szCs w:val="21"/>
                <w:highlight w:val="none"/>
                <w:lang w:eastAsia="zh-CN"/>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DA0</w:t>
            </w:r>
            <w:r>
              <w:rPr>
                <w:rFonts w:hint="eastAsia" w:cs="Times New Roman"/>
                <w:color w:val="000000" w:themeColor="text1"/>
                <w:kern w:val="0"/>
                <w:sz w:val="21"/>
                <w:szCs w:val="21"/>
                <w:highlight w:val="none"/>
                <w14:textFill>
                  <w14:solidFill>
                    <w14:schemeClr w14:val="tx1"/>
                  </w14:solidFill>
                </w14:textFill>
              </w:rPr>
              <w:t>0</w:t>
            </w:r>
            <w:r>
              <w:rPr>
                <w:rFonts w:hint="eastAsia" w:cs="Times New Roman"/>
                <w:color w:val="000000" w:themeColor="text1"/>
                <w:kern w:val="0"/>
                <w:sz w:val="21"/>
                <w:szCs w:val="21"/>
                <w:highlight w:val="none"/>
                <w:lang w:val="en-US" w:eastAsia="zh-CN"/>
                <w14:textFill>
                  <w14:solidFill>
                    <w14:schemeClr w14:val="tx1"/>
                  </w14:solidFill>
                </w14:textFill>
              </w:rPr>
              <w:t>1</w:t>
            </w:r>
          </w:p>
        </w:tc>
        <w:tc>
          <w:tcPr>
            <w:tcW w:w="213" w:type="pct"/>
            <w:vMerge w:val="restart"/>
            <w:noWrap w:val="0"/>
            <w:vAlign w:val="center"/>
          </w:tcPr>
          <w:p w14:paraId="4FCC3D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30</w:t>
            </w:r>
          </w:p>
        </w:tc>
        <w:tc>
          <w:tcPr>
            <w:tcW w:w="292" w:type="pct"/>
            <w:vMerge w:val="restart"/>
            <w:noWrap w:val="0"/>
            <w:vAlign w:val="center"/>
          </w:tcPr>
          <w:p w14:paraId="726565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0.6</w:t>
            </w:r>
          </w:p>
        </w:tc>
        <w:tc>
          <w:tcPr>
            <w:tcW w:w="296" w:type="pct"/>
            <w:vMerge w:val="restart"/>
            <w:noWrap w:val="0"/>
            <w:vAlign w:val="center"/>
          </w:tcPr>
          <w:p w14:paraId="2EB5FF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20</w:t>
            </w:r>
          </w:p>
        </w:tc>
        <w:tc>
          <w:tcPr>
            <w:tcW w:w="453" w:type="pct"/>
            <w:vMerge w:val="restart"/>
            <w:noWrap w:val="0"/>
            <w:vAlign w:val="center"/>
          </w:tcPr>
          <w:p w14:paraId="3D73D1F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E</w:t>
            </w:r>
            <w:r>
              <w:rPr>
                <w:rFonts w:hint="eastAsia" w:cs="Times New Roman"/>
                <w:color w:val="000000" w:themeColor="text1"/>
                <w:kern w:val="0"/>
                <w:sz w:val="21"/>
                <w:szCs w:val="21"/>
                <w:highlight w:val="none"/>
                <w14:textFill>
                  <w14:solidFill>
                    <w14:schemeClr w14:val="tx1"/>
                  </w14:solidFill>
                </w14:textFill>
              </w:rPr>
              <w:t>114°5</w:t>
            </w:r>
            <w:r>
              <w:rPr>
                <w:rFonts w:hint="eastAsia" w:cs="Times New Roman"/>
                <w:color w:val="000000" w:themeColor="text1"/>
                <w:kern w:val="0"/>
                <w:sz w:val="21"/>
                <w:szCs w:val="21"/>
                <w:highlight w:val="none"/>
                <w:lang w:val="en-US" w:eastAsia="zh-CN"/>
                <w14:textFill>
                  <w14:solidFill>
                    <w14:schemeClr w14:val="tx1"/>
                  </w14:solidFill>
                </w14:textFill>
              </w:rPr>
              <w:t>0</w:t>
            </w:r>
            <w:r>
              <w:rPr>
                <w:rFonts w:hint="eastAsia" w:cs="Times New Roman"/>
                <w:color w:val="000000" w:themeColor="text1"/>
                <w:kern w:val="0"/>
                <w:sz w:val="21"/>
                <w:szCs w:val="21"/>
                <w:highlight w:val="none"/>
                <w14:textFill>
                  <w14:solidFill>
                    <w14:schemeClr w14:val="tx1"/>
                  </w14:solidFill>
                </w14:textFill>
              </w:rPr>
              <w:t>′</w:t>
            </w:r>
            <w:r>
              <w:rPr>
                <w:rFonts w:hint="eastAsia" w:cs="Times New Roman"/>
                <w:color w:val="000000" w:themeColor="text1"/>
                <w:kern w:val="0"/>
                <w:sz w:val="21"/>
                <w:szCs w:val="21"/>
                <w:highlight w:val="none"/>
                <w:lang w:val="en-US" w:eastAsia="zh-CN"/>
                <w14:textFill>
                  <w14:solidFill>
                    <w14:schemeClr w14:val="tx1"/>
                  </w14:solidFill>
                </w14:textFill>
              </w:rPr>
              <w:t>35.380</w:t>
            </w:r>
            <w:r>
              <w:rPr>
                <w:rFonts w:hint="eastAsia" w:cs="Times New Roman"/>
                <w:color w:val="000000" w:themeColor="text1"/>
                <w:kern w:val="0"/>
                <w:sz w:val="21"/>
                <w:szCs w:val="21"/>
                <w:highlight w:val="none"/>
                <w14:textFill>
                  <w14:solidFill>
                    <w14:schemeClr w14:val="tx1"/>
                  </w14:solidFill>
                </w14:textFill>
              </w:rPr>
              <w:t>″</w:t>
            </w:r>
            <w:r>
              <w:rPr>
                <w:rFonts w:hint="eastAsia" w:cs="Times New Roman"/>
                <w:color w:val="000000" w:themeColor="text1"/>
                <w:kern w:val="0"/>
                <w:sz w:val="21"/>
                <w:szCs w:val="21"/>
                <w:highlight w:val="none"/>
                <w:lang w:eastAsia="zh-CN"/>
                <w14:textFill>
                  <w14:solidFill>
                    <w14:schemeClr w14:val="tx1"/>
                  </w14:solidFill>
                </w14:textFill>
              </w:rPr>
              <w:t>，</w:t>
            </w:r>
            <w:r>
              <w:rPr>
                <w:rFonts w:hint="eastAsia" w:cs="Times New Roman"/>
                <w:color w:val="000000" w:themeColor="text1"/>
                <w:kern w:val="0"/>
                <w:sz w:val="21"/>
                <w:szCs w:val="21"/>
                <w:highlight w:val="none"/>
                <w:lang w:val="en-US" w:eastAsia="zh-CN"/>
                <w14:textFill>
                  <w14:solidFill>
                    <w14:schemeClr w14:val="tx1"/>
                  </w14:solidFill>
                </w14:textFill>
              </w:rPr>
              <w:t>N</w:t>
            </w:r>
            <w:r>
              <w:rPr>
                <w:rFonts w:hint="eastAsia" w:cs="Times New Roman"/>
                <w:color w:val="000000" w:themeColor="text1"/>
                <w:kern w:val="0"/>
                <w:sz w:val="21"/>
                <w:szCs w:val="21"/>
                <w:highlight w:val="none"/>
                <w14:textFill>
                  <w14:solidFill>
                    <w14:schemeClr w14:val="tx1"/>
                  </w14:solidFill>
                </w14:textFill>
              </w:rPr>
              <w:t>28°21′</w:t>
            </w:r>
            <w:r>
              <w:rPr>
                <w:rFonts w:hint="eastAsia" w:cs="Times New Roman"/>
                <w:color w:val="000000" w:themeColor="text1"/>
                <w:kern w:val="0"/>
                <w:sz w:val="21"/>
                <w:szCs w:val="21"/>
                <w:highlight w:val="none"/>
                <w:lang w:val="en-US" w:eastAsia="zh-CN"/>
                <w14:textFill>
                  <w14:solidFill>
                    <w14:schemeClr w14:val="tx1"/>
                  </w14:solidFill>
                </w14:textFill>
              </w:rPr>
              <w:t>34.669</w:t>
            </w:r>
            <w:r>
              <w:rPr>
                <w:rFonts w:hint="eastAsia" w:cs="Times New Roman"/>
                <w:color w:val="000000" w:themeColor="text1"/>
                <w:kern w:val="0"/>
                <w:sz w:val="21"/>
                <w:szCs w:val="21"/>
                <w:highlight w:val="none"/>
                <w14:textFill>
                  <w14:solidFill>
                    <w14:schemeClr w14:val="tx1"/>
                  </w14:solidFill>
                </w14:textFill>
              </w:rPr>
              <w:t>″</w:t>
            </w:r>
          </w:p>
        </w:tc>
        <w:tc>
          <w:tcPr>
            <w:tcW w:w="323" w:type="pct"/>
            <w:vMerge w:val="restart"/>
            <w:noWrap w:val="0"/>
            <w:vAlign w:val="center"/>
          </w:tcPr>
          <w:p w14:paraId="7DDFB5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一般排放口</w:t>
            </w:r>
          </w:p>
        </w:tc>
        <w:tc>
          <w:tcPr>
            <w:tcW w:w="414" w:type="pct"/>
            <w:vMerge w:val="restart"/>
            <w:noWrap w:val="0"/>
            <w:vAlign w:val="center"/>
          </w:tcPr>
          <w:p w14:paraId="5B5D9E7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DA0</w:t>
            </w:r>
            <w:r>
              <w:rPr>
                <w:rFonts w:hint="eastAsia" w:cs="Times New Roman"/>
                <w:color w:val="000000" w:themeColor="text1"/>
                <w:kern w:val="0"/>
                <w:sz w:val="21"/>
                <w:szCs w:val="21"/>
                <w:highlight w:val="none"/>
                <w14:textFill>
                  <w14:solidFill>
                    <w14:schemeClr w14:val="tx1"/>
                  </w14:solidFill>
                </w14:textFill>
              </w:rPr>
              <w:t>0</w:t>
            </w:r>
            <w:r>
              <w:rPr>
                <w:rFonts w:hint="eastAsia" w:cs="Times New Roman"/>
                <w:color w:val="000000" w:themeColor="text1"/>
                <w:kern w:val="0"/>
                <w:sz w:val="21"/>
                <w:szCs w:val="21"/>
                <w:highlight w:val="none"/>
                <w:lang w:val="en-US" w:eastAsia="zh-CN"/>
                <w14:textFill>
                  <w14:solidFill>
                    <w14:schemeClr w14:val="tx1"/>
                  </w14:solidFill>
                </w14:textFill>
              </w:rPr>
              <w:t>1</w:t>
            </w:r>
            <w:r>
              <w:rPr>
                <w:rFonts w:cs="Times New Roman"/>
                <w:color w:val="000000" w:themeColor="text1"/>
                <w:kern w:val="0"/>
                <w:sz w:val="21"/>
                <w:szCs w:val="21"/>
                <w:highlight w:val="none"/>
                <w14:textFill>
                  <w14:solidFill>
                    <w14:schemeClr w14:val="tx1"/>
                  </w14:solidFill>
                </w14:textFill>
              </w:rPr>
              <w:t>排气筒监测孔</w:t>
            </w:r>
          </w:p>
        </w:tc>
        <w:tc>
          <w:tcPr>
            <w:tcW w:w="351" w:type="pct"/>
            <w:noWrap w:val="0"/>
            <w:vAlign w:val="center"/>
          </w:tcPr>
          <w:p w14:paraId="1531C1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颗粒物</w:t>
            </w:r>
          </w:p>
        </w:tc>
        <w:tc>
          <w:tcPr>
            <w:tcW w:w="387" w:type="pct"/>
            <w:noWrap w:val="0"/>
            <w:vAlign w:val="center"/>
          </w:tcPr>
          <w:p w14:paraId="6EC9A7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60DEA9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bidi="ar"/>
                <w14:textFill>
                  <w14:solidFill>
                    <w14:schemeClr w14:val="tx1"/>
                  </w14:solidFill>
                </w14:textFill>
              </w:rPr>
              <w:t>《合成树脂工业污染物排放标准》（</w:t>
            </w:r>
            <w:r>
              <w:rPr>
                <w:rFonts w:ascii="Times New Roman" w:hAnsi="Times New Roman" w:eastAsia="宋体" w:cs="Times New Roman"/>
                <w:color w:val="000000" w:themeColor="text1"/>
                <w:sz w:val="21"/>
                <w:szCs w:val="21"/>
                <w:lang w:bidi="ar"/>
                <w14:textFill>
                  <w14:solidFill>
                    <w14:schemeClr w14:val="tx1"/>
                  </w14:solidFill>
                </w14:textFill>
              </w:rPr>
              <w:t>GB</w:t>
            </w:r>
            <w:r>
              <w:rPr>
                <w:rFonts w:hint="eastAsia" w:ascii="Times New Roman" w:hAnsi="Times New Roman" w:eastAsia="宋体" w:cs="Times New Roman"/>
                <w:color w:val="000000" w:themeColor="text1"/>
                <w:sz w:val="21"/>
                <w:szCs w:val="21"/>
                <w:lang w:bidi="ar"/>
                <w14:textFill>
                  <w14:solidFill>
                    <w14:schemeClr w14:val="tx1"/>
                  </w14:solidFill>
                </w14:textFill>
              </w:rPr>
              <w:t>31572</w:t>
            </w:r>
            <w:r>
              <w:rPr>
                <w:rFonts w:ascii="Times New Roman" w:hAnsi="Times New Roman" w:eastAsia="宋体" w:cs="Times New Roman"/>
                <w:color w:val="000000" w:themeColor="text1"/>
                <w:sz w:val="21"/>
                <w:szCs w:val="21"/>
                <w:lang w:bidi="ar"/>
                <w14:textFill>
                  <w14:solidFill>
                    <w14:schemeClr w14:val="tx1"/>
                  </w14:solidFill>
                </w14:textFill>
              </w:rPr>
              <w:t>-201</w:t>
            </w:r>
            <w:r>
              <w:rPr>
                <w:rFonts w:hint="eastAsia" w:ascii="Times New Roman" w:hAnsi="Times New Roman" w:eastAsia="宋体" w:cs="Times New Roman"/>
                <w:color w:val="000000" w:themeColor="text1"/>
                <w:sz w:val="21"/>
                <w:szCs w:val="21"/>
                <w:lang w:bidi="ar"/>
                <w14:textFill>
                  <w14:solidFill>
                    <w14:schemeClr w14:val="tx1"/>
                  </w14:solidFill>
                </w14:textFill>
              </w:rPr>
              <w:t>5</w:t>
            </w:r>
            <w:r>
              <w:rPr>
                <w:rFonts w:hint="eastAsia" w:ascii="Times New Roman" w:hAnsi="Times New Roman" w:eastAsia="宋体" w:cs="Times New Roman"/>
                <w:color w:val="000000" w:themeColor="text1"/>
                <w:sz w:val="21"/>
                <w:szCs w:val="21"/>
                <w:lang w:eastAsia="zh-CN" w:bidi="ar"/>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bidi="ar"/>
                <w14:textFill>
                  <w14:solidFill>
                    <w14:schemeClr w14:val="tx1"/>
                  </w14:solidFill>
                </w14:textFill>
              </w:rPr>
              <w:t>含2024年修改单</w:t>
            </w:r>
            <w:r>
              <w:rPr>
                <w:rFonts w:hint="eastAsia" w:ascii="Times New Roman" w:hAnsi="Times New Roman" w:eastAsia="宋体" w:cs="Times New Roman"/>
                <w:color w:val="000000" w:themeColor="text1"/>
                <w:sz w:val="21"/>
                <w:szCs w:val="21"/>
                <w:lang w:bidi="ar"/>
                <w14:textFill>
                  <w14:solidFill>
                    <w14:schemeClr w14:val="tx1"/>
                  </w14:solidFill>
                </w14:textFill>
              </w:rPr>
              <w:t>）</w:t>
            </w:r>
            <w:r>
              <w:rPr>
                <w:bCs/>
                <w:color w:val="000000" w:themeColor="text1"/>
                <w:sz w:val="21"/>
                <w:szCs w:val="21"/>
                <w14:textFill>
                  <w14:solidFill>
                    <w14:schemeClr w14:val="tx1"/>
                  </w14:solidFill>
                </w14:textFill>
              </w:rPr>
              <w:t>表</w:t>
            </w:r>
            <w:r>
              <w:rPr>
                <w:rFonts w:hint="eastAsia"/>
                <w:bCs/>
                <w:color w:val="000000" w:themeColor="text1"/>
                <w:sz w:val="21"/>
                <w:szCs w:val="21"/>
                <w:lang w:val="en-US" w:eastAsia="zh-CN"/>
                <w14:textFill>
                  <w14:solidFill>
                    <w14:schemeClr w14:val="tx1"/>
                  </w14:solidFill>
                </w14:textFill>
              </w:rPr>
              <w:t>4</w:t>
            </w:r>
            <w:r>
              <w:rPr>
                <w:rFonts w:hint="eastAsia"/>
                <w:bCs/>
                <w:color w:val="000000" w:themeColor="text1"/>
                <w:sz w:val="21"/>
                <w:szCs w:val="21"/>
                <w14:textFill>
                  <w14:solidFill>
                    <w14:schemeClr w14:val="tx1"/>
                  </w14:solidFill>
                </w14:textFill>
              </w:rPr>
              <w:t>标准</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限值</w:t>
            </w:r>
          </w:p>
        </w:tc>
      </w:tr>
      <w:tr w14:paraId="686B2D7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7E95C3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4CDD24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213" w:type="pct"/>
            <w:vMerge w:val="continue"/>
            <w:noWrap w:val="0"/>
            <w:vAlign w:val="center"/>
          </w:tcPr>
          <w:p w14:paraId="71005D4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92" w:type="pct"/>
            <w:vMerge w:val="continue"/>
            <w:noWrap w:val="0"/>
            <w:vAlign w:val="center"/>
          </w:tcPr>
          <w:p w14:paraId="2009D1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p>
        </w:tc>
        <w:tc>
          <w:tcPr>
            <w:tcW w:w="296" w:type="pct"/>
            <w:vMerge w:val="continue"/>
            <w:noWrap w:val="0"/>
            <w:vAlign w:val="center"/>
          </w:tcPr>
          <w:p w14:paraId="23FE3C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p>
        </w:tc>
        <w:tc>
          <w:tcPr>
            <w:tcW w:w="453" w:type="pct"/>
            <w:vMerge w:val="continue"/>
            <w:noWrap w:val="0"/>
            <w:vAlign w:val="center"/>
          </w:tcPr>
          <w:p w14:paraId="0ED883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323" w:type="pct"/>
            <w:vMerge w:val="continue"/>
            <w:noWrap w:val="0"/>
            <w:vAlign w:val="center"/>
          </w:tcPr>
          <w:p w14:paraId="27EAFE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414" w:type="pct"/>
            <w:vMerge w:val="continue"/>
            <w:noWrap w:val="0"/>
            <w:vAlign w:val="center"/>
          </w:tcPr>
          <w:p w14:paraId="4CE521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51" w:type="pct"/>
            <w:noWrap w:val="0"/>
            <w:vAlign w:val="center"/>
          </w:tcPr>
          <w:p w14:paraId="427204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苯乙烯</w:t>
            </w:r>
          </w:p>
        </w:tc>
        <w:tc>
          <w:tcPr>
            <w:tcW w:w="387" w:type="pct"/>
            <w:noWrap w:val="0"/>
            <w:vAlign w:val="center"/>
          </w:tcPr>
          <w:p w14:paraId="74E825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vMerge w:val="restart"/>
            <w:noWrap w:val="0"/>
            <w:vAlign w:val="center"/>
          </w:tcPr>
          <w:p w14:paraId="4A83029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宋体"/>
                <w:color w:val="000000" w:themeColor="text1"/>
                <w:sz w:val="21"/>
                <w:szCs w:val="21"/>
                <w:highlight w:val="none"/>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江西省地方标准</w:t>
            </w:r>
            <w:r>
              <w:rPr>
                <w:rFonts w:hint="eastAsia"/>
                <w:color w:val="000000" w:themeColor="text1"/>
                <w:sz w:val="21"/>
                <w:szCs w:val="21"/>
                <w14:textFill>
                  <w14:solidFill>
                    <w14:schemeClr w14:val="tx1"/>
                  </w14:solidFill>
                </w14:textFill>
              </w:rPr>
              <w:t>《挥发性有机物排放标准第4部分：塑料制品业》（DB36/1101.4-2019）表1</w:t>
            </w:r>
          </w:p>
        </w:tc>
      </w:tr>
      <w:tr w14:paraId="7B208A3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6297CC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431A63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213" w:type="pct"/>
            <w:vMerge w:val="continue"/>
            <w:noWrap w:val="0"/>
            <w:vAlign w:val="center"/>
          </w:tcPr>
          <w:p w14:paraId="0E1A71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92" w:type="pct"/>
            <w:vMerge w:val="continue"/>
            <w:noWrap w:val="0"/>
            <w:vAlign w:val="center"/>
          </w:tcPr>
          <w:p w14:paraId="03C5D2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p>
        </w:tc>
        <w:tc>
          <w:tcPr>
            <w:tcW w:w="296" w:type="pct"/>
            <w:vMerge w:val="continue"/>
            <w:noWrap w:val="0"/>
            <w:vAlign w:val="center"/>
          </w:tcPr>
          <w:p w14:paraId="3E3F4C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p>
        </w:tc>
        <w:tc>
          <w:tcPr>
            <w:tcW w:w="453" w:type="pct"/>
            <w:vMerge w:val="continue"/>
            <w:noWrap w:val="0"/>
            <w:vAlign w:val="center"/>
          </w:tcPr>
          <w:p w14:paraId="066881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323" w:type="pct"/>
            <w:vMerge w:val="continue"/>
            <w:noWrap w:val="0"/>
            <w:vAlign w:val="center"/>
          </w:tcPr>
          <w:p w14:paraId="3435B6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414" w:type="pct"/>
            <w:vMerge w:val="continue"/>
            <w:noWrap w:val="0"/>
            <w:vAlign w:val="center"/>
          </w:tcPr>
          <w:p w14:paraId="332B31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51" w:type="pct"/>
            <w:noWrap w:val="0"/>
            <w:vAlign w:val="center"/>
          </w:tcPr>
          <w:p w14:paraId="62A631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TVOC</w:t>
            </w:r>
          </w:p>
        </w:tc>
        <w:tc>
          <w:tcPr>
            <w:tcW w:w="387" w:type="pct"/>
            <w:noWrap w:val="0"/>
            <w:vAlign w:val="center"/>
          </w:tcPr>
          <w:p w14:paraId="4AB34C8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vMerge w:val="continue"/>
            <w:noWrap w:val="0"/>
            <w:vAlign w:val="center"/>
          </w:tcPr>
          <w:p w14:paraId="3E3004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宋体"/>
                <w:color w:val="000000" w:themeColor="text1"/>
                <w:sz w:val="21"/>
                <w:szCs w:val="21"/>
                <w:highlight w:val="none"/>
                <w14:textFill>
                  <w14:solidFill>
                    <w14:schemeClr w14:val="tx1"/>
                  </w14:solidFill>
                </w14:textFill>
              </w:rPr>
            </w:pPr>
          </w:p>
        </w:tc>
      </w:tr>
      <w:tr w14:paraId="398E401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3A7F16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7D2041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213" w:type="pct"/>
            <w:vMerge w:val="continue"/>
            <w:noWrap w:val="0"/>
            <w:vAlign w:val="center"/>
          </w:tcPr>
          <w:p w14:paraId="4DC9D0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92" w:type="pct"/>
            <w:vMerge w:val="continue"/>
            <w:noWrap w:val="0"/>
            <w:vAlign w:val="center"/>
          </w:tcPr>
          <w:p w14:paraId="21B004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p>
        </w:tc>
        <w:tc>
          <w:tcPr>
            <w:tcW w:w="296" w:type="pct"/>
            <w:vMerge w:val="continue"/>
            <w:noWrap w:val="0"/>
            <w:vAlign w:val="center"/>
          </w:tcPr>
          <w:p w14:paraId="10D8CC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p>
        </w:tc>
        <w:tc>
          <w:tcPr>
            <w:tcW w:w="453" w:type="pct"/>
            <w:vMerge w:val="continue"/>
            <w:noWrap w:val="0"/>
            <w:vAlign w:val="center"/>
          </w:tcPr>
          <w:p w14:paraId="1B6842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323" w:type="pct"/>
            <w:vMerge w:val="continue"/>
            <w:noWrap w:val="0"/>
            <w:vAlign w:val="center"/>
          </w:tcPr>
          <w:p w14:paraId="5A93AC3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414" w:type="pct"/>
            <w:vMerge w:val="continue"/>
            <w:noWrap w:val="0"/>
            <w:vAlign w:val="center"/>
          </w:tcPr>
          <w:p w14:paraId="36BF79B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51" w:type="pct"/>
            <w:noWrap w:val="0"/>
            <w:vAlign w:val="center"/>
          </w:tcPr>
          <w:p w14:paraId="1AF253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臭气浓度</w:t>
            </w:r>
          </w:p>
        </w:tc>
        <w:tc>
          <w:tcPr>
            <w:tcW w:w="387" w:type="pct"/>
            <w:noWrap w:val="0"/>
            <w:vAlign w:val="center"/>
          </w:tcPr>
          <w:p w14:paraId="66F757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79616B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宋体"/>
                <w:color w:val="000000" w:themeColor="text1"/>
                <w:sz w:val="21"/>
                <w:szCs w:val="21"/>
                <w:highlight w:val="none"/>
                <w14:textFill>
                  <w14:solidFill>
                    <w14:schemeClr w14:val="tx1"/>
                  </w14:solidFill>
                </w14:textFill>
              </w:rPr>
            </w:pPr>
            <w:r>
              <w:rPr>
                <w:rFonts w:hint="eastAsia"/>
                <w:color w:val="000000" w:themeColor="text1"/>
                <w:sz w:val="21"/>
                <w:szCs w:val="21"/>
                <w14:textFill>
                  <w14:solidFill>
                    <w14:schemeClr w14:val="tx1"/>
                  </w14:solidFill>
                </w14:textFill>
              </w:rPr>
              <w:t>《恶臭污染物排放标准》（GB 14554-93）表</w:t>
            </w:r>
            <w:r>
              <w:rPr>
                <w:rFonts w:hint="eastAsia"/>
                <w:color w:val="000000" w:themeColor="text1"/>
                <w:sz w:val="21"/>
                <w:szCs w:val="21"/>
                <w:lang w:val="en-US" w:eastAsia="zh-CN"/>
                <w14:textFill>
                  <w14:solidFill>
                    <w14:schemeClr w14:val="tx1"/>
                  </w14:solidFill>
                </w14:textFill>
              </w:rPr>
              <w:t>2</w:t>
            </w:r>
            <w:r>
              <w:rPr>
                <w:rFonts w:hint="eastAsia"/>
                <w:color w:val="000000" w:themeColor="text1"/>
                <w:sz w:val="21"/>
                <w:szCs w:val="21"/>
                <w14:textFill>
                  <w14:solidFill>
                    <w14:schemeClr w14:val="tx1"/>
                  </w14:solidFill>
                </w14:textFill>
              </w:rPr>
              <w:t>标准</w:t>
            </w:r>
          </w:p>
        </w:tc>
      </w:tr>
      <w:tr w14:paraId="20EEF93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0E693B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restart"/>
            <w:noWrap w:val="0"/>
            <w:vAlign w:val="center"/>
          </w:tcPr>
          <w:p w14:paraId="43DCD4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DA002</w:t>
            </w:r>
          </w:p>
        </w:tc>
        <w:tc>
          <w:tcPr>
            <w:tcW w:w="213" w:type="pct"/>
            <w:vMerge w:val="restart"/>
            <w:noWrap w:val="0"/>
            <w:vAlign w:val="center"/>
          </w:tcPr>
          <w:p w14:paraId="787A93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30</w:t>
            </w:r>
          </w:p>
        </w:tc>
        <w:tc>
          <w:tcPr>
            <w:tcW w:w="292" w:type="pct"/>
            <w:vMerge w:val="restart"/>
            <w:noWrap w:val="0"/>
            <w:vAlign w:val="center"/>
          </w:tcPr>
          <w:p w14:paraId="326FDC8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0.8</w:t>
            </w:r>
          </w:p>
        </w:tc>
        <w:tc>
          <w:tcPr>
            <w:tcW w:w="296" w:type="pct"/>
            <w:vMerge w:val="restart"/>
            <w:noWrap w:val="0"/>
            <w:vAlign w:val="center"/>
          </w:tcPr>
          <w:p w14:paraId="158F2C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20</w:t>
            </w:r>
          </w:p>
        </w:tc>
        <w:tc>
          <w:tcPr>
            <w:tcW w:w="453" w:type="pct"/>
            <w:vMerge w:val="restart"/>
            <w:noWrap w:val="0"/>
            <w:vAlign w:val="center"/>
          </w:tcPr>
          <w:p w14:paraId="425DFBE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E</w:t>
            </w:r>
            <w:r>
              <w:rPr>
                <w:rFonts w:hint="eastAsia" w:cs="Times New Roman"/>
                <w:color w:val="000000" w:themeColor="text1"/>
                <w:kern w:val="0"/>
                <w:sz w:val="21"/>
                <w:szCs w:val="21"/>
                <w:highlight w:val="none"/>
                <w14:textFill>
                  <w14:solidFill>
                    <w14:schemeClr w14:val="tx1"/>
                  </w14:solidFill>
                </w14:textFill>
              </w:rPr>
              <w:t>114°5</w:t>
            </w:r>
            <w:r>
              <w:rPr>
                <w:rFonts w:hint="eastAsia" w:cs="Times New Roman"/>
                <w:color w:val="000000" w:themeColor="text1"/>
                <w:kern w:val="0"/>
                <w:sz w:val="21"/>
                <w:szCs w:val="21"/>
                <w:highlight w:val="none"/>
                <w:lang w:val="en-US" w:eastAsia="zh-CN"/>
                <w14:textFill>
                  <w14:solidFill>
                    <w14:schemeClr w14:val="tx1"/>
                  </w14:solidFill>
                </w14:textFill>
              </w:rPr>
              <w:t>0</w:t>
            </w:r>
            <w:r>
              <w:rPr>
                <w:rFonts w:hint="eastAsia" w:cs="Times New Roman"/>
                <w:color w:val="000000" w:themeColor="text1"/>
                <w:kern w:val="0"/>
                <w:sz w:val="21"/>
                <w:szCs w:val="21"/>
                <w:highlight w:val="none"/>
                <w14:textFill>
                  <w14:solidFill>
                    <w14:schemeClr w14:val="tx1"/>
                  </w14:solidFill>
                </w14:textFill>
              </w:rPr>
              <w:t>′3</w:t>
            </w:r>
            <w:r>
              <w:rPr>
                <w:rFonts w:hint="eastAsia" w:cs="Times New Roman"/>
                <w:color w:val="000000" w:themeColor="text1"/>
                <w:kern w:val="0"/>
                <w:sz w:val="21"/>
                <w:szCs w:val="21"/>
                <w:highlight w:val="none"/>
                <w:lang w:val="en-US" w:eastAsia="zh-CN"/>
                <w14:textFill>
                  <w14:solidFill>
                    <w14:schemeClr w14:val="tx1"/>
                  </w14:solidFill>
                </w14:textFill>
              </w:rPr>
              <w:t>8.210</w:t>
            </w:r>
            <w:r>
              <w:rPr>
                <w:rFonts w:hint="eastAsia" w:cs="Times New Roman"/>
                <w:color w:val="000000" w:themeColor="text1"/>
                <w:kern w:val="0"/>
                <w:sz w:val="21"/>
                <w:szCs w:val="21"/>
                <w:highlight w:val="none"/>
                <w:lang w:eastAsia="zh-CN"/>
                <w14:textFill>
                  <w14:solidFill>
                    <w14:schemeClr w14:val="tx1"/>
                  </w14:solidFill>
                </w14:textFill>
              </w:rPr>
              <w:t>，</w:t>
            </w:r>
            <w:r>
              <w:rPr>
                <w:rFonts w:hint="eastAsia" w:cs="Times New Roman"/>
                <w:color w:val="000000" w:themeColor="text1"/>
                <w:kern w:val="0"/>
                <w:sz w:val="21"/>
                <w:szCs w:val="21"/>
                <w:highlight w:val="none"/>
                <w:lang w:val="en-US" w:eastAsia="zh-CN"/>
                <w14:textFill>
                  <w14:solidFill>
                    <w14:schemeClr w14:val="tx1"/>
                  </w14:solidFill>
                </w14:textFill>
              </w:rPr>
              <w:t>N</w:t>
            </w:r>
            <w:r>
              <w:rPr>
                <w:rFonts w:hint="eastAsia" w:cs="Times New Roman"/>
                <w:color w:val="000000" w:themeColor="text1"/>
                <w:kern w:val="0"/>
                <w:sz w:val="21"/>
                <w:szCs w:val="21"/>
                <w:highlight w:val="none"/>
                <w14:textFill>
                  <w14:solidFill>
                    <w14:schemeClr w14:val="tx1"/>
                  </w14:solidFill>
                </w14:textFill>
              </w:rPr>
              <w:t>28°21′</w:t>
            </w:r>
            <w:r>
              <w:rPr>
                <w:rFonts w:hint="eastAsia" w:cs="Times New Roman"/>
                <w:color w:val="000000" w:themeColor="text1"/>
                <w:kern w:val="0"/>
                <w:sz w:val="21"/>
                <w:szCs w:val="21"/>
                <w:highlight w:val="none"/>
                <w:lang w:val="en-US" w:eastAsia="zh-CN"/>
                <w14:textFill>
                  <w14:solidFill>
                    <w14:schemeClr w14:val="tx1"/>
                  </w14:solidFill>
                </w14:textFill>
              </w:rPr>
              <w:t>32.641</w:t>
            </w:r>
            <w:r>
              <w:rPr>
                <w:rFonts w:hint="eastAsia" w:cs="Times New Roman"/>
                <w:color w:val="000000" w:themeColor="text1"/>
                <w:kern w:val="0"/>
                <w:sz w:val="21"/>
                <w:szCs w:val="21"/>
                <w:highlight w:val="none"/>
                <w14:textFill>
                  <w14:solidFill>
                    <w14:schemeClr w14:val="tx1"/>
                  </w14:solidFill>
                </w14:textFill>
              </w:rPr>
              <w:t>″</w:t>
            </w:r>
          </w:p>
        </w:tc>
        <w:tc>
          <w:tcPr>
            <w:tcW w:w="323" w:type="pct"/>
            <w:vMerge w:val="continue"/>
            <w:noWrap w:val="0"/>
            <w:vAlign w:val="center"/>
          </w:tcPr>
          <w:p w14:paraId="25CDA8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414" w:type="pct"/>
            <w:vMerge w:val="restart"/>
            <w:noWrap w:val="0"/>
            <w:vAlign w:val="center"/>
          </w:tcPr>
          <w:p w14:paraId="0812F3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DA0</w:t>
            </w:r>
            <w:r>
              <w:rPr>
                <w:rFonts w:hint="eastAsia" w:cs="Times New Roman"/>
                <w:color w:val="000000" w:themeColor="text1"/>
                <w:kern w:val="0"/>
                <w:sz w:val="21"/>
                <w:szCs w:val="21"/>
                <w:highlight w:val="none"/>
                <w14:textFill>
                  <w14:solidFill>
                    <w14:schemeClr w14:val="tx1"/>
                  </w14:solidFill>
                </w14:textFill>
              </w:rPr>
              <w:t>0</w:t>
            </w:r>
            <w:r>
              <w:rPr>
                <w:rFonts w:hint="eastAsia" w:cs="Times New Roman"/>
                <w:color w:val="000000" w:themeColor="text1"/>
                <w:kern w:val="0"/>
                <w:sz w:val="21"/>
                <w:szCs w:val="21"/>
                <w:highlight w:val="none"/>
                <w:lang w:val="en-US" w:eastAsia="zh-CN"/>
                <w14:textFill>
                  <w14:solidFill>
                    <w14:schemeClr w14:val="tx1"/>
                  </w14:solidFill>
                </w14:textFill>
              </w:rPr>
              <w:t>2</w:t>
            </w:r>
            <w:r>
              <w:rPr>
                <w:rFonts w:cs="Times New Roman"/>
                <w:color w:val="000000" w:themeColor="text1"/>
                <w:kern w:val="0"/>
                <w:sz w:val="21"/>
                <w:szCs w:val="21"/>
                <w:highlight w:val="none"/>
                <w14:textFill>
                  <w14:solidFill>
                    <w14:schemeClr w14:val="tx1"/>
                  </w14:solidFill>
                </w14:textFill>
              </w:rPr>
              <w:t>排气筒监测孔</w:t>
            </w:r>
          </w:p>
        </w:tc>
        <w:tc>
          <w:tcPr>
            <w:tcW w:w="351" w:type="pct"/>
            <w:noWrap w:val="0"/>
            <w:vAlign w:val="center"/>
          </w:tcPr>
          <w:p w14:paraId="75E20F9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颗粒物</w:t>
            </w:r>
          </w:p>
        </w:tc>
        <w:tc>
          <w:tcPr>
            <w:tcW w:w="387" w:type="pct"/>
            <w:shd w:val="clear" w:color="auto" w:fill="auto"/>
            <w:noWrap w:val="0"/>
            <w:vAlign w:val="center"/>
          </w:tcPr>
          <w:p w14:paraId="6CFA0A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599E84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napToGrid w:val="0"/>
                <w:color w:val="000000" w:themeColor="text1"/>
                <w:kern w:val="0"/>
                <w:sz w:val="21"/>
                <w:szCs w:val="21"/>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《大气污染物综合排放标准》</w:t>
            </w:r>
            <w:r>
              <w:rPr>
                <w:rFonts w:ascii="Times New Roman" w:hAnsi="Times New Roman" w:eastAsia="宋体" w:cs="宋体"/>
                <w:color w:val="000000" w:themeColor="text1"/>
                <w:sz w:val="21"/>
                <w:szCs w:val="21"/>
                <w:highlight w:val="none"/>
                <w:lang w:val="en-GB"/>
                <w14:textFill>
                  <w14:solidFill>
                    <w14:schemeClr w14:val="tx1"/>
                  </w14:solidFill>
                </w14:textFill>
              </w:rPr>
              <w:t>(</w:t>
            </w:r>
            <w:r>
              <w:rPr>
                <w:rFonts w:ascii="Times New Roman" w:hAnsi="Times New Roman" w:eastAsia="宋体" w:cs="宋体"/>
                <w:color w:val="000000" w:themeColor="text1"/>
                <w:sz w:val="21"/>
                <w:szCs w:val="21"/>
                <w:highlight w:val="none"/>
                <w14:textFill>
                  <w14:solidFill>
                    <w14:schemeClr w14:val="tx1"/>
                  </w14:solidFill>
                </w14:textFill>
              </w:rPr>
              <w:t>GB16297-1996)表2</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中二级排放标准限值</w:t>
            </w:r>
          </w:p>
        </w:tc>
      </w:tr>
      <w:tr w14:paraId="5A7C4E7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578CBD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32B93B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13" w:type="pct"/>
            <w:vMerge w:val="continue"/>
            <w:noWrap w:val="0"/>
            <w:vAlign w:val="center"/>
          </w:tcPr>
          <w:p w14:paraId="525D1A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92" w:type="pct"/>
            <w:vMerge w:val="continue"/>
            <w:noWrap w:val="0"/>
            <w:vAlign w:val="center"/>
          </w:tcPr>
          <w:p w14:paraId="0DBD4F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96" w:type="pct"/>
            <w:vMerge w:val="continue"/>
            <w:noWrap w:val="0"/>
            <w:vAlign w:val="center"/>
          </w:tcPr>
          <w:p w14:paraId="5B4FEC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453" w:type="pct"/>
            <w:vMerge w:val="continue"/>
            <w:noWrap w:val="0"/>
            <w:vAlign w:val="center"/>
          </w:tcPr>
          <w:p w14:paraId="432A76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323" w:type="pct"/>
            <w:vMerge w:val="continue"/>
            <w:noWrap w:val="0"/>
            <w:vAlign w:val="center"/>
          </w:tcPr>
          <w:p w14:paraId="602D88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414" w:type="pct"/>
            <w:vMerge w:val="continue"/>
            <w:noWrap w:val="0"/>
            <w:vAlign w:val="center"/>
          </w:tcPr>
          <w:p w14:paraId="6B7512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51" w:type="pct"/>
            <w:noWrap w:val="0"/>
            <w:vAlign w:val="center"/>
          </w:tcPr>
          <w:p w14:paraId="6F3FFD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highlight w:val="none"/>
                <w:lang w:val="en-US" w:eastAsia="zh-CN" w:bidi="ar-SA"/>
                <w14:textFill>
                  <w14:solidFill>
                    <w14:schemeClr w14:val="tx1"/>
                  </w14:solidFill>
                </w14:textFill>
              </w:rPr>
              <w:t>二甲苯</w:t>
            </w:r>
          </w:p>
        </w:tc>
        <w:tc>
          <w:tcPr>
            <w:tcW w:w="387" w:type="pct"/>
            <w:shd w:val="clear" w:color="auto" w:fill="auto"/>
            <w:noWrap w:val="0"/>
            <w:vAlign w:val="center"/>
          </w:tcPr>
          <w:p w14:paraId="16272F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vMerge w:val="restart"/>
            <w:noWrap w:val="0"/>
            <w:vAlign w:val="center"/>
          </w:tcPr>
          <w:p w14:paraId="6C4F5A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江西省地方标准《挥发性有机物综合排放控制标准（试行）》（DB36/2186-2025）表1</w:t>
            </w:r>
          </w:p>
        </w:tc>
      </w:tr>
      <w:tr w14:paraId="20280B3B">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0C508F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099320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213" w:type="pct"/>
            <w:vMerge w:val="continue"/>
            <w:noWrap w:val="0"/>
            <w:vAlign w:val="center"/>
          </w:tcPr>
          <w:p w14:paraId="70A8864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292" w:type="pct"/>
            <w:vMerge w:val="continue"/>
            <w:noWrap w:val="0"/>
            <w:vAlign w:val="center"/>
          </w:tcPr>
          <w:p w14:paraId="318A6E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96" w:type="pct"/>
            <w:vMerge w:val="continue"/>
            <w:noWrap w:val="0"/>
            <w:vAlign w:val="center"/>
          </w:tcPr>
          <w:p w14:paraId="2410AC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453" w:type="pct"/>
            <w:vMerge w:val="continue"/>
            <w:noWrap w:val="0"/>
            <w:vAlign w:val="center"/>
          </w:tcPr>
          <w:p w14:paraId="55D42A1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23" w:type="pct"/>
            <w:vMerge w:val="continue"/>
            <w:noWrap w:val="0"/>
            <w:vAlign w:val="center"/>
          </w:tcPr>
          <w:p w14:paraId="4A7335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414" w:type="pct"/>
            <w:vMerge w:val="continue"/>
            <w:noWrap w:val="0"/>
            <w:vAlign w:val="center"/>
          </w:tcPr>
          <w:p w14:paraId="57FBFE4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51" w:type="pct"/>
            <w:noWrap w:val="0"/>
            <w:vAlign w:val="center"/>
          </w:tcPr>
          <w:p w14:paraId="0494E4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highlight w:val="none"/>
                <w:lang w:val="en-US" w:eastAsia="zh-CN" w:bidi="ar-SA"/>
                <w14:textFill>
                  <w14:solidFill>
                    <w14:schemeClr w14:val="tx1"/>
                  </w14:solidFill>
                </w14:textFill>
              </w:rPr>
              <w:t>TVOC</w:t>
            </w:r>
          </w:p>
        </w:tc>
        <w:tc>
          <w:tcPr>
            <w:tcW w:w="387" w:type="pct"/>
            <w:shd w:val="clear" w:color="auto" w:fill="auto"/>
            <w:noWrap w:val="0"/>
            <w:vAlign w:val="center"/>
          </w:tcPr>
          <w:p w14:paraId="58BE50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vMerge w:val="continue"/>
            <w:noWrap w:val="0"/>
            <w:vAlign w:val="center"/>
          </w:tcPr>
          <w:p w14:paraId="19FEA2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napToGrid w:val="0"/>
                <w:color w:val="000000" w:themeColor="text1"/>
                <w:kern w:val="0"/>
                <w:sz w:val="21"/>
                <w:szCs w:val="21"/>
                <w14:textFill>
                  <w14:solidFill>
                    <w14:schemeClr w14:val="tx1"/>
                  </w14:solidFill>
                </w14:textFill>
              </w:rPr>
            </w:pPr>
          </w:p>
        </w:tc>
      </w:tr>
      <w:tr w14:paraId="7FAA2E0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147AFB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01F7F1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213" w:type="pct"/>
            <w:vMerge w:val="continue"/>
            <w:noWrap w:val="0"/>
            <w:vAlign w:val="center"/>
          </w:tcPr>
          <w:p w14:paraId="12D508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292" w:type="pct"/>
            <w:vMerge w:val="continue"/>
            <w:noWrap w:val="0"/>
            <w:vAlign w:val="center"/>
          </w:tcPr>
          <w:p w14:paraId="14B7E7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96" w:type="pct"/>
            <w:vMerge w:val="continue"/>
            <w:noWrap w:val="0"/>
            <w:vAlign w:val="center"/>
          </w:tcPr>
          <w:p w14:paraId="3A36FD7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453" w:type="pct"/>
            <w:vMerge w:val="continue"/>
            <w:noWrap w:val="0"/>
            <w:vAlign w:val="center"/>
          </w:tcPr>
          <w:p w14:paraId="276947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23" w:type="pct"/>
            <w:vMerge w:val="continue"/>
            <w:noWrap w:val="0"/>
            <w:vAlign w:val="center"/>
          </w:tcPr>
          <w:p w14:paraId="175AC01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414" w:type="pct"/>
            <w:vMerge w:val="continue"/>
            <w:noWrap w:val="0"/>
            <w:vAlign w:val="center"/>
          </w:tcPr>
          <w:p w14:paraId="3F9838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51" w:type="pct"/>
            <w:noWrap w:val="0"/>
            <w:vAlign w:val="center"/>
          </w:tcPr>
          <w:p w14:paraId="1C5C68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highlight w:val="none"/>
                <w:lang w:val="en-US" w:eastAsia="zh-CN" w:bidi="ar-SA"/>
                <w14:textFill>
                  <w14:solidFill>
                    <w14:schemeClr w14:val="tx1"/>
                  </w14:solidFill>
                </w14:textFill>
              </w:rPr>
              <w:t>臭气浓度</w:t>
            </w:r>
          </w:p>
        </w:tc>
        <w:tc>
          <w:tcPr>
            <w:tcW w:w="387" w:type="pct"/>
            <w:shd w:val="clear" w:color="auto" w:fill="auto"/>
            <w:noWrap w:val="0"/>
            <w:vAlign w:val="center"/>
          </w:tcPr>
          <w:p w14:paraId="7DF7EB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7132E5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napToGrid w:val="0"/>
                <w:color w:val="000000" w:themeColor="text1"/>
                <w:kern w:val="0"/>
                <w:sz w:val="21"/>
                <w:szCs w:val="21"/>
                <w14:textFill>
                  <w14:solidFill>
                    <w14:schemeClr w14:val="tx1"/>
                  </w14:solidFill>
                </w14:textFill>
              </w:rPr>
            </w:pPr>
            <w:r>
              <w:rPr>
                <w:rFonts w:hint="eastAsia"/>
                <w:color w:val="000000" w:themeColor="text1"/>
                <w:sz w:val="21"/>
                <w:szCs w:val="21"/>
                <w14:textFill>
                  <w14:solidFill>
                    <w14:schemeClr w14:val="tx1"/>
                  </w14:solidFill>
                </w14:textFill>
              </w:rPr>
              <w:t>《恶臭污染物排放标准》（GB 14554-93）表</w:t>
            </w:r>
            <w:r>
              <w:rPr>
                <w:rFonts w:hint="eastAsia"/>
                <w:color w:val="000000" w:themeColor="text1"/>
                <w:sz w:val="21"/>
                <w:szCs w:val="21"/>
                <w:lang w:val="en-US" w:eastAsia="zh-CN"/>
                <w14:textFill>
                  <w14:solidFill>
                    <w14:schemeClr w14:val="tx1"/>
                  </w14:solidFill>
                </w14:textFill>
              </w:rPr>
              <w:t>2</w:t>
            </w:r>
            <w:r>
              <w:rPr>
                <w:rFonts w:hint="eastAsia"/>
                <w:color w:val="000000" w:themeColor="text1"/>
                <w:sz w:val="21"/>
                <w:szCs w:val="21"/>
                <w14:textFill>
                  <w14:solidFill>
                    <w14:schemeClr w14:val="tx1"/>
                  </w14:solidFill>
                </w14:textFill>
              </w:rPr>
              <w:t>标准</w:t>
            </w:r>
          </w:p>
        </w:tc>
      </w:tr>
      <w:tr w14:paraId="287925F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restart"/>
            <w:noWrap w:val="0"/>
            <w:vAlign w:val="center"/>
          </w:tcPr>
          <w:p w14:paraId="55BA2F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无组织</w:t>
            </w:r>
          </w:p>
        </w:tc>
        <w:tc>
          <w:tcPr>
            <w:tcW w:w="371" w:type="pct"/>
            <w:vMerge w:val="restart"/>
            <w:noWrap w:val="0"/>
            <w:vAlign w:val="center"/>
          </w:tcPr>
          <w:p w14:paraId="5D0CF1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color w:val="000000" w:themeColor="text1"/>
                <w:kern w:val="0"/>
                <w:sz w:val="21"/>
                <w:szCs w:val="21"/>
                <w:highlight w:val="none"/>
                <w:lang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厂界</w:t>
            </w:r>
          </w:p>
        </w:tc>
        <w:tc>
          <w:tcPr>
            <w:tcW w:w="213" w:type="pct"/>
            <w:noWrap w:val="0"/>
            <w:vAlign w:val="center"/>
          </w:tcPr>
          <w:p w14:paraId="5B3667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2" w:type="pct"/>
            <w:noWrap w:val="0"/>
            <w:vAlign w:val="center"/>
          </w:tcPr>
          <w:p w14:paraId="29443B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6" w:type="pct"/>
            <w:noWrap w:val="0"/>
            <w:vAlign w:val="center"/>
          </w:tcPr>
          <w:p w14:paraId="6C7F72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53" w:type="pct"/>
            <w:noWrap w:val="0"/>
            <w:vAlign w:val="center"/>
          </w:tcPr>
          <w:p w14:paraId="15ED38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23" w:type="pct"/>
            <w:noWrap w:val="0"/>
            <w:vAlign w:val="center"/>
          </w:tcPr>
          <w:p w14:paraId="0A1084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14" w:type="pct"/>
            <w:noWrap w:val="0"/>
            <w:vAlign w:val="center"/>
          </w:tcPr>
          <w:p w14:paraId="09F68A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51" w:type="pct"/>
            <w:noWrap w:val="0"/>
            <w:vAlign w:val="center"/>
          </w:tcPr>
          <w:p w14:paraId="4A07C7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颗粒物</w:t>
            </w:r>
          </w:p>
        </w:tc>
        <w:tc>
          <w:tcPr>
            <w:tcW w:w="387" w:type="pct"/>
            <w:noWrap w:val="0"/>
            <w:vAlign w:val="center"/>
          </w:tcPr>
          <w:p w14:paraId="769CC8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401BC7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《大气污染物综合排放标准》</w:t>
            </w:r>
            <w:r>
              <w:rPr>
                <w:rFonts w:ascii="Times New Roman" w:hAnsi="Times New Roman" w:eastAsia="宋体" w:cs="宋体"/>
                <w:color w:val="000000" w:themeColor="text1"/>
                <w:sz w:val="21"/>
                <w:szCs w:val="21"/>
                <w:highlight w:val="none"/>
                <w:lang w:val="en-GB"/>
                <w14:textFill>
                  <w14:solidFill>
                    <w14:schemeClr w14:val="tx1"/>
                  </w14:solidFill>
                </w14:textFill>
              </w:rPr>
              <w:t>(</w:t>
            </w:r>
            <w:r>
              <w:rPr>
                <w:rFonts w:ascii="Times New Roman" w:hAnsi="Times New Roman" w:eastAsia="宋体" w:cs="宋体"/>
                <w:color w:val="000000" w:themeColor="text1"/>
                <w:sz w:val="21"/>
                <w:szCs w:val="21"/>
                <w:highlight w:val="none"/>
                <w14:textFill>
                  <w14:solidFill>
                    <w14:schemeClr w14:val="tx1"/>
                  </w14:solidFill>
                </w14:textFill>
              </w:rPr>
              <w:t>GB16297-1996)表2</w:t>
            </w:r>
            <w:r>
              <w:rPr>
                <w:rFonts w:hint="eastAsia" w:cs="宋体"/>
                <w:color w:val="000000" w:themeColor="text1"/>
                <w:sz w:val="21"/>
                <w:szCs w:val="21"/>
                <w:highlight w:val="none"/>
                <w:lang w:val="en-US" w:eastAsia="zh-CN"/>
                <w14:textFill>
                  <w14:solidFill>
                    <w14:schemeClr w14:val="tx1"/>
                  </w14:solidFill>
                </w14:textFill>
              </w:rPr>
              <w:t>无组织监控浓度限值</w:t>
            </w:r>
          </w:p>
        </w:tc>
      </w:tr>
      <w:tr w14:paraId="3CFD909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2EC4E6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383AEC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13" w:type="pct"/>
            <w:noWrap w:val="0"/>
            <w:vAlign w:val="center"/>
          </w:tcPr>
          <w:p w14:paraId="021E4D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2" w:type="pct"/>
            <w:noWrap w:val="0"/>
            <w:vAlign w:val="center"/>
          </w:tcPr>
          <w:p w14:paraId="7EB6D9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6" w:type="pct"/>
            <w:noWrap w:val="0"/>
            <w:vAlign w:val="center"/>
          </w:tcPr>
          <w:p w14:paraId="1C4318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53" w:type="pct"/>
            <w:noWrap w:val="0"/>
            <w:vAlign w:val="center"/>
          </w:tcPr>
          <w:p w14:paraId="6B3984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23" w:type="pct"/>
            <w:noWrap w:val="0"/>
            <w:vAlign w:val="center"/>
          </w:tcPr>
          <w:p w14:paraId="3C28BD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14" w:type="pct"/>
            <w:noWrap w:val="0"/>
            <w:vAlign w:val="center"/>
          </w:tcPr>
          <w:p w14:paraId="6A64E4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51" w:type="pct"/>
            <w:noWrap w:val="0"/>
            <w:vAlign w:val="center"/>
          </w:tcPr>
          <w:p w14:paraId="00A278E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二甲苯</w:t>
            </w:r>
          </w:p>
        </w:tc>
        <w:tc>
          <w:tcPr>
            <w:tcW w:w="387" w:type="pct"/>
            <w:noWrap w:val="0"/>
            <w:vAlign w:val="center"/>
          </w:tcPr>
          <w:p w14:paraId="5605C8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7C71AC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参照江西省地方标准《</w:t>
            </w:r>
            <w:r>
              <w:rPr>
                <w:rFonts w:hint="eastAsia"/>
                <w:color w:val="000000" w:themeColor="text1"/>
                <w:sz w:val="21"/>
                <w:szCs w:val="21"/>
                <w14:textFill>
                  <w14:solidFill>
                    <w14:schemeClr w14:val="tx1"/>
                  </w14:solidFill>
                </w14:textFill>
              </w:rPr>
              <w:t>挥发性有机物排放标准第4部分：塑料制品业</w:t>
            </w:r>
            <w:r>
              <w:rPr>
                <w:rFonts w:hint="eastAsia" w:cs="宋体"/>
                <w:color w:val="000000" w:themeColor="text1"/>
                <w:sz w:val="21"/>
                <w:szCs w:val="21"/>
                <w:highlight w:val="none"/>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DB36/1101.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-2019</w:t>
            </w:r>
            <w:r>
              <w:rPr>
                <w:rFonts w:hint="eastAsia" w:cs="宋体"/>
                <w:color w:val="000000" w:themeColor="text1"/>
                <w:sz w:val="21"/>
                <w:szCs w:val="21"/>
                <w:highlight w:val="none"/>
                <w:lang w:val="en-US" w:eastAsia="zh-CN"/>
                <w14:textFill>
                  <w14:solidFill>
                    <w14:schemeClr w14:val="tx1"/>
                  </w14:solidFill>
                </w14:textFill>
              </w:rPr>
              <w:t>）表2标准</w:t>
            </w:r>
          </w:p>
        </w:tc>
      </w:tr>
      <w:tr w14:paraId="0CD35FF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04BFBB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226627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13" w:type="pct"/>
            <w:noWrap w:val="0"/>
            <w:vAlign w:val="center"/>
          </w:tcPr>
          <w:p w14:paraId="689E9D0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2" w:type="pct"/>
            <w:noWrap w:val="0"/>
            <w:vAlign w:val="center"/>
          </w:tcPr>
          <w:p w14:paraId="4BE9E19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6" w:type="pct"/>
            <w:noWrap w:val="0"/>
            <w:vAlign w:val="center"/>
          </w:tcPr>
          <w:p w14:paraId="2F95BF0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53" w:type="pct"/>
            <w:noWrap w:val="0"/>
            <w:vAlign w:val="center"/>
          </w:tcPr>
          <w:p w14:paraId="7D0BEC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23" w:type="pct"/>
            <w:noWrap w:val="0"/>
            <w:vAlign w:val="center"/>
          </w:tcPr>
          <w:p w14:paraId="0CCDF9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14" w:type="pct"/>
            <w:noWrap w:val="0"/>
            <w:vAlign w:val="center"/>
          </w:tcPr>
          <w:p w14:paraId="7FD732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51" w:type="pct"/>
            <w:noWrap w:val="0"/>
            <w:vAlign w:val="center"/>
          </w:tcPr>
          <w:p w14:paraId="26AB740B">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苯乙烯</w:t>
            </w:r>
          </w:p>
        </w:tc>
        <w:tc>
          <w:tcPr>
            <w:tcW w:w="387" w:type="pct"/>
            <w:noWrap w:val="0"/>
            <w:vAlign w:val="center"/>
          </w:tcPr>
          <w:p w14:paraId="72083A9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vMerge w:val="restart"/>
            <w:noWrap w:val="0"/>
            <w:vAlign w:val="center"/>
          </w:tcPr>
          <w:p w14:paraId="65FB2BD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江西省地方标准</w:t>
            </w:r>
            <w:r>
              <w:rPr>
                <w:rFonts w:hint="eastAsia"/>
                <w:color w:val="000000" w:themeColor="text1"/>
                <w:sz w:val="21"/>
                <w:szCs w:val="21"/>
                <w14:textFill>
                  <w14:solidFill>
                    <w14:schemeClr w14:val="tx1"/>
                  </w14:solidFill>
                </w14:textFill>
              </w:rPr>
              <w:t>《挥发性有机物排放标准第4部分：塑料制品业》（DB36/1101.4-2019）表</w:t>
            </w:r>
            <w:r>
              <w:rPr>
                <w:rFonts w:hint="eastAsia"/>
                <w:color w:val="000000" w:themeColor="text1"/>
                <w:sz w:val="21"/>
                <w:szCs w:val="21"/>
                <w:lang w:val="en-US" w:eastAsia="zh-CN"/>
                <w14:textFill>
                  <w14:solidFill>
                    <w14:schemeClr w14:val="tx1"/>
                  </w14:solidFill>
                </w14:textFill>
              </w:rPr>
              <w:t>2</w:t>
            </w:r>
          </w:p>
        </w:tc>
      </w:tr>
      <w:tr w14:paraId="7F18930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2D066B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7CF4E4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13" w:type="pct"/>
            <w:noWrap w:val="0"/>
            <w:vAlign w:val="center"/>
          </w:tcPr>
          <w:p w14:paraId="45A333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2" w:type="pct"/>
            <w:noWrap w:val="0"/>
            <w:vAlign w:val="center"/>
          </w:tcPr>
          <w:p w14:paraId="62D8184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6" w:type="pct"/>
            <w:noWrap w:val="0"/>
            <w:vAlign w:val="center"/>
          </w:tcPr>
          <w:p w14:paraId="0B802A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53" w:type="pct"/>
            <w:noWrap w:val="0"/>
            <w:vAlign w:val="center"/>
          </w:tcPr>
          <w:p w14:paraId="3CEECB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23" w:type="pct"/>
            <w:noWrap w:val="0"/>
            <w:vAlign w:val="center"/>
          </w:tcPr>
          <w:p w14:paraId="0344EC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14" w:type="pct"/>
            <w:noWrap w:val="0"/>
            <w:vAlign w:val="center"/>
          </w:tcPr>
          <w:p w14:paraId="2B700B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51" w:type="pct"/>
            <w:noWrap w:val="0"/>
            <w:vAlign w:val="center"/>
          </w:tcPr>
          <w:p w14:paraId="220B71F4">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TVOC</w:t>
            </w:r>
          </w:p>
        </w:tc>
        <w:tc>
          <w:tcPr>
            <w:tcW w:w="387" w:type="pct"/>
            <w:noWrap w:val="0"/>
            <w:vAlign w:val="center"/>
          </w:tcPr>
          <w:p w14:paraId="2F2844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vMerge w:val="continue"/>
            <w:noWrap w:val="0"/>
            <w:vAlign w:val="center"/>
          </w:tcPr>
          <w:p w14:paraId="31A1280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p>
        </w:tc>
      </w:tr>
      <w:tr w14:paraId="6F625513">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46B755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vMerge w:val="continue"/>
            <w:noWrap w:val="0"/>
            <w:vAlign w:val="center"/>
          </w:tcPr>
          <w:p w14:paraId="13A088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p>
        </w:tc>
        <w:tc>
          <w:tcPr>
            <w:tcW w:w="213" w:type="pct"/>
            <w:noWrap w:val="0"/>
            <w:vAlign w:val="center"/>
          </w:tcPr>
          <w:p w14:paraId="3BAC39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2" w:type="pct"/>
            <w:noWrap w:val="0"/>
            <w:vAlign w:val="center"/>
          </w:tcPr>
          <w:p w14:paraId="4D6F7B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6" w:type="pct"/>
            <w:noWrap w:val="0"/>
            <w:vAlign w:val="center"/>
          </w:tcPr>
          <w:p w14:paraId="3D7EC9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53" w:type="pct"/>
            <w:noWrap w:val="0"/>
            <w:vAlign w:val="center"/>
          </w:tcPr>
          <w:p w14:paraId="5BA923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23" w:type="pct"/>
            <w:noWrap w:val="0"/>
            <w:vAlign w:val="center"/>
          </w:tcPr>
          <w:p w14:paraId="5C66F8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14" w:type="pct"/>
            <w:noWrap w:val="0"/>
            <w:vAlign w:val="center"/>
          </w:tcPr>
          <w:p w14:paraId="083892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51" w:type="pct"/>
            <w:noWrap w:val="0"/>
            <w:vAlign w:val="center"/>
          </w:tcPr>
          <w:p w14:paraId="5BAC1D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臭气浓度</w:t>
            </w:r>
          </w:p>
        </w:tc>
        <w:tc>
          <w:tcPr>
            <w:tcW w:w="387" w:type="pct"/>
            <w:noWrap w:val="0"/>
            <w:vAlign w:val="center"/>
          </w:tcPr>
          <w:p w14:paraId="746203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6B75FE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14:textFill>
                  <w14:solidFill>
                    <w14:schemeClr w14:val="tx1"/>
                  </w14:solidFill>
                </w14:textFill>
              </w:rPr>
              <w:t>《恶臭污染物排放标准》（GB 14554-93）表</w:t>
            </w:r>
            <w:r>
              <w:rPr>
                <w:rFonts w:hint="eastAsia"/>
                <w:color w:val="000000" w:themeColor="text1"/>
                <w:sz w:val="21"/>
                <w:szCs w:val="21"/>
                <w:lang w:val="en-US" w:eastAsia="zh-CN"/>
                <w14:textFill>
                  <w14:solidFill>
                    <w14:schemeClr w14:val="tx1"/>
                  </w14:solidFill>
                </w14:textFill>
              </w:rPr>
              <w:t>2</w:t>
            </w:r>
            <w:r>
              <w:rPr>
                <w:rFonts w:hint="eastAsia"/>
                <w:color w:val="000000" w:themeColor="text1"/>
                <w:sz w:val="21"/>
                <w:szCs w:val="21"/>
                <w14:textFill>
                  <w14:solidFill>
                    <w14:schemeClr w14:val="tx1"/>
                  </w14:solidFill>
                </w14:textFill>
              </w:rPr>
              <w:t>标准</w:t>
            </w:r>
          </w:p>
        </w:tc>
      </w:tr>
      <w:tr w14:paraId="05E40E9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275" w:type="pct"/>
            <w:vMerge w:val="continue"/>
            <w:noWrap w:val="0"/>
            <w:vAlign w:val="center"/>
          </w:tcPr>
          <w:p w14:paraId="45D6F4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p>
        </w:tc>
        <w:tc>
          <w:tcPr>
            <w:tcW w:w="371" w:type="pct"/>
            <w:noWrap w:val="0"/>
            <w:vAlign w:val="center"/>
          </w:tcPr>
          <w:p w14:paraId="5A0897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厂区内（厂房外）</w:t>
            </w:r>
          </w:p>
        </w:tc>
        <w:tc>
          <w:tcPr>
            <w:tcW w:w="213" w:type="pct"/>
            <w:noWrap w:val="0"/>
            <w:vAlign w:val="center"/>
          </w:tcPr>
          <w:p w14:paraId="115149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2" w:type="pct"/>
            <w:noWrap w:val="0"/>
            <w:vAlign w:val="center"/>
          </w:tcPr>
          <w:p w14:paraId="79A1C2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296" w:type="pct"/>
            <w:noWrap w:val="0"/>
            <w:vAlign w:val="center"/>
          </w:tcPr>
          <w:p w14:paraId="3A73B0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53" w:type="pct"/>
            <w:noWrap w:val="0"/>
            <w:vAlign w:val="center"/>
          </w:tcPr>
          <w:p w14:paraId="064C74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23" w:type="pct"/>
            <w:noWrap w:val="0"/>
            <w:vAlign w:val="center"/>
          </w:tcPr>
          <w:p w14:paraId="198C88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414" w:type="pct"/>
            <w:noWrap w:val="0"/>
            <w:vAlign w:val="center"/>
          </w:tcPr>
          <w:p w14:paraId="118E10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cs="Times New Roman"/>
                <w:color w:val="000000" w:themeColor="text1"/>
                <w:kern w:val="0"/>
                <w:sz w:val="21"/>
                <w:szCs w:val="21"/>
                <w:highlight w:val="none"/>
                <w14:textFill>
                  <w14:solidFill>
                    <w14:schemeClr w14:val="tx1"/>
                  </w14:solidFill>
                </w14:textFill>
              </w:rPr>
              <w:t>/</w:t>
            </w:r>
          </w:p>
        </w:tc>
        <w:tc>
          <w:tcPr>
            <w:tcW w:w="351" w:type="pct"/>
            <w:noWrap w:val="0"/>
            <w:vAlign w:val="center"/>
          </w:tcPr>
          <w:p w14:paraId="4F3C9B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Times New Roman"/>
                <w:color w:val="000000" w:themeColor="text1"/>
                <w:kern w:val="0"/>
                <w:sz w:val="21"/>
                <w:szCs w:val="21"/>
                <w:highlight w:val="none"/>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NMHC</w:t>
            </w:r>
          </w:p>
        </w:tc>
        <w:tc>
          <w:tcPr>
            <w:tcW w:w="387" w:type="pct"/>
            <w:noWrap w:val="0"/>
            <w:vAlign w:val="center"/>
          </w:tcPr>
          <w:p w14:paraId="40C67F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1次/年</w:t>
            </w:r>
          </w:p>
        </w:tc>
        <w:tc>
          <w:tcPr>
            <w:tcW w:w="1620" w:type="pct"/>
            <w:noWrap w:val="0"/>
            <w:vAlign w:val="center"/>
          </w:tcPr>
          <w:p w14:paraId="301AA0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江西省地方标准《挥发性有机物综合排放控制标准（试行）》（DB36/2186-2025）表</w:t>
            </w:r>
            <w:r>
              <w:rPr>
                <w:rFonts w:hint="eastAsia" w:cs="宋体"/>
                <w:color w:val="000000" w:themeColor="text1"/>
                <w:sz w:val="21"/>
                <w:szCs w:val="21"/>
                <w:highlight w:val="none"/>
                <w:lang w:val="en-US" w:eastAsia="zh-CN"/>
                <w14:textFill>
                  <w14:solidFill>
                    <w14:schemeClr w14:val="tx1"/>
                  </w14:solidFill>
                </w14:textFill>
              </w:rPr>
              <w:t>2</w:t>
            </w:r>
          </w:p>
        </w:tc>
      </w:tr>
    </w:tbl>
    <w:p w14:paraId="6A1F1F60">
      <w:pPr>
        <w:ind w:firstLine="0" w:firstLineChars="0"/>
        <w:rPr>
          <w:color w:val="000000" w:themeColor="text1"/>
          <w14:textFill>
            <w14:solidFill>
              <w14:schemeClr w14:val="tx1"/>
            </w14:solidFill>
          </w14:textFill>
        </w:rPr>
      </w:pPr>
    </w:p>
    <w:p w14:paraId="1C0D8989">
      <w:pPr>
        <w:spacing w:line="240" w:lineRule="auto"/>
        <w:ind w:firstLine="0" w:firstLineChars="0"/>
        <w:jc w:val="center"/>
        <w:rPr>
          <w:color w:val="000000" w:themeColor="text1"/>
          <w14:textFill>
            <w14:solidFill>
              <w14:schemeClr w14:val="tx1"/>
            </w14:solidFill>
          </w14:textFill>
        </w:rPr>
        <w:sectPr>
          <w:pgSz w:w="16840" w:h="11907" w:orient="landscape"/>
          <w:pgMar w:top="1440" w:right="1797" w:bottom="1440" w:left="1797" w:header="851" w:footer="1134" w:gutter="0"/>
          <w:pgBorders>
            <w:top w:val="none" w:sz="0" w:space="0"/>
            <w:left w:val="none" w:sz="0" w:space="0"/>
            <w:bottom w:val="none" w:sz="0" w:space="0"/>
            <w:right w:val="none" w:sz="0" w:space="0"/>
          </w:pgBorders>
          <w:cols w:space="0" w:num="1"/>
          <w:docGrid w:linePitch="326" w:charSpace="0"/>
        </w:sectPr>
      </w:pP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8809"/>
      </w:tblGrid>
      <w:tr w14:paraId="2A8C2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1" w:hRule="atLeast"/>
          <w:jc w:val="center"/>
        </w:trPr>
        <w:tc>
          <w:tcPr>
            <w:tcW w:w="235" w:type="pct"/>
            <w:vAlign w:val="center"/>
          </w:tcPr>
          <w:p w14:paraId="6D39EEE0">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运营</w:t>
            </w:r>
          </w:p>
          <w:p w14:paraId="628DFA03">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期环</w:t>
            </w:r>
          </w:p>
          <w:p w14:paraId="7BBD41FE">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境影</w:t>
            </w:r>
          </w:p>
          <w:p w14:paraId="2699A59C">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响和</w:t>
            </w:r>
          </w:p>
          <w:p w14:paraId="6F7320B8">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保护</w:t>
            </w:r>
          </w:p>
          <w:p w14:paraId="2EBB24E3">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措施</w:t>
            </w:r>
          </w:p>
        </w:tc>
        <w:tc>
          <w:tcPr>
            <w:tcW w:w="4765" w:type="pct"/>
            <w:vAlign w:val="center"/>
          </w:tcPr>
          <w:p w14:paraId="237D0FB4">
            <w:pPr>
              <w:pStyle w:val="92"/>
              <w:ind w:firstLine="482"/>
              <w:jc w:val="both"/>
              <w:textAlignment w:val="baseline"/>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3</w:t>
            </w:r>
            <w:r>
              <w:rPr>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源强分析</w:t>
            </w:r>
          </w:p>
          <w:p w14:paraId="51B72968">
            <w:pPr>
              <w:ind w:firstLine="480"/>
              <w:rPr>
                <w:color w:val="000000" w:themeColor="text1"/>
                <w14:textFill>
                  <w14:solidFill>
                    <w14:schemeClr w14:val="tx1"/>
                  </w14:solidFill>
                </w14:textFill>
              </w:rPr>
            </w:pPr>
            <w:r>
              <w:rPr>
                <w:rFonts w:hint="eastAsia"/>
                <w:b w:val="0"/>
                <w:bCs w:val="0"/>
                <w:color w:val="000000" w:themeColor="text1"/>
                <w14:textFill>
                  <w14:solidFill>
                    <w14:schemeClr w14:val="tx1"/>
                  </w14:solidFill>
                </w14:textFill>
              </w:rPr>
              <w:t>根据工程分析，项目</w:t>
            </w:r>
            <w:r>
              <w:rPr>
                <w:rFonts w:hint="eastAsia"/>
                <w:b w:val="0"/>
                <w:bCs w:val="0"/>
                <w:color w:val="000000" w:themeColor="text1"/>
                <w:lang w:val="en-US" w:eastAsia="zh-CN"/>
                <w14:textFill>
                  <w14:solidFill>
                    <w14:schemeClr w14:val="tx1"/>
                  </w14:solidFill>
                </w14:textFill>
              </w:rPr>
              <w:t>运营期废气主要包括：石膏投料粉尘G1、石粉投料粉尘G2、搅桨废气G3、注浆、成型废气G4、</w:t>
            </w:r>
            <w:r>
              <w:rPr>
                <w:rFonts w:hint="eastAsia" w:ascii="Times New Roman" w:hAnsi="Times New Roman" w:eastAsia="宋体" w:cs="Times New Roman"/>
                <w:b w:val="0"/>
                <w:bCs w:val="0"/>
                <w:color w:val="000000" w:themeColor="text1"/>
                <w:spacing w:val="0"/>
                <w:sz w:val="24"/>
                <w:lang w:val="en-US" w:eastAsia="zh-CN"/>
                <w14:textFill>
                  <w14:solidFill>
                    <w14:schemeClr w14:val="tx1"/>
                  </w14:solidFill>
                </w14:textFill>
              </w:rPr>
              <w:t>打磨粉尘G5</w:t>
            </w:r>
            <w:r>
              <w:rPr>
                <w:rFonts w:hint="eastAsia" w:eastAsia="宋体" w:cs="Times New Roman"/>
                <w:b w:val="0"/>
                <w:bCs w:val="0"/>
                <w:color w:val="000000" w:themeColor="text1"/>
                <w:spacing w:val="0"/>
                <w:sz w:val="24"/>
                <w:lang w:val="en-US" w:eastAsia="zh-CN"/>
                <w14:textFill>
                  <w14:solidFill>
                    <w14:schemeClr w14:val="tx1"/>
                  </w14:solidFill>
                </w14:textFill>
              </w:rPr>
              <w:t>、</w:t>
            </w:r>
            <w:r>
              <w:rPr>
                <w:rFonts w:hint="eastAsia" w:cs="Times New Roman"/>
                <w:b w:val="0"/>
                <w:bCs w:val="0"/>
                <w:color w:val="000000" w:themeColor="text1"/>
                <w:sz w:val="24"/>
                <w:lang w:val="en-US" w:eastAsia="zh-CN"/>
                <w14:textFill>
                  <w14:solidFill>
                    <w14:schemeClr w14:val="tx1"/>
                  </w14:solidFill>
                </w14:textFill>
              </w:rPr>
              <w:t>调漆废气G6、喷漆、流平、晾干废气G7、喷枪清洗废气G8以及彩绘、晾干废气G9、</w:t>
            </w:r>
            <w:r>
              <w:rPr>
                <w:rFonts w:hint="eastAsia"/>
                <w:b w:val="0"/>
                <w:bCs w:val="0"/>
                <w:color w:val="000000" w:themeColor="text1"/>
                <w:lang w:val="en-US" w:eastAsia="zh-CN"/>
                <w14:textFill>
                  <w14:solidFill>
                    <w14:schemeClr w14:val="tx1"/>
                  </w14:solidFill>
                </w14:textFill>
              </w:rPr>
              <w:t>焊接烟尘G10、</w:t>
            </w:r>
            <w:r>
              <w:rPr>
                <w:rFonts w:hint="eastAsia" w:eastAsia="宋体"/>
                <w:b w:val="0"/>
                <w:bCs w:val="0"/>
                <w:color w:val="000000" w:themeColor="text1"/>
                <w:lang w:val="en-US" w:eastAsia="zh-CN"/>
                <w14:textFill>
                  <w14:solidFill>
                    <w14:schemeClr w14:val="tx1"/>
                  </w14:solidFill>
                </w14:textFill>
              </w:rPr>
              <w:t>粘胶废气G11</w:t>
            </w:r>
            <w:r>
              <w:rPr>
                <w:rFonts w:hint="eastAsia"/>
                <w:color w:val="000000" w:themeColor="text1"/>
                <w14:textFill>
                  <w14:solidFill>
                    <w14:schemeClr w14:val="tx1"/>
                  </w14:solidFill>
                </w14:textFill>
              </w:rPr>
              <w:t>。</w:t>
            </w:r>
          </w:p>
          <w:p w14:paraId="7ABC4987">
            <w:pPr>
              <w:pStyle w:val="94"/>
              <w:numPr>
                <w:ilvl w:val="0"/>
                <w:numId w:val="0"/>
              </w:numPr>
              <w:ind w:left="480" w:leftChars="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1）石膏投料粉尘G1、石粉投料粉尘G2</w:t>
            </w:r>
          </w:p>
          <w:p w14:paraId="7D8DE0DC">
            <w:pPr>
              <w:ind w:firstLine="480"/>
              <w:rPr>
                <w:rFonts w:hint="default" w:ascii="Times New Roman" w:hAnsi="Times New Roman" w:eastAsia="宋体" w:cs="Times New Roman"/>
                <w:bCs/>
                <w:color w:val="000000" w:themeColor="text1"/>
                <w:sz w:val="24"/>
                <w:lang w:val="en-US" w:eastAsia="zh-CN"/>
                <w14:textFill>
                  <w14:solidFill>
                    <w14:schemeClr w14:val="tx1"/>
                  </w14:solidFill>
                </w14:textFill>
              </w:rPr>
            </w:pPr>
            <w:r>
              <w:rPr>
                <w:rFonts w:hint="eastAsia"/>
                <w:color w:val="000000" w:themeColor="text1"/>
                <w14:textFill>
                  <w14:solidFill>
                    <w14:schemeClr w14:val="tx1"/>
                  </w14:solidFill>
                </w14:textFill>
              </w:rPr>
              <w:t>项目</w:t>
            </w:r>
            <w:r>
              <w:rPr>
                <w:rFonts w:hint="eastAsia"/>
                <w:color w:val="000000" w:themeColor="text1"/>
                <w:lang w:val="en-US" w:eastAsia="zh-CN"/>
                <w14:textFill>
                  <w14:solidFill>
                    <w14:schemeClr w14:val="tx1"/>
                  </w14:solidFill>
                </w14:textFill>
              </w:rPr>
              <w:t>原料石粉、石膏等均为粉状物料，且投料方式为人工投料，故石粉、石膏等原料投料过程中会产生投料粉尘，主要污染物为颗粒物。</w:t>
            </w:r>
            <w:r>
              <w:rPr>
                <w:rFonts w:hint="eastAsia" w:ascii="Times New Roman" w:hAnsi="Times New Roman" w:eastAsia="宋体" w:cs="Times New Roman"/>
                <w:bCs/>
                <w:color w:val="000000" w:themeColor="text1"/>
                <w:sz w:val="24"/>
                <w14:textFill>
                  <w14:solidFill>
                    <w14:schemeClr w14:val="tx1"/>
                  </w14:solidFill>
                </w14:textFill>
              </w:rPr>
              <w:t>参照《逸散性工业粉尘控制技术》（中国环境科学出版社）表13-2中水泥装载的逸散性粉尘</w:t>
            </w:r>
            <w:r>
              <w:rPr>
                <w:rFonts w:hint="eastAsia" w:ascii="Times New Roman" w:hAnsi="Times New Roman" w:eastAsia="宋体" w:cs="Times New Roman"/>
                <w:bCs/>
                <w:color w:val="000000" w:themeColor="text1"/>
                <w:sz w:val="24"/>
                <w:lang w:val="en-US" w:eastAsia="zh-CN"/>
                <w14:textFill>
                  <w14:solidFill>
                    <w14:schemeClr w14:val="tx1"/>
                  </w14:solidFill>
                </w14:textFill>
              </w:rPr>
              <w:t>产污系数</w:t>
            </w:r>
            <w:r>
              <w:rPr>
                <w:rFonts w:hint="eastAsia" w:ascii="Times New Roman" w:hAnsi="Times New Roman" w:eastAsia="宋体" w:cs="Times New Roman"/>
                <w:bCs/>
                <w:color w:val="000000" w:themeColor="text1"/>
                <w:sz w:val="24"/>
                <w14:textFill>
                  <w14:solidFill>
                    <w14:schemeClr w14:val="tx1"/>
                  </w14:solidFill>
                </w14:textFill>
              </w:rPr>
              <w:t>0.118kg/t（物料），</w:t>
            </w:r>
            <w:r>
              <w:rPr>
                <w:rFonts w:hint="eastAsia" w:ascii="Times New Roman" w:hAnsi="Times New Roman" w:eastAsia="宋体" w:cs="Times New Roman"/>
                <w:bCs/>
                <w:color w:val="000000" w:themeColor="text1"/>
                <w:sz w:val="24"/>
                <w:lang w:val="en-US" w:eastAsia="zh-CN"/>
                <w14:textFill>
                  <w14:solidFill>
                    <w14:schemeClr w14:val="tx1"/>
                  </w14:solidFill>
                </w14:textFill>
              </w:rPr>
              <w:t>项目石粉、石膏年用量分别为40t/a、1.5t/a，则</w:t>
            </w:r>
            <w:r>
              <w:rPr>
                <w:rFonts w:hint="eastAsia" w:cs="Times New Roman"/>
                <w:bCs/>
                <w:color w:val="000000" w:themeColor="text1"/>
                <w:sz w:val="24"/>
                <w:lang w:val="en-US" w:eastAsia="zh-CN"/>
                <w14:textFill>
                  <w14:solidFill>
                    <w14:schemeClr w14:val="tx1"/>
                  </w14:solidFill>
                </w14:textFill>
              </w:rPr>
              <w:t>石粉</w:t>
            </w:r>
            <w:r>
              <w:rPr>
                <w:rFonts w:hint="eastAsia" w:ascii="Times New Roman" w:hAnsi="Times New Roman" w:eastAsia="宋体" w:cs="Times New Roman"/>
                <w:bCs/>
                <w:color w:val="000000" w:themeColor="text1"/>
                <w:sz w:val="24"/>
                <w:lang w:val="en-US" w:eastAsia="zh-CN"/>
                <w14:textFill>
                  <w14:solidFill>
                    <w14:schemeClr w14:val="tx1"/>
                  </w14:solidFill>
                </w14:textFill>
              </w:rPr>
              <w:t>投料粉尘G1、</w:t>
            </w:r>
            <w:r>
              <w:rPr>
                <w:rFonts w:hint="eastAsia" w:cs="Times New Roman"/>
                <w:bCs/>
                <w:color w:val="000000" w:themeColor="text1"/>
                <w:sz w:val="24"/>
                <w:lang w:val="en-US" w:eastAsia="zh-CN"/>
                <w14:textFill>
                  <w14:solidFill>
                    <w14:schemeClr w14:val="tx1"/>
                  </w14:solidFill>
                </w14:textFill>
              </w:rPr>
              <w:t>石膏投料粉尘</w:t>
            </w:r>
            <w:r>
              <w:rPr>
                <w:rFonts w:hint="eastAsia" w:ascii="Times New Roman" w:hAnsi="Times New Roman" w:eastAsia="宋体" w:cs="Times New Roman"/>
                <w:bCs/>
                <w:color w:val="000000" w:themeColor="text1"/>
                <w:sz w:val="24"/>
                <w:lang w:val="en-US" w:eastAsia="zh-CN"/>
                <w14:textFill>
                  <w14:solidFill>
                    <w14:schemeClr w14:val="tx1"/>
                  </w14:solidFill>
                </w14:textFill>
              </w:rPr>
              <w:t>G2</w:t>
            </w:r>
            <w:r>
              <w:rPr>
                <w:rFonts w:hint="eastAsia" w:cs="Times New Roman"/>
                <w:bCs/>
                <w:color w:val="000000" w:themeColor="text1"/>
                <w:sz w:val="24"/>
                <w:lang w:val="en-US" w:eastAsia="zh-CN"/>
                <w14:textFill>
                  <w14:solidFill>
                    <w14:schemeClr w14:val="tx1"/>
                  </w14:solidFill>
                </w14:textFill>
              </w:rPr>
              <w:t>颗粒物</w:t>
            </w:r>
            <w:r>
              <w:rPr>
                <w:rFonts w:hint="eastAsia" w:ascii="Times New Roman" w:hAnsi="Times New Roman" w:eastAsia="宋体" w:cs="Times New Roman"/>
                <w:bCs/>
                <w:color w:val="000000" w:themeColor="text1"/>
                <w:sz w:val="24"/>
                <w:lang w:val="en-US" w:eastAsia="zh-CN"/>
                <w14:textFill>
                  <w14:solidFill>
                    <w14:schemeClr w14:val="tx1"/>
                  </w14:solidFill>
                </w14:textFill>
              </w:rPr>
              <w:t>产生量分别约为0.005t/a、1.77E-04t/a。投料粉尘以自然沉降方式在车间沉降下来，沉降率按60%考虑，则</w:t>
            </w:r>
            <w:r>
              <w:rPr>
                <w:rFonts w:hint="eastAsia" w:cs="Times New Roman"/>
                <w:bCs/>
                <w:color w:val="000000" w:themeColor="text1"/>
                <w:sz w:val="24"/>
                <w:lang w:val="en-US" w:eastAsia="zh-CN"/>
                <w14:textFill>
                  <w14:solidFill>
                    <w14:schemeClr w14:val="tx1"/>
                  </w14:solidFill>
                </w14:textFill>
              </w:rPr>
              <w:t>石粉投料粉尘、石膏</w:t>
            </w:r>
            <w:r>
              <w:rPr>
                <w:rFonts w:hint="eastAsia" w:ascii="Times New Roman" w:hAnsi="Times New Roman" w:eastAsia="宋体" w:cs="Times New Roman"/>
                <w:bCs/>
                <w:color w:val="000000" w:themeColor="text1"/>
                <w:sz w:val="24"/>
                <w:lang w:val="en-US" w:eastAsia="zh-CN"/>
                <w14:textFill>
                  <w14:solidFill>
                    <w14:schemeClr w14:val="tx1"/>
                  </w14:solidFill>
                </w14:textFill>
              </w:rPr>
              <w:t>投料粉尘</w:t>
            </w:r>
            <w:r>
              <w:rPr>
                <w:rFonts w:hint="eastAsia" w:cs="Times New Roman"/>
                <w:bCs/>
                <w:color w:val="000000" w:themeColor="text1"/>
                <w:sz w:val="24"/>
                <w:lang w:val="en-US" w:eastAsia="zh-CN"/>
                <w14:textFill>
                  <w14:solidFill>
                    <w14:schemeClr w14:val="tx1"/>
                  </w14:solidFill>
                </w14:textFill>
              </w:rPr>
              <w:t>颗粒物</w:t>
            </w:r>
            <w:r>
              <w:rPr>
                <w:rFonts w:hint="eastAsia" w:ascii="Times New Roman" w:hAnsi="Times New Roman" w:eastAsia="宋体" w:cs="Times New Roman"/>
                <w:bCs/>
                <w:color w:val="000000" w:themeColor="text1"/>
                <w:sz w:val="24"/>
                <w:lang w:val="en-US" w:eastAsia="zh-CN"/>
                <w14:textFill>
                  <w14:solidFill>
                    <w14:schemeClr w14:val="tx1"/>
                  </w14:solidFill>
                </w14:textFill>
              </w:rPr>
              <w:t>无组织排放量</w:t>
            </w:r>
            <w:r>
              <w:rPr>
                <w:rFonts w:hint="eastAsia" w:cs="Times New Roman"/>
                <w:bCs/>
                <w:color w:val="000000" w:themeColor="text1"/>
                <w:sz w:val="24"/>
                <w:lang w:val="en-US" w:eastAsia="zh-CN"/>
                <w14:textFill>
                  <w14:solidFill>
                    <w14:schemeClr w14:val="tx1"/>
                  </w14:solidFill>
                </w14:textFill>
              </w:rPr>
              <w:t>分别</w:t>
            </w:r>
            <w:r>
              <w:rPr>
                <w:rFonts w:hint="eastAsia" w:ascii="Times New Roman" w:hAnsi="Times New Roman" w:eastAsia="宋体" w:cs="Times New Roman"/>
                <w:bCs/>
                <w:color w:val="000000" w:themeColor="text1"/>
                <w:sz w:val="24"/>
                <w:lang w:val="en-US" w:eastAsia="zh-CN"/>
                <w14:textFill>
                  <w14:solidFill>
                    <w14:schemeClr w14:val="tx1"/>
                  </w14:solidFill>
                </w14:textFill>
              </w:rPr>
              <w:t>为0.002t/a（0.007kg/h，年排放时间300h）</w:t>
            </w:r>
            <w:r>
              <w:rPr>
                <w:rFonts w:hint="eastAsia" w:cs="Times New Roman"/>
                <w:bCs/>
                <w:color w:val="000000" w:themeColor="text1"/>
                <w:sz w:val="24"/>
                <w:lang w:val="en-US" w:eastAsia="zh-CN"/>
                <w14:textFill>
                  <w14:solidFill>
                    <w14:schemeClr w14:val="tx1"/>
                  </w14:solidFill>
                </w14:textFill>
              </w:rPr>
              <w:t>、7.08E-05</w:t>
            </w:r>
            <w:r>
              <w:rPr>
                <w:rFonts w:hint="eastAsia" w:ascii="Times New Roman" w:hAnsi="Times New Roman" w:eastAsia="宋体" w:cs="Times New Roman"/>
                <w:bCs/>
                <w:color w:val="000000" w:themeColor="text1"/>
                <w:sz w:val="24"/>
                <w:lang w:val="en-US" w:eastAsia="zh-CN"/>
                <w14:textFill>
                  <w14:solidFill>
                    <w14:schemeClr w14:val="tx1"/>
                  </w14:solidFill>
                </w14:textFill>
              </w:rPr>
              <w:t>t/a（</w:t>
            </w:r>
            <w:r>
              <w:rPr>
                <w:rFonts w:hint="eastAsia" w:cs="Times New Roman"/>
                <w:bCs/>
                <w:color w:val="000000" w:themeColor="text1"/>
                <w:sz w:val="24"/>
                <w:lang w:val="en-US" w:eastAsia="zh-CN"/>
                <w14:textFill>
                  <w14:solidFill>
                    <w14:schemeClr w14:val="tx1"/>
                  </w14:solidFill>
                </w14:textFill>
              </w:rPr>
              <w:t>7.08E-04</w:t>
            </w:r>
            <w:r>
              <w:rPr>
                <w:rFonts w:hint="eastAsia" w:ascii="Times New Roman" w:hAnsi="Times New Roman" w:eastAsia="宋体" w:cs="Times New Roman"/>
                <w:bCs/>
                <w:color w:val="000000" w:themeColor="text1"/>
                <w:sz w:val="24"/>
                <w:lang w:val="en-US" w:eastAsia="zh-CN"/>
                <w14:textFill>
                  <w14:solidFill>
                    <w14:schemeClr w14:val="tx1"/>
                  </w14:solidFill>
                </w14:textFill>
              </w:rPr>
              <w:t>kg/h，年排放时间</w:t>
            </w:r>
            <w:r>
              <w:rPr>
                <w:rFonts w:hint="eastAsia" w:cs="Times New Roman"/>
                <w:bCs/>
                <w:color w:val="000000" w:themeColor="text1"/>
                <w:sz w:val="24"/>
                <w:lang w:val="en-US" w:eastAsia="zh-CN"/>
                <w14:textFill>
                  <w14:solidFill>
                    <w14:schemeClr w14:val="tx1"/>
                  </w14:solidFill>
                </w14:textFill>
              </w:rPr>
              <w:t>100</w:t>
            </w:r>
            <w:r>
              <w:rPr>
                <w:rFonts w:hint="eastAsia" w:ascii="Times New Roman" w:hAnsi="Times New Roman" w:eastAsia="宋体" w:cs="Times New Roman"/>
                <w:bCs/>
                <w:color w:val="000000" w:themeColor="text1"/>
                <w:sz w:val="24"/>
                <w:lang w:val="en-US" w:eastAsia="zh-CN"/>
                <w14:textFill>
                  <w14:solidFill>
                    <w14:schemeClr w14:val="tx1"/>
                  </w14:solidFill>
                </w14:textFill>
              </w:rPr>
              <w:t>h）。</w:t>
            </w:r>
          </w:p>
          <w:p w14:paraId="3B18290C">
            <w:pPr>
              <w:pStyle w:val="94"/>
              <w:numPr>
                <w:ilvl w:val="0"/>
                <w:numId w:val="0"/>
              </w:numPr>
              <w:ind w:left="480" w:leftChars="0"/>
              <w:rPr>
                <w:rFonts w:hint="default"/>
                <w:b/>
                <w:bCs/>
                <w:color w:val="000000" w:themeColor="text1"/>
                <w:lang w:val="en-US"/>
                <w14:textFill>
                  <w14:solidFill>
                    <w14:schemeClr w14:val="tx1"/>
                  </w14:solidFill>
                </w14:textFill>
              </w:rPr>
            </w:pPr>
            <w:r>
              <w:rPr>
                <w:rFonts w:hint="eastAsia"/>
                <w:b/>
                <w:bCs/>
                <w:color w:val="000000" w:themeColor="text1"/>
                <w:lang w:val="en-US" w:eastAsia="zh-CN"/>
                <w14:textFill>
                  <w14:solidFill>
                    <w14:schemeClr w14:val="tx1"/>
                  </w14:solidFill>
                </w14:textFill>
              </w:rPr>
              <w:t>2）搅桨废气G3、注浆、成型废气G4</w:t>
            </w:r>
          </w:p>
          <w:p w14:paraId="2114B7BC">
            <w:pPr>
              <w:ind w:firstLine="480"/>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pP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项目</w:t>
            </w:r>
            <w:r>
              <w:rPr>
                <w:rFonts w:ascii="Times New Roman" w:hAnsi="Times New Roman" w:eastAsia="宋体" w:cs="Times New Roman"/>
                <w:bCs/>
                <w:color w:val="000000" w:themeColor="text1"/>
                <w:spacing w:val="0"/>
                <w:sz w:val="24"/>
                <w14:textFill>
                  <w14:solidFill>
                    <w14:schemeClr w14:val="tx1"/>
                  </w14:solidFill>
                </w14:textFill>
              </w:rPr>
              <w:t>不饱和</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聚酯</w:t>
            </w:r>
            <w:r>
              <w:rPr>
                <w:rFonts w:ascii="Times New Roman" w:hAnsi="Times New Roman" w:eastAsia="宋体" w:cs="Times New Roman"/>
                <w:bCs/>
                <w:color w:val="000000" w:themeColor="text1"/>
                <w:spacing w:val="0"/>
                <w:sz w:val="24"/>
                <w14:textFill>
                  <w14:solidFill>
                    <w14:schemeClr w14:val="tx1"/>
                  </w14:solidFill>
                </w14:textFill>
              </w:rPr>
              <w:t>树脂中含有苯乙烯成分</w:t>
            </w:r>
            <w:r>
              <w:rPr>
                <w:rFonts w:hint="eastAsia" w:cs="Times New Roman"/>
                <w:bCs/>
                <w:color w:val="000000" w:themeColor="text1"/>
                <w:spacing w:val="0"/>
                <w:sz w:val="24"/>
                <w:lang w:eastAsia="zh-CN"/>
                <w14:textFill>
                  <w14:solidFill>
                    <w14:schemeClr w14:val="tx1"/>
                  </w14:solidFill>
                </w14:textFill>
              </w:rPr>
              <w:t>（</w:t>
            </w:r>
            <w:r>
              <w:rPr>
                <w:rFonts w:hint="eastAsia" w:cs="Times New Roman"/>
                <w:bCs/>
                <w:color w:val="000000" w:themeColor="text1"/>
                <w:spacing w:val="0"/>
                <w:sz w:val="24"/>
                <w:lang w:val="en-US" w:eastAsia="zh-CN"/>
                <w14:textFill>
                  <w14:solidFill>
                    <w14:schemeClr w14:val="tx1"/>
                  </w14:solidFill>
                </w14:textFill>
              </w:rPr>
              <w:t>易挥发</w:t>
            </w:r>
            <w:r>
              <w:rPr>
                <w:rFonts w:hint="eastAsia" w:cs="Times New Roman"/>
                <w:bCs/>
                <w:color w:val="000000" w:themeColor="text1"/>
                <w:spacing w:val="0"/>
                <w:sz w:val="24"/>
                <w:lang w:eastAsia="zh-CN"/>
                <w14:textFill>
                  <w14:solidFill>
                    <w14:schemeClr w14:val="tx1"/>
                  </w14:solidFill>
                </w14:textFill>
              </w:rPr>
              <w:t>）</w:t>
            </w:r>
            <w:r>
              <w:rPr>
                <w:rFonts w:ascii="Times New Roman" w:hAnsi="Times New Roman" w:eastAsia="宋体" w:cs="Times New Roman"/>
                <w:bCs/>
                <w:color w:val="000000" w:themeColor="text1"/>
                <w:spacing w:val="0"/>
                <w:sz w:val="24"/>
                <w14:textFill>
                  <w14:solidFill>
                    <w14:schemeClr w14:val="tx1"/>
                  </w14:solidFill>
                </w14:textFill>
              </w:rPr>
              <w:t>，此外固化剂和促进剂中含挥发性化学物质，因此搅拌、注浆</w:t>
            </w:r>
            <w:r>
              <w:rPr>
                <w:rFonts w:hint="eastAsia" w:ascii="Times New Roman" w:hAnsi="Times New Roman" w:eastAsia="宋体" w:cs="Times New Roman"/>
                <w:bCs/>
                <w:color w:val="000000" w:themeColor="text1"/>
                <w:spacing w:val="0"/>
                <w:sz w:val="24"/>
                <w:lang w:eastAsia="zh-CN"/>
                <w14:textFill>
                  <w14:solidFill>
                    <w14:schemeClr w14:val="tx1"/>
                  </w14:solidFill>
                </w14:textFill>
              </w:rPr>
              <w:t>、</w:t>
            </w:r>
            <w:r>
              <w:rPr>
                <w:rFonts w:hint="eastAsia" w:ascii="Times New Roman" w:hAnsi="Times New Roman" w:eastAsia="宋体" w:cs="Times New Roman"/>
                <w:bCs/>
                <w:color w:val="000000" w:themeColor="text1"/>
                <w:spacing w:val="0"/>
                <w:sz w:val="24"/>
                <w14:textFill>
                  <w14:solidFill>
                    <w14:schemeClr w14:val="tx1"/>
                  </w14:solidFill>
                </w14:textFill>
              </w:rPr>
              <w:t>成型</w:t>
            </w:r>
            <w:r>
              <w:rPr>
                <w:rFonts w:ascii="Times New Roman" w:hAnsi="Times New Roman" w:eastAsia="宋体" w:cs="Times New Roman"/>
                <w:bCs/>
                <w:color w:val="000000" w:themeColor="text1"/>
                <w:spacing w:val="0"/>
                <w:sz w:val="24"/>
                <w14:textFill>
                  <w14:solidFill>
                    <w14:schemeClr w14:val="tx1"/>
                  </w14:solidFill>
                </w14:textFill>
              </w:rPr>
              <w:t>过程中会产生</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有机废气，主要污染物包括</w:t>
            </w:r>
            <w:r>
              <w:rPr>
                <w:rFonts w:ascii="Times New Roman" w:hAnsi="Times New Roman" w:eastAsia="宋体" w:cs="Times New Roman"/>
                <w:bCs/>
                <w:color w:val="000000" w:themeColor="text1"/>
                <w:spacing w:val="0"/>
                <w:sz w:val="24"/>
                <w14:textFill>
                  <w14:solidFill>
                    <w14:schemeClr w14:val="tx1"/>
                  </w14:solidFill>
                </w14:textFill>
              </w:rPr>
              <w:t>苯乙烯</w:t>
            </w:r>
            <w:r>
              <w:rPr>
                <w:rFonts w:hint="eastAsia" w:ascii="Times New Roman" w:hAnsi="Times New Roman" w:eastAsia="宋体" w:cs="Times New Roman"/>
                <w:bCs/>
                <w:color w:val="000000" w:themeColor="text1"/>
                <w:spacing w:val="0"/>
                <w:sz w:val="24"/>
                <w:lang w:eastAsia="zh-CN"/>
                <w14:textFill>
                  <w14:solidFill>
                    <w14:schemeClr w14:val="tx1"/>
                  </w14:solidFill>
                </w14:textFill>
              </w:rPr>
              <w:t>、</w:t>
            </w:r>
            <w:r>
              <w:rPr>
                <w:rFonts w:hint="eastAsia" w:cs="Times New Roman"/>
                <w:bCs/>
                <w:color w:val="000000" w:themeColor="text1"/>
                <w:spacing w:val="0"/>
                <w:sz w:val="24"/>
                <w:lang w:val="en-US" w:eastAsia="zh-CN"/>
                <w14:textFill>
                  <w14:solidFill>
                    <w14:schemeClr w14:val="tx1"/>
                  </w14:solidFill>
                </w14:textFill>
              </w:rPr>
              <w:t>TVOC</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、臭气浓度（异味）等。</w:t>
            </w:r>
            <w:r>
              <w:rPr>
                <w:rFonts w:hint="eastAsia" w:ascii="Times New Roman" w:hAnsi="Times New Roman" w:cs="Times New Roman"/>
                <w:color w:val="000000" w:themeColor="text1"/>
                <w:sz w:val="24"/>
                <w:szCs w:val="24"/>
                <w:lang w:val="en-US" w:eastAsia="zh-CN"/>
                <w14:textFill>
                  <w14:solidFill>
                    <w14:schemeClr w14:val="tx1"/>
                  </w14:solidFill>
                </w14:textFill>
              </w:rPr>
              <w:t>根据</w:t>
            </w:r>
            <w:r>
              <w:rPr>
                <w:rFonts w:hint="eastAsia" w:ascii="Times New Roman" w:hAnsi="Times New Roman" w:cs="Times New Roman"/>
                <w:color w:val="000000" w:themeColor="text1"/>
                <w:sz w:val="24"/>
                <w:szCs w:val="24"/>
                <w:lang w:eastAsia="zh-CN"/>
                <w14:textFill>
                  <w14:solidFill>
                    <w14:schemeClr w14:val="tx1"/>
                  </w14:solidFill>
                </w14:textFill>
              </w:rPr>
              <w:t>《排放源统计调查产排污核算方法和系数手册》（公告2021年第24号）243工艺美术及礼仪用品制造行业系数手册中2.3系数表中未涉及的产污系数及污染治理效率，“工艺美术品使用树脂等为原料，通过模具制作-脱模-打磨-抛光工艺生产工艺美术品的，模具制作-脱模工段参考33金属制品业工段为铸造，产品为铸造件，原料为原砂、再生砂、树脂、硬化剂、涂料、白模，工艺为造型/浇注（消失模/实型），规模为所有规模的系数”，</w:t>
            </w:r>
            <w:r>
              <w:rPr>
                <w:rFonts w:hint="eastAsia" w:ascii="Times New Roman" w:hAnsi="Times New Roman" w:cs="Times New Roman"/>
                <w:color w:val="000000" w:themeColor="text1"/>
                <w:sz w:val="24"/>
                <w:szCs w:val="24"/>
                <w:lang w:val="en-US" w:eastAsia="zh-CN"/>
                <w14:textFill>
                  <w14:solidFill>
                    <w14:schemeClr w14:val="tx1"/>
                  </w14:solidFill>
                </w14:textFill>
              </w:rPr>
              <w:t>挥发性有机物产污系数为0.453kg/t产品。由物料平衡可知，项目注浆、成型后的树脂工艺品（半成品）产量约90t，则</w:t>
            </w:r>
            <w:r>
              <w:rPr>
                <w:rFonts w:ascii="Times New Roman" w:hAnsi="Times New Roman" w:eastAsia="宋体" w:cs="Times New Roman"/>
                <w:bCs/>
                <w:color w:val="000000" w:themeColor="text1"/>
                <w:spacing w:val="0"/>
                <w:sz w:val="24"/>
                <w14:textFill>
                  <w14:solidFill>
                    <w14:schemeClr w14:val="tx1"/>
                  </w14:solidFill>
                </w14:textFill>
              </w:rPr>
              <w:t>苯乙烯</w:t>
            </w:r>
            <w:r>
              <w:rPr>
                <w:rFonts w:hint="eastAsia" w:cs="Times New Roman"/>
                <w:bCs/>
                <w:color w:val="000000" w:themeColor="text1"/>
                <w:spacing w:val="0"/>
                <w:sz w:val="24"/>
                <w:lang w:val="en-US" w:eastAsia="zh-CN"/>
                <w14:textFill>
                  <w14:solidFill>
                    <w14:schemeClr w14:val="tx1"/>
                  </w14:solidFill>
                </w14:textFill>
              </w:rPr>
              <w:t>产生量约0.041t/a。</w:t>
            </w:r>
          </w:p>
          <w:p w14:paraId="27AAB0E3">
            <w:pPr>
              <w:ind w:firstLine="480"/>
              <w:rPr>
                <w:rFonts w:hint="default" w:ascii="Times New Roman" w:hAnsi="Times New Roman" w:eastAsia="宋体" w:cs="Times New Roman"/>
                <w:bCs/>
                <w:color w:val="000000" w:themeColor="text1"/>
                <w:spacing w:val="0"/>
                <w:sz w:val="24"/>
                <w:lang w:val="en-US" w:eastAsia="zh-CN"/>
                <w14:textFill>
                  <w14:solidFill>
                    <w14:schemeClr w14:val="tx1"/>
                  </w14:solidFill>
                </w14:textFill>
              </w:rPr>
            </w:pP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固化剂中挥发的主要成分为邻苯二甲酸甲酯、过氧化甲基乙基甲酮、二乙二醇和甲基乙基甲酮，其组分占比合计为95%；促进剂中挥发的主要成分为二甘醇（含量为56%）。项目固化剂、促进剂年用量分别为0.5t/a和0.1t/a，按最不利情况分析，假定注浆、成型过程中固化剂、促进剂中挥发组分全部挥发，</w:t>
            </w:r>
            <w:r>
              <w:rPr>
                <w:rFonts w:hint="eastAsia" w:cs="Times New Roman"/>
                <w:bCs/>
                <w:color w:val="000000" w:themeColor="text1"/>
                <w:spacing w:val="0"/>
                <w:sz w:val="24"/>
                <w:lang w:val="en-US" w:eastAsia="zh-CN"/>
                <w14:textFill>
                  <w14:solidFill>
                    <w14:schemeClr w14:val="tx1"/>
                  </w14:solidFill>
                </w14:textFill>
              </w:rPr>
              <w:t>挥发的有机废气产生量合计约0.531t/a，加上不饱和聚酯树脂挥发的苯乙烯，</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搅桨废气和注浆、成型废气</w:t>
            </w:r>
            <w:r>
              <w:rPr>
                <w:rFonts w:hint="eastAsia" w:cs="Times New Roman"/>
                <w:bCs/>
                <w:color w:val="000000" w:themeColor="text1"/>
                <w:spacing w:val="0"/>
                <w:sz w:val="24"/>
                <w:lang w:val="en-US" w:eastAsia="zh-CN"/>
                <w14:textFill>
                  <w14:solidFill>
                    <w14:schemeClr w14:val="tx1"/>
                  </w14:solidFill>
                </w14:textFill>
              </w:rPr>
              <w:t>TVOC</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产生量</w:t>
            </w:r>
            <w:r>
              <w:rPr>
                <w:rFonts w:hint="eastAsia" w:cs="Times New Roman"/>
                <w:bCs/>
                <w:color w:val="000000" w:themeColor="text1"/>
                <w:spacing w:val="0"/>
                <w:sz w:val="24"/>
                <w:lang w:val="en-US" w:eastAsia="zh-CN"/>
                <w14:textFill>
                  <w14:solidFill>
                    <w14:schemeClr w14:val="tx1"/>
                  </w14:solidFill>
                </w14:textFill>
              </w:rPr>
              <w:t>合计</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约为</w:t>
            </w:r>
            <w:r>
              <w:rPr>
                <w:rFonts w:hint="eastAsia" w:cs="Times New Roman"/>
                <w:bCs/>
                <w:color w:val="000000" w:themeColor="text1"/>
                <w:spacing w:val="0"/>
                <w:sz w:val="24"/>
                <w:lang w:val="en-US" w:eastAsia="zh-CN"/>
                <w14:textFill>
                  <w14:solidFill>
                    <w14:schemeClr w14:val="tx1"/>
                  </w14:solidFill>
                </w14:textFill>
              </w:rPr>
              <w:t>0.572</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t/a</w:t>
            </w:r>
            <w:r>
              <w:rPr>
                <w:rFonts w:hint="eastAsia" w:cs="Times New Roman"/>
                <w:bCs/>
                <w:color w:val="000000" w:themeColor="text1"/>
                <w:spacing w:val="0"/>
                <w:sz w:val="24"/>
                <w:lang w:val="en-US" w:eastAsia="zh-CN"/>
                <w14:textFill>
                  <w14:solidFill>
                    <w14:schemeClr w14:val="tx1"/>
                  </w14:solidFill>
                </w14:textFill>
              </w:rPr>
              <w:t>（含不饱和聚酯树脂挥发的苯乙烯）</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w:t>
            </w:r>
            <w:r>
              <w:rPr>
                <w:rFonts w:hint="eastAsia" w:cs="Times New Roman"/>
                <w:bCs/>
                <w:color w:val="000000" w:themeColor="text1"/>
                <w:spacing w:val="0"/>
                <w:sz w:val="24"/>
                <w:lang w:val="en-US" w:eastAsia="zh-CN"/>
                <w14:textFill>
                  <w14:solidFill>
                    <w14:schemeClr w14:val="tx1"/>
                  </w14:solidFill>
                </w14:textFill>
              </w:rPr>
              <w:t>项目在搅浆、注浆、成型工序上方设置集气罩收集搅浆废气、注浆、成型废气，收集效率按80%计，则有组织苯乙烯、TVOC产生量分别为0.033t/a、0.458t/a，无组织苯乙烯、TVOC产生量分别为0.008t/a、0.114t/a。项目对收集的搅浆废气、注浆、成型废气拟采取1套“二级活性炭吸附”处理后，通过一根30m高排气筒排放（DA001排气筒）。</w:t>
            </w:r>
            <w:r>
              <w:rPr>
                <w:rFonts w:hint="default" w:ascii="Times New Roman" w:hAnsi="Times New Roman" w:cs="Times New Roman"/>
                <w:bCs/>
                <w:color w:val="000000" w:themeColor="text1"/>
                <w:szCs w:val="24"/>
                <w14:textFill>
                  <w14:solidFill>
                    <w14:schemeClr w14:val="tx1"/>
                  </w14:solidFill>
                </w14:textFill>
              </w:rPr>
              <w:t>根据</w:t>
            </w:r>
            <w:r>
              <w:rPr>
                <w:rFonts w:hint="default" w:ascii="Times New Roman" w:hAnsi="Times New Roman" w:cs="Times New Roman"/>
                <w:color w:val="000000" w:themeColor="text1"/>
                <w:szCs w:val="22"/>
                <w14:textFill>
                  <w14:solidFill>
                    <w14:schemeClr w14:val="tx1"/>
                  </w14:solidFill>
                </w14:textFill>
              </w:rPr>
              <w:t>《江西省生态环境厅关于做好2021年主要大气污染物总量减排核算工作的通知》（赣环大气〔2021〕24号）</w:t>
            </w:r>
            <w:r>
              <w:rPr>
                <w:rFonts w:hint="default" w:ascii="Times New Roman" w:hAnsi="Times New Roman" w:cs="Times New Roman"/>
                <w:bCs/>
                <w:color w:val="000000" w:themeColor="text1"/>
                <w:szCs w:val="24"/>
                <w14:textFill>
                  <w14:solidFill>
                    <w14:schemeClr w14:val="tx1"/>
                  </w14:solidFill>
                </w14:textFill>
              </w:rPr>
              <w:t>，一级活性炭吸附的去除效率为30%，</w:t>
            </w:r>
            <w:r>
              <w:rPr>
                <w:rFonts w:hint="eastAsia" w:cs="Times New Roman"/>
                <w:bCs/>
                <w:color w:val="000000" w:themeColor="text1"/>
                <w:szCs w:val="24"/>
                <w:lang w:val="en-US" w:eastAsia="zh-CN"/>
                <w14:textFill>
                  <w14:solidFill>
                    <w14:schemeClr w14:val="tx1"/>
                  </w14:solidFill>
                </w14:textFill>
              </w:rPr>
              <w:t>二级活性炭吸附去除效率=1-（1-30%）*（1-30%）=51%，本次评价二级活性炭吸附处理效率取51%。</w:t>
            </w:r>
          </w:p>
          <w:p w14:paraId="05B06FF2">
            <w:pPr>
              <w:ind w:firstLine="480"/>
              <w:rPr>
                <w:rFonts w:hint="default" w:ascii="Times New Roman" w:hAnsi="Times New Roman" w:eastAsia="宋体" w:cs="Times New Roman"/>
                <w:b/>
                <w:bCs w:val="0"/>
                <w:color w:val="000000" w:themeColor="text1"/>
                <w:spacing w:val="0"/>
                <w:sz w:val="24"/>
                <w:lang w:val="en-US" w:eastAsia="zh-CN"/>
                <w14:textFill>
                  <w14:solidFill>
                    <w14:schemeClr w14:val="tx1"/>
                  </w14:solidFill>
                </w14:textFill>
              </w:rPr>
            </w:pPr>
            <w:r>
              <w:rPr>
                <w:rFonts w:hint="eastAsia" w:ascii="Times New Roman" w:hAnsi="Times New Roman" w:eastAsia="宋体" w:cs="Times New Roman"/>
                <w:b/>
                <w:bCs w:val="0"/>
                <w:color w:val="000000" w:themeColor="text1"/>
                <w:spacing w:val="0"/>
                <w:sz w:val="24"/>
                <w:lang w:val="en-US" w:eastAsia="zh-CN"/>
                <w14:textFill>
                  <w14:solidFill>
                    <w14:schemeClr w14:val="tx1"/>
                  </w14:solidFill>
                </w14:textFill>
              </w:rPr>
              <w:t>3）打磨粉尘G5</w:t>
            </w:r>
          </w:p>
          <w:p w14:paraId="299ABF42">
            <w:pPr>
              <w:ind w:firstLine="480"/>
              <w:rPr>
                <w:rFonts w:hint="eastAsia" w:cs="Times New Roman"/>
                <w:bCs/>
                <w:color w:val="000000" w:themeColor="text1"/>
                <w:sz w:val="24"/>
                <w:lang w:val="en-US" w:eastAsia="zh-CN"/>
                <w14:textFill>
                  <w14:solidFill>
                    <w14:schemeClr w14:val="tx1"/>
                  </w14:solidFill>
                </w14:textFill>
              </w:rPr>
            </w:pPr>
            <w:r>
              <w:rPr>
                <w:rFonts w:hint="eastAsia"/>
                <w:color w:val="000000" w:themeColor="text1"/>
                <w14:textFill>
                  <w14:solidFill>
                    <w14:schemeClr w14:val="tx1"/>
                  </w14:solidFill>
                </w14:textFill>
              </w:rPr>
              <w:t>项目</w:t>
            </w:r>
            <w:r>
              <w:rPr>
                <w:rFonts w:hint="eastAsia"/>
                <w:color w:val="000000" w:themeColor="text1"/>
                <w:lang w:val="en-US" w:eastAsia="zh-CN"/>
                <w14:textFill>
                  <w14:solidFill>
                    <w14:schemeClr w14:val="tx1"/>
                  </w14:solidFill>
                </w14:textFill>
              </w:rPr>
              <w:t>使用打磨机、磨底机对树脂工艺品坯体进行打磨，该过程会产生打磨粉尘G5，主要污染物为颗粒物。</w:t>
            </w:r>
            <w:r>
              <w:rPr>
                <w:rFonts w:hint="eastAsia" w:ascii="Times New Roman" w:hAnsi="Times New Roman" w:eastAsia="宋体" w:cs="Times New Roman"/>
                <w:bCs/>
                <w:color w:val="000000" w:themeColor="text1"/>
                <w:sz w:val="24"/>
                <w14:textFill>
                  <w14:solidFill>
                    <w14:schemeClr w14:val="tx1"/>
                  </w14:solidFill>
                </w14:textFill>
              </w:rPr>
              <w:t>根据《排放源统计调查产排污核算方法和系数手册》(环境部公告2021年第 24号)中“243 工艺美术及礼仪用品制造行业系数手册”注意事项说明：打磨、抛光工段参考机械行业系数手册中33金属制品行业工段预处理的系数，颗粒物产污系数为2.19kg/t-原料。</w:t>
            </w:r>
            <w:r>
              <w:rPr>
                <w:rFonts w:hint="eastAsia" w:ascii="Times New Roman" w:hAnsi="Times New Roman" w:eastAsia="宋体" w:cs="Times New Roman"/>
                <w:bCs/>
                <w:color w:val="000000" w:themeColor="text1"/>
                <w:sz w:val="24"/>
                <w:lang w:val="en-US" w:eastAsia="zh-CN"/>
                <w14:textFill>
                  <w14:solidFill>
                    <w14:schemeClr w14:val="tx1"/>
                  </w14:solidFill>
                </w14:textFill>
              </w:rPr>
              <w:t>项目进入打磨、修边工序的坯体用量约为</w:t>
            </w:r>
            <w:r>
              <w:rPr>
                <w:rFonts w:hint="eastAsia" w:cs="Times New Roman"/>
                <w:bCs/>
                <w:color w:val="000000" w:themeColor="text1"/>
                <w:sz w:val="24"/>
                <w:lang w:val="en-US" w:eastAsia="zh-CN"/>
                <w14:textFill>
                  <w14:solidFill>
                    <w14:schemeClr w14:val="tx1"/>
                  </w14:solidFill>
                </w14:textFill>
              </w:rPr>
              <w:t>90</w:t>
            </w:r>
            <w:r>
              <w:rPr>
                <w:rFonts w:hint="eastAsia" w:ascii="Times New Roman" w:hAnsi="Times New Roman" w:eastAsia="宋体" w:cs="Times New Roman"/>
                <w:bCs/>
                <w:color w:val="000000" w:themeColor="text1"/>
                <w:sz w:val="24"/>
                <w:lang w:val="en-US" w:eastAsia="zh-CN"/>
                <w14:textFill>
                  <w14:solidFill>
                    <w14:schemeClr w14:val="tx1"/>
                  </w14:solidFill>
                </w14:textFill>
              </w:rPr>
              <w:t>t/a，则打磨粉尘颗粒物产生量约0.19</w:t>
            </w:r>
            <w:r>
              <w:rPr>
                <w:rFonts w:hint="eastAsia" w:cs="Times New Roman"/>
                <w:bCs/>
                <w:color w:val="000000" w:themeColor="text1"/>
                <w:sz w:val="24"/>
                <w:lang w:val="en-US" w:eastAsia="zh-CN"/>
                <w14:textFill>
                  <w14:solidFill>
                    <w14:schemeClr w14:val="tx1"/>
                  </w14:solidFill>
                </w14:textFill>
              </w:rPr>
              <w:t>7</w:t>
            </w:r>
            <w:r>
              <w:rPr>
                <w:rFonts w:hint="eastAsia" w:ascii="Times New Roman" w:hAnsi="Times New Roman" w:eastAsia="宋体" w:cs="Times New Roman"/>
                <w:bCs/>
                <w:color w:val="000000" w:themeColor="text1"/>
                <w:sz w:val="24"/>
                <w:lang w:val="en-US" w:eastAsia="zh-CN"/>
                <w14:textFill>
                  <w14:solidFill>
                    <w14:schemeClr w14:val="tx1"/>
                  </w14:solidFill>
                </w14:textFill>
              </w:rPr>
              <w:t>t/a。拟在打磨机、磨底机等设备产尘点上方设置集气罩收集打磨粉尘，集气罩收集效率按</w:t>
            </w:r>
            <w:r>
              <w:rPr>
                <w:rFonts w:hint="eastAsia" w:cs="Times New Roman"/>
                <w:bCs/>
                <w:color w:val="000000" w:themeColor="text1"/>
                <w:sz w:val="24"/>
                <w:lang w:val="en-US" w:eastAsia="zh-CN"/>
                <w14:textFill>
                  <w14:solidFill>
                    <w14:schemeClr w14:val="tx1"/>
                  </w14:solidFill>
                </w14:textFill>
              </w:rPr>
              <w:t>80</w:t>
            </w:r>
            <w:r>
              <w:rPr>
                <w:rFonts w:hint="eastAsia" w:ascii="Times New Roman" w:hAnsi="Times New Roman" w:eastAsia="宋体" w:cs="Times New Roman"/>
                <w:bCs/>
                <w:color w:val="000000" w:themeColor="text1"/>
                <w:sz w:val="24"/>
                <w:lang w:val="en-US" w:eastAsia="zh-CN"/>
                <w14:textFill>
                  <w14:solidFill>
                    <w14:schemeClr w14:val="tx1"/>
                  </w14:solidFill>
                </w14:textFill>
              </w:rPr>
              <w:t>%计，则打磨粉尘G5颗粒物有组织和无组织产生量分别为</w:t>
            </w:r>
            <w:r>
              <w:rPr>
                <w:rFonts w:hint="eastAsia" w:cs="Times New Roman"/>
                <w:bCs/>
                <w:color w:val="000000" w:themeColor="text1"/>
                <w:sz w:val="24"/>
                <w:lang w:val="en-US" w:eastAsia="zh-CN"/>
                <w14:textFill>
                  <w14:solidFill>
                    <w14:schemeClr w14:val="tx1"/>
                  </w14:solidFill>
                </w14:textFill>
              </w:rPr>
              <w:t>0.158t/a和0.039t/a，有组织打磨粉尘拟采取1套“布袋除尘”措施处理后通过一根30m高排气筒排放（DA001排气筒，与</w:t>
            </w:r>
            <w:r>
              <w:rPr>
                <w:rFonts w:hint="eastAsia" w:ascii="Times New Roman" w:hAnsi="Times New Roman" w:eastAsia="宋体" w:cs="Times New Roman"/>
                <w:bCs/>
                <w:color w:val="000000" w:themeColor="text1"/>
                <w:spacing w:val="0"/>
                <w:sz w:val="24"/>
                <w:lang w:val="en-US" w:eastAsia="zh-CN"/>
                <w14:textFill>
                  <w14:solidFill>
                    <w14:schemeClr w14:val="tx1"/>
                  </w14:solidFill>
                </w14:textFill>
              </w:rPr>
              <w:t>搅桨废气和注浆、成型废气</w:t>
            </w:r>
            <w:r>
              <w:rPr>
                <w:rFonts w:hint="eastAsia" w:eastAsia="宋体" w:cs="Times New Roman"/>
                <w:bCs/>
                <w:color w:val="000000" w:themeColor="text1"/>
                <w:spacing w:val="0"/>
                <w:sz w:val="24"/>
                <w:lang w:val="en-US" w:eastAsia="zh-CN"/>
                <w14:textFill>
                  <w14:solidFill>
                    <w14:schemeClr w14:val="tx1"/>
                  </w14:solidFill>
                </w14:textFill>
              </w:rPr>
              <w:t>共用一根排气筒</w:t>
            </w:r>
            <w:r>
              <w:rPr>
                <w:rFonts w:hint="eastAsia" w:cs="Times New Roman"/>
                <w:bCs/>
                <w:color w:val="000000" w:themeColor="text1"/>
                <w:sz w:val="24"/>
                <w:lang w:val="en-US" w:eastAsia="zh-CN"/>
                <w14:textFill>
                  <w14:solidFill>
                    <w14:schemeClr w14:val="tx1"/>
                  </w14:solidFill>
                </w14:textFill>
              </w:rPr>
              <w:t>）。</w:t>
            </w:r>
          </w:p>
          <w:p w14:paraId="7C373799">
            <w:pPr>
              <w:ind w:firstLine="480"/>
              <w:rPr>
                <w:rFonts w:hint="default" w:cs="Times New Roman"/>
                <w:b/>
                <w:bCs w:val="0"/>
                <w:color w:val="000000" w:themeColor="text1"/>
                <w:sz w:val="24"/>
                <w:lang w:val="en-US" w:eastAsia="zh-CN"/>
                <w14:textFill>
                  <w14:solidFill>
                    <w14:schemeClr w14:val="tx1"/>
                  </w14:solidFill>
                </w14:textFill>
              </w:rPr>
            </w:pPr>
            <w:r>
              <w:rPr>
                <w:rFonts w:hint="eastAsia" w:cs="Times New Roman"/>
                <w:b/>
                <w:bCs w:val="0"/>
                <w:color w:val="000000" w:themeColor="text1"/>
                <w:sz w:val="24"/>
                <w:lang w:val="en-US" w:eastAsia="zh-CN"/>
                <w14:textFill>
                  <w14:solidFill>
                    <w14:schemeClr w14:val="tx1"/>
                  </w14:solidFill>
                </w14:textFill>
              </w:rPr>
              <w:t>4）调漆废气G6、喷漆、流平、晾干废气G7、喷枪清洗废气G8以及彩绘、晾干废气G9</w:t>
            </w:r>
          </w:p>
          <w:p w14:paraId="48C388FF">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油漆与稀释剂以及水性漆与水均按2：1进行配比，调漆过程会产生调漆废气G6。由表2-7可知，调配好的油漆挥发份主要为二甲苯、乙酸乙酯和环己酮，调配好的水性漆挥发份主要为二丙二醇丁醚、有机硅助剂。因此，调漆废气主要污染物包括二甲苯、TVOC、臭气浓度（异味）。</w:t>
            </w:r>
          </w:p>
          <w:p w14:paraId="65F5A2C8">
            <w:pPr>
              <w:ind w:firstLine="48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参考《涂装工艺与设备》（化学工业出版社），喷涂距离在15cm~20cm之间时，</w:t>
            </w:r>
            <w:r>
              <w:rPr>
                <w:rFonts w:hint="eastAsia"/>
                <w:color w:val="000000" w:themeColor="text1"/>
                <w:lang w:val="en-US" w:eastAsia="zh-CN"/>
                <w14:textFill>
                  <w14:solidFill>
                    <w14:schemeClr w14:val="tx1"/>
                  </w14:solidFill>
                </w14:textFill>
              </w:rPr>
              <w:t>附着</w:t>
            </w:r>
            <w:r>
              <w:rPr>
                <w:rFonts w:hint="eastAsia"/>
                <w:color w:val="000000" w:themeColor="text1"/>
                <w14:textFill>
                  <w14:solidFill>
                    <w14:schemeClr w14:val="tx1"/>
                  </w14:solidFill>
                </w14:textFill>
              </w:rPr>
              <w:t>效率约为65%~75%，本次环评</w:t>
            </w:r>
            <w:r>
              <w:rPr>
                <w:rFonts w:hint="eastAsia"/>
                <w:color w:val="000000" w:themeColor="text1"/>
                <w:lang w:val="en-US" w:eastAsia="zh-CN"/>
                <w14:textFill>
                  <w14:solidFill>
                    <w14:schemeClr w14:val="tx1"/>
                  </w14:solidFill>
                </w14:textFill>
              </w:rPr>
              <w:t>取</w:t>
            </w:r>
            <w:r>
              <w:rPr>
                <w:rFonts w:hint="eastAsia"/>
                <w:color w:val="000000" w:themeColor="text1"/>
                <w14:textFill>
                  <w14:solidFill>
                    <w14:schemeClr w14:val="tx1"/>
                  </w14:solidFill>
                </w14:textFill>
              </w:rPr>
              <w:t>70%</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喷漆过程中约70%的漆料（固份）附着在产品中，剩余30%的漆料在喷漆过程中形成漆雾（颗粒物）和漆渣，喷漆、流平、晾干废气G7主要污染物包括：颗粒物、二甲苯、TVOC、臭气浓度（异味）。</w:t>
            </w:r>
            <w:r>
              <w:rPr>
                <w:rFonts w:hint="eastAsia"/>
                <w:color w:val="000000" w:themeColor="text1"/>
                <w14:textFill>
                  <w14:solidFill>
                    <w14:schemeClr w14:val="tx1"/>
                  </w14:solidFill>
                </w14:textFill>
              </w:rPr>
              <w:t>喷漆枪每天工作结束后使用稀释剂在喷漆房进行擦拭清洗，</w:t>
            </w:r>
            <w:r>
              <w:rPr>
                <w:rFonts w:hint="eastAsia"/>
                <w:color w:val="000000" w:themeColor="text1"/>
                <w:lang w:val="en-US" w:eastAsia="zh-CN"/>
                <w14:textFill>
                  <w14:solidFill>
                    <w14:schemeClr w14:val="tx1"/>
                  </w14:solidFill>
                </w14:textFill>
              </w:rPr>
              <w:t>清洗过程会产生喷枪清洗废气G8，稀释剂的主要成分为主要污染物为二甲苯、乙酸乙酯和环己酮，故喷枪清洗废气主要污染物包括二甲苯、TVOC、臭气浓度（异味）。</w:t>
            </w:r>
          </w:p>
          <w:p w14:paraId="5E43552E">
            <w:pPr>
              <w:ind w:firstLine="48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彩绘可看作是刷漆工艺，彩绘过程中的98%的漆料（固份）附着在产品中，剩余2%的漆料粘附在彩绘笔上，彩绘、晾干废气G9主要污染物包括：二甲苯、TVOC、臭气浓度（异味）。</w:t>
            </w:r>
          </w:p>
          <w:p w14:paraId="00D4DF41">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按最不利情况考虑，假定油漆、水性漆中的挥发份在调漆、喷漆、流平、彩绘、晾干过程中全部挥发以及假定喷枪清洗过程中稀释剂全部挥发。参照《浙江省工业涂装工序挥发性有机物排放量计算暂行办法》附表2中各工段VOC产生比例参考，调漆工段VOC产生占比按5%考虑，则调漆废气二甲苯、TVOC产生量分别为0.023t/a、0.070t/a。</w:t>
            </w:r>
            <w:r>
              <w:rPr>
                <w:rFonts w:hint="eastAsia" w:cs="Times New Roman"/>
                <w:b w:val="0"/>
                <w:bCs/>
                <w:color w:val="000000" w:themeColor="text1"/>
                <w:sz w:val="24"/>
                <w:lang w:val="en-US" w:eastAsia="zh-CN"/>
                <w14:textFill>
                  <w14:solidFill>
                    <w14:schemeClr w14:val="tx1"/>
                  </w14:solidFill>
                </w14:textFill>
              </w:rPr>
              <w:t>喷漆、流平、晾干废气颗粒物、二甲苯、</w:t>
            </w:r>
            <w:r>
              <w:rPr>
                <w:rFonts w:hint="eastAsia"/>
                <w:color w:val="000000" w:themeColor="text1"/>
                <w:lang w:val="en-US" w:eastAsia="zh-CN"/>
                <w14:textFill>
                  <w14:solidFill>
                    <w14:schemeClr w14:val="tx1"/>
                  </w14:solidFill>
                </w14:textFill>
              </w:rPr>
              <w:t>TVOC产生量分别为0.197t/a、0.109t/a、0.330t/a。彩绘、晾干废气</w:t>
            </w:r>
            <w:r>
              <w:rPr>
                <w:rFonts w:hint="eastAsia" w:cs="Times New Roman"/>
                <w:b w:val="0"/>
                <w:bCs/>
                <w:color w:val="000000" w:themeColor="text1"/>
                <w:sz w:val="24"/>
                <w:lang w:val="en-US" w:eastAsia="zh-CN"/>
                <w14:textFill>
                  <w14:solidFill>
                    <w14:schemeClr w14:val="tx1"/>
                  </w14:solidFill>
                </w14:textFill>
              </w:rPr>
              <w:t>二甲苯、</w:t>
            </w:r>
            <w:r>
              <w:rPr>
                <w:rFonts w:hint="eastAsia"/>
                <w:color w:val="000000" w:themeColor="text1"/>
                <w:lang w:val="en-US" w:eastAsia="zh-CN"/>
                <w14:textFill>
                  <w14:solidFill>
                    <w14:schemeClr w14:val="tx1"/>
                  </w14:solidFill>
                </w14:textFill>
              </w:rPr>
              <w:t>TVOC产生量分别为0.325t/a、0.990t/a。喷枪清洗废气二甲苯、TVOC产生量分别为0.014t/a、0.030t/a。</w:t>
            </w:r>
          </w:p>
          <w:p w14:paraId="060A1A02">
            <w:pPr>
              <w:ind w:firstLine="48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项目调漆室、彩绘车间、喷漆房设置为密闭空间，</w:t>
            </w:r>
            <w:r>
              <w:rPr>
                <w:rFonts w:hint="eastAsia" w:cs="Times New Roman"/>
                <w:color w:val="000000" w:themeColor="text1"/>
                <w:sz w:val="24"/>
                <w:szCs w:val="24"/>
                <w:highlight w:val="none"/>
                <w:vertAlign w:val="baseline"/>
                <w:lang w:val="en-US" w:eastAsia="zh-CN"/>
                <w14:textFill>
                  <w14:solidFill>
                    <w14:schemeClr w14:val="tx1"/>
                  </w14:solidFill>
                </w14:textFill>
              </w:rPr>
              <w:t>内设抽排风系统，使车间处于微负压状态，</w:t>
            </w:r>
            <w:r>
              <w:rPr>
                <w:rFonts w:hint="eastAsia"/>
                <w:color w:val="000000" w:themeColor="text1"/>
                <w:lang w:val="en-US" w:eastAsia="zh-CN"/>
                <w14:textFill>
                  <w14:solidFill>
                    <w14:schemeClr w14:val="tx1"/>
                  </w14:solidFill>
                </w14:textFill>
              </w:rPr>
              <w:t>负压收集调漆、喷漆、流平、彩绘、晾干、喷枪清洗等过程产生的废气。</w:t>
            </w:r>
            <w:r>
              <w:rPr>
                <w:rFonts w:hint="default" w:ascii="Times New Roman" w:hAnsi="Times New Roman" w:cs="Times New Roman"/>
                <w:bCs/>
                <w:color w:val="000000" w:themeColor="text1"/>
                <w:szCs w:val="24"/>
                <w14:textFill>
                  <w14:solidFill>
                    <w14:schemeClr w14:val="tx1"/>
                  </w14:solidFill>
                </w14:textFill>
              </w:rPr>
              <w:t>根据</w:t>
            </w:r>
            <w:r>
              <w:rPr>
                <w:rFonts w:hint="default" w:ascii="Times New Roman" w:hAnsi="Times New Roman" w:cs="Times New Roman"/>
                <w:color w:val="000000" w:themeColor="text1"/>
                <w:szCs w:val="22"/>
                <w14:textFill>
                  <w14:solidFill>
                    <w14:schemeClr w14:val="tx1"/>
                  </w14:solidFill>
                </w14:textFill>
              </w:rPr>
              <w:t>《江西省生态环境厅关于做好2021年主要大气污染物总量减排核算工作的通知》（赣环大气〔2021〕24号）</w:t>
            </w:r>
            <w:r>
              <w:rPr>
                <w:rFonts w:hint="default" w:ascii="Times New Roman" w:hAnsi="Times New Roman" w:cs="Times New Roman"/>
                <w:bCs/>
                <w:color w:val="000000" w:themeColor="text1"/>
                <w:szCs w:val="24"/>
                <w14:textFill>
                  <w14:solidFill>
                    <w14:schemeClr w14:val="tx1"/>
                  </w14:solidFill>
                </w14:textFill>
              </w:rPr>
              <w:t>，</w:t>
            </w:r>
            <w:r>
              <w:rPr>
                <w:rFonts w:hint="eastAsia" w:cs="Times New Roman"/>
                <w:bCs/>
                <w:color w:val="000000" w:themeColor="text1"/>
                <w:szCs w:val="24"/>
                <w:lang w:val="en-US" w:eastAsia="zh-CN"/>
                <w14:textFill>
                  <w14:solidFill>
                    <w14:schemeClr w14:val="tx1"/>
                  </w14:solidFill>
                </w14:textFill>
              </w:rPr>
              <w:t>密闭空间负压收集效率为90%，则</w:t>
            </w:r>
            <w:r>
              <w:rPr>
                <w:rFonts w:hint="eastAsia"/>
                <w:color w:val="000000" w:themeColor="text1"/>
                <w:lang w:val="en-US" w:eastAsia="zh-CN"/>
                <w14:textFill>
                  <w14:solidFill>
                    <w14:schemeClr w14:val="tx1"/>
                  </w14:solidFill>
                </w14:textFill>
              </w:rPr>
              <w:t>调漆、喷漆、流平、彩绘、晾干、喷枪清洗等过程产生的有组织颗粒物、二甲苯、TVOC分别为0.177t/a、0.424t/a、1.278t/a，无组织颗粒物、二甲苯、TVOC分别为0.020t/a、0.047t/a、0.142t/a。收集的调漆、喷漆、流平、彩绘、晾干、喷枪清洗等废气拟采取1套“过滤棉+二级活性炭吸附”处理后通过1根30m高排气筒排放（</w:t>
            </w:r>
            <w:r>
              <w:rPr>
                <w:rFonts w:hint="eastAsia"/>
                <w:color w:val="000000" w:themeColor="text1"/>
                <w:sz w:val="28"/>
                <w:szCs w:val="28"/>
                <w:lang w:val="en-US" w:eastAsia="zh-CN"/>
                <w14:textFill>
                  <w14:solidFill>
                    <w14:schemeClr w14:val="tx1"/>
                  </w14:solidFill>
                </w14:textFill>
              </w:rPr>
              <w:t>DA002</w:t>
            </w:r>
            <w:r>
              <w:rPr>
                <w:rFonts w:hint="eastAsia"/>
                <w:color w:val="000000" w:themeColor="text1"/>
                <w:lang w:val="en-US" w:eastAsia="zh-CN"/>
                <w14:textFill>
                  <w14:solidFill>
                    <w14:schemeClr w14:val="tx1"/>
                  </w14:solidFill>
                </w14:textFill>
              </w:rPr>
              <w:t>排气筒）。过滤棉对颗粒物的去除效率取80%，二级活性炭吸附对有机废气的去处效率取51%。</w:t>
            </w:r>
          </w:p>
          <w:p w14:paraId="32E49252">
            <w:pPr>
              <w:ind w:firstLine="48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5）焊接烟尘G10</w:t>
            </w:r>
          </w:p>
          <w:p w14:paraId="6787CFE6">
            <w:pPr>
              <w:spacing w:beforeLines="0" w:afterLines="0"/>
              <w:jc w:val="both"/>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项目电子元件与树脂工艺品焊接过程中会产生焊接烟尘，主要污染物为颗粒物。项目以手拿锡焊枪进行焊接，参照《排放源统计调查产排污核算方法和系数手册》（生态环境部，公告2021 年第24 号）中“33-37,431-434机械行业系数手册-09 焊接”核算，颗粒物产污系数为20.2kg/吨原料，项目锡焊丝年用量为0.1t/a，则焊接烟尘颗粒物产生量约0.002t/a。焊接烟尘以无组织形式排放，无组织排放量为0.002t/a（0.007kg/h，年排放时间300h）。</w:t>
            </w:r>
          </w:p>
          <w:p w14:paraId="30645BD0">
            <w:pPr>
              <w:spacing w:beforeLines="0" w:afterLines="0"/>
              <w:jc w:val="both"/>
              <w:rPr>
                <w:rFonts w:hint="eastAsia" w:eastAsia="宋体"/>
                <w:b/>
                <w:bCs/>
                <w:color w:val="000000" w:themeColor="text1"/>
                <w:lang w:val="en-US" w:eastAsia="zh-CN"/>
                <w14:textFill>
                  <w14:solidFill>
                    <w14:schemeClr w14:val="tx1"/>
                  </w14:solidFill>
                </w14:textFill>
              </w:rPr>
            </w:pPr>
            <w:r>
              <w:rPr>
                <w:rFonts w:hint="eastAsia" w:eastAsia="宋体"/>
                <w:b/>
                <w:bCs/>
                <w:color w:val="000000" w:themeColor="text1"/>
                <w:lang w:val="en-US" w:eastAsia="zh-CN"/>
                <w14:textFill>
                  <w14:solidFill>
                    <w14:schemeClr w14:val="tx1"/>
                  </w14:solidFill>
                </w14:textFill>
              </w:rPr>
              <w:t>6）粘胶废气G11</w:t>
            </w:r>
          </w:p>
          <w:p w14:paraId="13988080">
            <w:pPr>
              <w:spacing w:beforeLines="0" w:afterLines="0"/>
              <w:jc w:val="both"/>
              <w:rPr>
                <w:rFonts w:hint="eastAsia" w:eastAsia="宋体"/>
                <w:color w:val="000000" w:themeColor="text1"/>
                <w:lang w:val="en-US" w:eastAsia="zh-CN"/>
                <w14:textFill>
                  <w14:solidFill>
                    <w14:schemeClr w14:val="tx1"/>
                  </w14:solidFill>
                </w14:textFill>
              </w:rPr>
            </w:pPr>
            <w:r>
              <w:rPr>
                <w:rFonts w:hint="eastAsia" w:eastAsia="宋体"/>
                <w:color w:val="000000" w:themeColor="text1"/>
                <w:sz w:val="24"/>
                <w:szCs w:val="24"/>
                <w:lang w:val="en-US" w:eastAsia="zh-CN"/>
                <w14:textFill>
                  <w14:solidFill>
                    <w14:schemeClr w14:val="tx1"/>
                  </w14:solidFill>
                </w14:textFill>
              </w:rPr>
              <w:t>项目电子元件LED灯用胶棒（EVA热熔胶）与树脂工艺品粘接在一起，EVA热熔胶主要成分包括：</w:t>
            </w:r>
            <w:r>
              <w:rPr>
                <w:rFonts w:hint="eastAsia" w:cs="Times New Roman"/>
                <w:color w:val="000000" w:themeColor="text1"/>
                <w:sz w:val="24"/>
                <w:szCs w:val="24"/>
                <w:lang w:val="en-US" w:eastAsia="zh-CN"/>
                <w14:textFill>
                  <w14:solidFill>
                    <w14:schemeClr w14:val="tx1"/>
                  </w14:solidFill>
                </w14:textFill>
              </w:rPr>
              <w:t>EVA树脂（乙烯和醋酸乙烯的共聚物）、蜡类、抗氧化剂、填料（碳酸钙、滑石粉等），胶粘过程中会产生粘胶废气，主要污染物为TVOC、臭气浓度（异味）。</w:t>
            </w:r>
            <w:r>
              <w:rPr>
                <w:rFonts w:hint="eastAsia" w:eastAsia="宋体"/>
                <w:color w:val="000000" w:themeColor="text1"/>
                <w:lang w:val="en-US" w:eastAsia="zh-CN"/>
                <w14:textFill>
                  <w14:solidFill>
                    <w14:schemeClr w14:val="tx1"/>
                  </w14:solidFill>
                </w14:textFill>
              </w:rPr>
              <w:t>对照《粘胶剂挥发性有机化合物限量》（GB33372-2020）表3本体型胶粘剂VOC含量限值（“其他类”）为50g/kg，按最不利情况分析，本项目使用的胶棒挥发性有机物挥发量按最高限值50g/kg计算，项目胶棒年用量为2t/a，则粘胶废气TVOC产生量为0.010t/a，粘胶废气以无组织形式排放，TVOC无组织排放量为0.010t/a（0.017kg/h，年排放时间为600h）。</w:t>
            </w:r>
          </w:p>
          <w:p w14:paraId="07A15E05">
            <w:pPr>
              <w:pStyle w:val="92"/>
              <w:ind w:firstLine="482"/>
              <w:jc w:val="both"/>
              <w:textAlignment w:val="baseline"/>
              <w:rPr>
                <w:rFonts w:hint="eastAsia"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4</w:t>
            </w:r>
            <w:r>
              <w:rPr>
                <w:b/>
                <w:bCs/>
                <w:color w:val="000000" w:themeColor="text1"/>
                <w14:textFill>
                  <w14:solidFill>
                    <w14:schemeClr w14:val="tx1"/>
                  </w14:solidFill>
                </w14:textFill>
              </w:rPr>
              <w:t>、</w:t>
            </w:r>
            <w:r>
              <w:rPr>
                <w:rFonts w:hint="eastAsia"/>
                <w:b/>
                <w:bCs/>
                <w:color w:val="000000" w:themeColor="text1"/>
                <w:lang w:val="en-US" w:eastAsia="zh-CN"/>
                <w14:textFill>
                  <w14:solidFill>
                    <w14:schemeClr w14:val="tx1"/>
                  </w14:solidFill>
                </w14:textFill>
              </w:rPr>
              <w:t>措施</w:t>
            </w:r>
            <w:r>
              <w:rPr>
                <w:rFonts w:hint="eastAsia"/>
                <w:b/>
                <w:bCs/>
                <w:color w:val="000000" w:themeColor="text1"/>
                <w14:textFill>
                  <w14:solidFill>
                    <w14:schemeClr w14:val="tx1"/>
                  </w14:solidFill>
                </w14:textFill>
              </w:rPr>
              <w:t>可行性</w:t>
            </w:r>
            <w:r>
              <w:rPr>
                <w:rFonts w:hint="eastAsia"/>
                <w:b/>
                <w:bCs/>
                <w:color w:val="000000" w:themeColor="text1"/>
                <w:lang w:val="en-US" w:eastAsia="zh-CN"/>
                <w14:textFill>
                  <w14:solidFill>
                    <w14:schemeClr w14:val="tx1"/>
                  </w14:solidFill>
                </w14:textFill>
              </w:rPr>
              <w:t>分析</w:t>
            </w:r>
          </w:p>
          <w:p w14:paraId="42875CE3">
            <w:pPr>
              <w:spacing w:beforeLines="0" w:afterLines="0"/>
              <w:jc w:val="both"/>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具体项目各废气处理措施及排放走向见下图：</w:t>
            </w:r>
          </w:p>
          <w:p w14:paraId="6DEBF80D">
            <w:pPr>
              <w:spacing w:beforeLines="0" w:afterLines="0"/>
              <w:ind w:left="0" w:leftChars="0" w:firstLine="0" w:firstLineChars="0"/>
              <w:jc w:val="center"/>
              <w:rPr>
                <w:rFonts w:hint="default" w:eastAsia="宋体"/>
                <w:color w:val="000000" w:themeColor="text1"/>
                <w:lang w:val="en-US" w:eastAsia="zh-CN"/>
                <w14:textFill>
                  <w14:solidFill>
                    <w14:schemeClr w14:val="tx1"/>
                  </w14:solidFill>
                </w14:textFill>
              </w:rPr>
            </w:pPr>
            <w:r>
              <w:rPr>
                <w:rFonts w:hint="default" w:eastAsia="宋体"/>
                <w:color w:val="000000" w:themeColor="text1"/>
                <w:lang w:val="en-US" w:eastAsia="zh-CN"/>
                <w14:textFill>
                  <w14:solidFill>
                    <w14:schemeClr w14:val="tx1"/>
                  </w14:solidFill>
                </w14:textFill>
              </w:rPr>
              <w:object>
                <v:shape id="_x0000_i1027" o:spt="75" type="#_x0000_t75" style="height:263.15pt;width:276.6pt;" o:ole="t" filled="f" o:preferrelative="t" stroked="f" coordsize="21600,21600">
                  <v:path/>
                  <v:fill on="f" focussize="0,0"/>
                  <v:stroke on="f"/>
                  <v:imagedata r:id="rId34" o:title=""/>
                  <o:lock v:ext="edit" aspectratio="f"/>
                  <w10:wrap type="none"/>
                  <w10:anchorlock/>
                </v:shape>
                <o:OLEObject Type="Embed" ProgID="Visio.Drawing.15" ShapeID="_x0000_i1027" DrawAspect="Content" ObjectID="_1468075727" r:id="rId33">
                  <o:LockedField>false</o:LockedField>
                </o:OLEObject>
              </w:object>
            </w:r>
          </w:p>
          <w:p w14:paraId="50D8C2D0">
            <w:pPr>
              <w:pStyle w:val="77"/>
              <w:spacing w:before="120"/>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图4-1  项目废气治理措施及排放走向示意图</w:t>
            </w:r>
          </w:p>
          <w:p w14:paraId="24BCFB22">
            <w:pPr>
              <w:ind w:firstLine="48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搅浆废气、注浆、成型废气等废气（主要污染物为苯乙烯、TVOC、臭气浓度等）经收集后采取1套“二级活性炭吸附”处理，打磨废气经收集后采取1套“布袋除尘”处理，上述处理后的废气通过1根30m高排气筒排放（DA001）。采取的“布袋除尘”、“二级活性炭吸附”等措施属于《排污许可证申请与核发技术规范  橡胶和塑料制品工业》（HJ1122-2020）A.2 塑料制品工业排污单位废气污染防治可行技术参考表中可行技术。</w:t>
            </w:r>
          </w:p>
          <w:p w14:paraId="3041803F">
            <w:pPr>
              <w:ind w:firstLine="48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调漆、喷漆、流平、彩绘、晾干、喷枪清洗等工序产生的废气（主要污染物为颗粒物、二甲苯、TVOC、臭气浓度等）经收集后采取1套“过滤棉+二级活性炭吸附”处理后通过1根30m高排气筒排放（DA002）。参考《汽车工业污染防治可行技术指南》表4“涂装、树脂纤维加工工序废气污染防治可行技术”，项目采取的“过滤棉”、“二级活性炭吸附”等措施属于表4中的可行技术。</w:t>
            </w:r>
          </w:p>
          <w:p w14:paraId="4EE79547">
            <w:pPr>
              <w:pStyle w:val="149"/>
              <w:keepNext w:val="0"/>
              <w:keepLines w:val="0"/>
              <w:pageBreakBefore w:val="0"/>
              <w:widowControl w:val="0"/>
              <w:kinsoku/>
              <w:wordWrap/>
              <w:overflowPunct/>
              <w:topLinePunct w:val="0"/>
              <w:autoSpaceDE/>
              <w:autoSpaceDN/>
              <w:bidi w:val="0"/>
              <w:adjustRightInd/>
              <w:snapToGrid/>
              <w:spacing w:line="360" w:lineRule="auto"/>
              <w:ind w:firstLine="408" w:firstLineChars="0"/>
              <w:textAlignment w:val="auto"/>
              <w:rPr>
                <w:rFonts w:hint="default" w:ascii="Times New Roman" w:hAnsi="Times New Roman" w:eastAsia="宋体" w:cs="宋体"/>
                <w:color w:val="000000" w:themeColor="text1"/>
                <w:highlight w:val="none"/>
                <w:lang w:val="en-US" w:eastAsia="zh-CN"/>
                <w14:textFill>
                  <w14:solidFill>
                    <w14:schemeClr w14:val="tx1"/>
                  </w14:solidFill>
                </w14:textFill>
              </w:rPr>
            </w:pPr>
            <w:r>
              <w:rPr>
                <w:rFonts w:hint="default" w:ascii="Times New Roman" w:hAnsi="Times New Roman" w:eastAsia="宋体" w:cs="宋体"/>
                <w:b/>
                <w:bCs/>
                <w:color w:val="000000" w:themeColor="text1"/>
                <w:highlight w:val="none"/>
                <w:lang w:val="en-US" w:eastAsia="zh-CN"/>
                <w14:textFill>
                  <w14:solidFill>
                    <w14:schemeClr w14:val="tx1"/>
                  </w14:solidFill>
                </w14:textFill>
              </w:rPr>
              <w:t>袋式除尘器工作原理：</w:t>
            </w:r>
            <w:r>
              <w:rPr>
                <w:rFonts w:hint="eastAsia"/>
                <w:color w:val="000000" w:themeColor="text1"/>
                <w:sz w:val="24"/>
                <w:szCs w:val="24"/>
                <w:highlight w:val="none"/>
                <w14:textFill>
                  <w14:solidFill>
                    <w14:schemeClr w14:val="tx1"/>
                  </w14:solidFill>
                </w14:textFill>
              </w:rPr>
              <w:t>含尘废气经袋式除尘器入口进入各室灰斗，粗颗粒在重力作用下直接沉降至灰斗内，其余含尘气体经导流板上升至中箱体，均匀分布于各滤袋，此时粉尘被阻留在滤袋外表面。被过滤后的洁净气体经布袋花板进入上箱体，由排风道排出。当滤袋外表面粉尘增厚到一定程度时，脉冲控制装置发出信号，关闭第一室进风口阀门，喷吹装置开始工作。压缩空气在极短时间内顺序通过脉冲阀及喷吹管上的喷口向滤袋喷射，使滤袋振动，灰尘脱离滤袋落入灰斗。当第一室清灰完毕后，打开第一室进风口阀门并关闭第二室进风口阀门，第一室重新参加过滤工作，第二室开始进行离线清灰，由此逐室进行，从而使脉冲布袋除尘器可以不间断运行。清灰控制采用PLC可编程控制器控制，控制方式分为自动定时和手动控制两种形式</w:t>
            </w:r>
            <w:r>
              <w:rPr>
                <w:rFonts w:hint="default" w:ascii="Times New Roman" w:hAnsi="Times New Roman" w:eastAsia="宋体" w:cs="宋体"/>
                <w:color w:val="000000" w:themeColor="text1"/>
                <w:highlight w:val="none"/>
                <w:lang w:val="en-US" w:eastAsia="zh-CN"/>
                <w14:textFill>
                  <w14:solidFill>
                    <w14:schemeClr w14:val="tx1"/>
                  </w14:solidFill>
                </w14:textFill>
              </w:rPr>
              <w:t>。其特点：袋式除尘器对净化含微米或业微米数量级的粉尘粒于的气体效率较高，一般可达99%，甚至可达99.99%以上；可以捕集多种干性粉尘，特别是高比电阻粉尘，采用袋式除尘器净化要比用电除尘器的净化效率高很多；含尘气体浓度在相当大的范围内变化对袋式除尘器的除尘效率和阻力影响不大；袋式除尘器可设计制造出适应不同气量的含尘气体的要求，除尘器的处理烟气量可从每小时几立方米到几百万立方米；袋式除尘运行稳定可靠，没有污泥处理和腐蚀等问题，操作、维护简单。</w:t>
            </w:r>
          </w:p>
          <w:p w14:paraId="7FE34617">
            <w:pPr>
              <w:ind w:firstLine="480"/>
              <w:rPr>
                <w:rFonts w:hint="eastAsia" w:ascii="宋体" w:hAnsi="宋体" w:cs="宋体"/>
                <w:color w:val="000000" w:themeColor="text1"/>
                <w14:textFill>
                  <w14:solidFill>
                    <w14:schemeClr w14:val="tx1"/>
                  </w14:solidFill>
                </w14:textFill>
              </w:rPr>
            </w:pPr>
            <w:r>
              <w:rPr>
                <w:rFonts w:hint="eastAsia"/>
                <w:b/>
                <w:bCs/>
                <w:color w:val="000000" w:themeColor="text1"/>
                <w14:textFill>
                  <w14:solidFill>
                    <w14:schemeClr w14:val="tx1"/>
                  </w14:solidFill>
                </w14:textFill>
              </w:rPr>
              <w:t>活性炭吸附原理：</w:t>
            </w:r>
            <w:r>
              <w:rPr>
                <w:rFonts w:hint="eastAsia"/>
                <w:color w:val="000000" w:themeColor="text1"/>
                <w14:textFill>
                  <w14:solidFill>
                    <w14:schemeClr w14:val="tx1"/>
                  </w14:solidFill>
                </w14:textFill>
              </w:rPr>
              <w:t>活性炭是一种多孔性的含碳物质，它具有高度发达的孔隙构造，活性炭的多孔结构为其提供了大量的表面积，能与气体（杂质）充分接触，从而赋予了活性炭所特有的吸附性能，使其非常容易达到吸收收集杂质的目的。就像磁力一样，所有的分子之间都具有相互引力。正因为如此，活性炭孔壁上的大量的分子可以产生强大的引力，从而达到将有害的杂质吸引到孔径中的目的。由于分子之间拥有相互吸引的作用力，当一个分子被活性炭内孔捕捉进入到活性炭孔隙中后，由于分子之间相互吸引的原因，会导致更多的分子不断被吸引，直到填满活性炭内孔隙为止。活性炭广泛用于有机废气的处理，技术成熟，处理效率高。项目使用的活性炭碘吸附值不低于</w:t>
            </w:r>
            <w:r>
              <w:rPr>
                <w:color w:val="000000" w:themeColor="text1"/>
                <w14:textFill>
                  <w14:solidFill>
                    <w14:schemeClr w14:val="tx1"/>
                  </w14:solidFill>
                </w14:textFill>
              </w:rPr>
              <w:t>800mg/g</w:t>
            </w:r>
            <w:r>
              <w:rPr>
                <w:rFonts w:hint="eastAsia"/>
                <w:color w:val="000000" w:themeColor="text1"/>
                <w14:textFill>
                  <w14:solidFill>
                    <w14:schemeClr w14:val="tx1"/>
                  </w14:solidFill>
                </w14:textFill>
              </w:rPr>
              <w:t>，活性炭更换周期</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个月更换一次。在进行活性炭更换之前，务必确认相关设备已经停机，</w:t>
            </w:r>
            <w:r>
              <w:rPr>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将待处理的系统排空，</w:t>
            </w:r>
            <w:r>
              <w:rPr>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以确保活性炭筒内没有残留物再更换新的活性炭；</w:t>
            </w:r>
            <w:r>
              <w:rPr>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强化设施维护管理，确保稳定高效运行，与生产设施“先启后停”。</w:t>
            </w:r>
          </w:p>
          <w:p w14:paraId="3CB28586">
            <w:pPr>
              <w:ind w:firstLine="480"/>
              <w:rPr>
                <w:rFonts w:hint="eastAsia" w:ascii="宋体" w:hAnsi="宋体" w:cs="宋体"/>
                <w:b/>
                <w:bCs/>
                <w:color w:val="000000" w:themeColor="text1"/>
                <w:lang w:val="en-US" w:eastAsia="zh-CN"/>
                <w14:textFill>
                  <w14:solidFill>
                    <w14:schemeClr w14:val="tx1"/>
                  </w14:solidFill>
                </w14:textFill>
              </w:rPr>
            </w:pPr>
            <w:r>
              <w:rPr>
                <w:rFonts w:hint="eastAsia" w:ascii="宋体" w:hAnsi="宋体" w:cs="宋体"/>
                <w:b/>
                <w:bCs/>
                <w:color w:val="000000" w:themeColor="text1"/>
                <w:lang w:val="en-US" w:eastAsia="zh-CN"/>
                <w14:textFill>
                  <w14:solidFill>
                    <w14:schemeClr w14:val="tx1"/>
                  </w14:solidFill>
                </w14:textFill>
              </w:rPr>
              <w:t>5、恶臭影响分析</w:t>
            </w:r>
          </w:p>
          <w:p w14:paraId="2528B8FD">
            <w:pPr>
              <w:snapToGrid/>
              <w:spacing w:before="0" w:beforeLines="0" w:afterLines="0" w:line="360" w:lineRule="auto"/>
              <w:ind w:firstLine="480" w:firstLineChars="200"/>
              <w:jc w:val="left"/>
              <w:outlineLvl w:val="9"/>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color w:val="000000" w:themeColor="text1"/>
                <w:sz w:val="24"/>
                <w:szCs w:val="24"/>
                <w:highlight w:val="none"/>
                <w:lang w:val="en-US" w:eastAsia="zh-CN"/>
                <w14:textFill>
                  <w14:solidFill>
                    <w14:schemeClr w14:val="tx1"/>
                  </w14:solidFill>
                </w14:textFill>
              </w:rPr>
              <w:t>项目恶臭</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主要来源于</w:t>
            </w:r>
            <w:r>
              <w:rPr>
                <w:rFonts w:hint="eastAsia" w:eastAsia="宋体" w:cs="Times New Roman"/>
                <w:b w:val="0"/>
                <w:bCs w:val="0"/>
                <w:color w:val="000000" w:themeColor="text1"/>
                <w:sz w:val="24"/>
                <w:szCs w:val="24"/>
                <w:highlight w:val="none"/>
                <w:lang w:val="en-US" w:eastAsia="zh-CN"/>
                <w14:textFill>
                  <w14:solidFill>
                    <w14:schemeClr w14:val="tx1"/>
                  </w14:solidFill>
                </w14:textFill>
              </w:rPr>
              <w:t>不饱和聚酯树脂</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物料受热产生少量烃类废气和异味</w:t>
            </w:r>
            <w:r>
              <w:rPr>
                <w:rFonts w:hint="eastAsia" w:eastAsia="宋体" w:cs="Times New Roman"/>
                <w:b w:val="0"/>
                <w:bCs w:val="0"/>
                <w:color w:val="000000" w:themeColor="text1"/>
                <w:sz w:val="24"/>
                <w:szCs w:val="24"/>
                <w:highlight w:val="none"/>
                <w:lang w:val="en-US" w:eastAsia="zh-CN"/>
                <w14:textFill>
                  <w14:solidFill>
                    <w14:schemeClr w14:val="tx1"/>
                  </w14:solidFill>
                </w14:textFill>
              </w:rPr>
              <w:t>以及水性漆、油漆等原料调漆、喷漆、流平、晾干、彩绘等过程产生的</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少量烃类废气和异味。根据美国</w:t>
            </w:r>
            <w:r>
              <w:rPr>
                <w:rFonts w:hint="default" w:ascii="Times New Roman" w:hAnsi="Times New Roman" w:eastAsia="宋体" w:cs="Times New Roman"/>
                <w:color w:val="000000" w:themeColor="text1"/>
                <w:sz w:val="24"/>
                <w:szCs w:val="24"/>
                <w:highlight w:val="none"/>
                <w14:textFill>
                  <w14:solidFill>
                    <w14:schemeClr w14:val="tx1"/>
                  </w14:solidFill>
                </w14:textFill>
              </w:rPr>
              <w:t>纳德提出将臭气感觉从“无气味”到“臭气强度极强”分为五级，具体分法见</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下表：</w:t>
            </w:r>
          </w:p>
          <w:p w14:paraId="7CF7BDCB">
            <w:pPr>
              <w:pStyle w:val="57"/>
              <w:numPr>
                <w:ilvl w:val="3"/>
                <w:numId w:val="19"/>
              </w:numPr>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臭气强度分级表</w:t>
            </w:r>
          </w:p>
          <w:tbl>
            <w:tblPr>
              <w:tblStyle w:val="3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60"/>
              <w:gridCol w:w="2860"/>
              <w:gridCol w:w="2798"/>
            </w:tblGrid>
            <w:tr w14:paraId="34EE4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60" w:type="dxa"/>
                  <w:tcBorders>
                    <w:tl2br w:val="nil"/>
                    <w:tr2bl w:val="nil"/>
                  </w:tcBorders>
                  <w:noWrap w:val="0"/>
                  <w:vAlign w:val="top"/>
                </w:tcPr>
                <w:p w14:paraId="13FCA531">
                  <w:pPr>
                    <w:snapToGrid/>
                    <w:spacing w:before="0" w:beforeLines="0" w:afterLines="0" w:line="240" w:lineRule="auto"/>
                    <w:jc w:val="center"/>
                    <w:outlineLvl w:val="9"/>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臭气强度分级</w:t>
                  </w:r>
                </w:p>
              </w:tc>
              <w:tc>
                <w:tcPr>
                  <w:tcW w:w="2860" w:type="dxa"/>
                  <w:tcBorders>
                    <w:tl2br w:val="nil"/>
                    <w:tr2bl w:val="nil"/>
                  </w:tcBorders>
                  <w:noWrap w:val="0"/>
                  <w:vAlign w:val="top"/>
                </w:tcPr>
                <w:p w14:paraId="632D6EE9">
                  <w:pPr>
                    <w:snapToGrid/>
                    <w:spacing w:before="0" w:beforeLines="0" w:afterLines="0" w:line="240" w:lineRule="auto"/>
                    <w:jc w:val="center"/>
                    <w:outlineLvl w:val="9"/>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臭气感觉强度</w:t>
                  </w:r>
                </w:p>
              </w:tc>
              <w:tc>
                <w:tcPr>
                  <w:tcW w:w="2798" w:type="dxa"/>
                  <w:tcBorders>
                    <w:tl2br w:val="nil"/>
                    <w:tr2bl w:val="nil"/>
                  </w:tcBorders>
                  <w:noWrap w:val="0"/>
                  <w:vAlign w:val="top"/>
                </w:tcPr>
                <w:p w14:paraId="1695BBF1">
                  <w:pPr>
                    <w:snapToGrid/>
                    <w:spacing w:before="0" w:beforeLines="0" w:afterLines="0" w:line="240" w:lineRule="auto"/>
                    <w:jc w:val="center"/>
                    <w:outlineLvl w:val="9"/>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污染程度</w:t>
                  </w:r>
                </w:p>
              </w:tc>
            </w:tr>
            <w:tr w14:paraId="73D451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60" w:type="dxa"/>
                  <w:tcBorders>
                    <w:tl2br w:val="nil"/>
                    <w:tr2bl w:val="nil"/>
                  </w:tcBorders>
                  <w:noWrap w:val="0"/>
                  <w:vAlign w:val="top"/>
                </w:tcPr>
                <w:p w14:paraId="4BBAD39D">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0</w:t>
                  </w:r>
                </w:p>
              </w:tc>
              <w:tc>
                <w:tcPr>
                  <w:tcW w:w="2860" w:type="dxa"/>
                  <w:tcBorders>
                    <w:tl2br w:val="nil"/>
                    <w:tr2bl w:val="nil"/>
                  </w:tcBorders>
                  <w:noWrap w:val="0"/>
                  <w:vAlign w:val="top"/>
                </w:tcPr>
                <w:p w14:paraId="0B25BFD1">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无气味</w:t>
                  </w:r>
                </w:p>
              </w:tc>
              <w:tc>
                <w:tcPr>
                  <w:tcW w:w="2798" w:type="dxa"/>
                  <w:tcBorders>
                    <w:tl2br w:val="nil"/>
                    <w:tr2bl w:val="nil"/>
                  </w:tcBorders>
                  <w:noWrap w:val="0"/>
                  <w:vAlign w:val="top"/>
                </w:tcPr>
                <w:p w14:paraId="30925D29">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无污染</w:t>
                  </w:r>
                </w:p>
              </w:tc>
            </w:tr>
            <w:tr w14:paraId="290BF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60" w:type="dxa"/>
                  <w:tcBorders>
                    <w:tl2br w:val="nil"/>
                    <w:tr2bl w:val="nil"/>
                  </w:tcBorders>
                  <w:noWrap w:val="0"/>
                  <w:vAlign w:val="top"/>
                </w:tcPr>
                <w:p w14:paraId="606481C7">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1</w:t>
                  </w:r>
                </w:p>
              </w:tc>
              <w:tc>
                <w:tcPr>
                  <w:tcW w:w="2860" w:type="dxa"/>
                  <w:tcBorders>
                    <w:tl2br w:val="nil"/>
                    <w:tr2bl w:val="nil"/>
                  </w:tcBorders>
                  <w:noWrap w:val="0"/>
                  <w:vAlign w:val="top"/>
                </w:tcPr>
                <w:p w14:paraId="73CEC2EA">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轻微感觉到气味</w:t>
                  </w:r>
                </w:p>
              </w:tc>
              <w:tc>
                <w:tcPr>
                  <w:tcW w:w="2798" w:type="dxa"/>
                  <w:tcBorders>
                    <w:tl2br w:val="nil"/>
                    <w:tr2bl w:val="nil"/>
                  </w:tcBorders>
                  <w:noWrap w:val="0"/>
                  <w:vAlign w:val="top"/>
                </w:tcPr>
                <w:p w14:paraId="4A1A9D51">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轻度污染</w:t>
                  </w:r>
                </w:p>
              </w:tc>
            </w:tr>
            <w:tr w14:paraId="5AAF35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60" w:type="dxa"/>
                  <w:tcBorders>
                    <w:tl2br w:val="nil"/>
                    <w:tr2bl w:val="nil"/>
                  </w:tcBorders>
                  <w:noWrap w:val="0"/>
                  <w:vAlign w:val="top"/>
                </w:tcPr>
                <w:p w14:paraId="67E728F1">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2</w:t>
                  </w:r>
                </w:p>
              </w:tc>
              <w:tc>
                <w:tcPr>
                  <w:tcW w:w="2860" w:type="dxa"/>
                  <w:tcBorders>
                    <w:tl2br w:val="nil"/>
                    <w:tr2bl w:val="nil"/>
                  </w:tcBorders>
                  <w:noWrap w:val="0"/>
                  <w:vAlign w:val="top"/>
                </w:tcPr>
                <w:p w14:paraId="34E1000F">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明显感觉到气味</w:t>
                  </w:r>
                </w:p>
              </w:tc>
              <w:tc>
                <w:tcPr>
                  <w:tcW w:w="2798" w:type="dxa"/>
                  <w:tcBorders>
                    <w:tl2br w:val="nil"/>
                    <w:tr2bl w:val="nil"/>
                  </w:tcBorders>
                  <w:noWrap w:val="0"/>
                  <w:vAlign w:val="top"/>
                </w:tcPr>
                <w:p w14:paraId="707FFBD1">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中度污染</w:t>
                  </w:r>
                </w:p>
              </w:tc>
            </w:tr>
            <w:tr w14:paraId="4EBAEF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60" w:type="dxa"/>
                  <w:tcBorders>
                    <w:tl2br w:val="nil"/>
                    <w:tr2bl w:val="nil"/>
                  </w:tcBorders>
                  <w:noWrap w:val="0"/>
                  <w:vAlign w:val="top"/>
                </w:tcPr>
                <w:p w14:paraId="4ED1B9FE">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3</w:t>
                  </w:r>
                </w:p>
              </w:tc>
              <w:tc>
                <w:tcPr>
                  <w:tcW w:w="2860" w:type="dxa"/>
                  <w:tcBorders>
                    <w:tl2br w:val="nil"/>
                    <w:tr2bl w:val="nil"/>
                  </w:tcBorders>
                  <w:noWrap w:val="0"/>
                  <w:vAlign w:val="top"/>
                </w:tcPr>
                <w:p w14:paraId="194C12CC">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感到有强烈气味</w:t>
                  </w:r>
                </w:p>
              </w:tc>
              <w:tc>
                <w:tcPr>
                  <w:tcW w:w="2798" w:type="dxa"/>
                  <w:tcBorders>
                    <w:tl2br w:val="nil"/>
                    <w:tr2bl w:val="nil"/>
                  </w:tcBorders>
                  <w:noWrap w:val="0"/>
                  <w:vAlign w:val="top"/>
                </w:tcPr>
                <w:p w14:paraId="0C4E75AB">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重污染</w:t>
                  </w:r>
                </w:p>
              </w:tc>
            </w:tr>
            <w:tr w14:paraId="219AD7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60" w:type="dxa"/>
                  <w:tcBorders>
                    <w:tl2br w:val="nil"/>
                    <w:tr2bl w:val="nil"/>
                  </w:tcBorders>
                  <w:noWrap w:val="0"/>
                  <w:vAlign w:val="top"/>
                </w:tcPr>
                <w:p w14:paraId="7A1528D8">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4</w:t>
                  </w:r>
                </w:p>
              </w:tc>
              <w:tc>
                <w:tcPr>
                  <w:tcW w:w="2860" w:type="dxa"/>
                  <w:tcBorders>
                    <w:tl2br w:val="nil"/>
                    <w:tr2bl w:val="nil"/>
                  </w:tcBorders>
                  <w:noWrap w:val="0"/>
                  <w:vAlign w:val="top"/>
                </w:tcPr>
                <w:p w14:paraId="0BB81E50">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无法忍受的强臭味</w:t>
                  </w:r>
                </w:p>
              </w:tc>
              <w:tc>
                <w:tcPr>
                  <w:tcW w:w="2798" w:type="dxa"/>
                  <w:tcBorders>
                    <w:tl2br w:val="nil"/>
                    <w:tr2bl w:val="nil"/>
                  </w:tcBorders>
                  <w:noWrap w:val="0"/>
                  <w:vAlign w:val="top"/>
                </w:tcPr>
                <w:p w14:paraId="617A4043">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严重污染</w:t>
                  </w:r>
                </w:p>
              </w:tc>
            </w:tr>
          </w:tbl>
          <w:p w14:paraId="5B69367F">
            <w:pPr>
              <w:pStyle w:val="57"/>
              <w:numPr>
                <w:ilvl w:val="3"/>
                <w:numId w:val="19"/>
              </w:numPr>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恶臭影响范围及程度</w:t>
            </w:r>
          </w:p>
          <w:tbl>
            <w:tblPr>
              <w:tblStyle w:val="37"/>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344"/>
              <w:gridCol w:w="4250"/>
            </w:tblGrid>
            <w:tr w14:paraId="3C36311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4344" w:type="dxa"/>
                  <w:tcBorders>
                    <w:tl2br w:val="nil"/>
                    <w:tr2bl w:val="nil"/>
                  </w:tcBorders>
                  <w:noWrap w:val="0"/>
                  <w:vAlign w:val="center"/>
                </w:tcPr>
                <w:p w14:paraId="1E14B687">
                  <w:pPr>
                    <w:snapToGrid/>
                    <w:spacing w:before="0" w:beforeLines="0" w:afterLines="0" w:line="240" w:lineRule="auto"/>
                    <w:jc w:val="center"/>
                    <w:outlineLvl w:val="9"/>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范围m</w:t>
                  </w:r>
                </w:p>
              </w:tc>
              <w:tc>
                <w:tcPr>
                  <w:tcW w:w="4250" w:type="dxa"/>
                  <w:tcBorders>
                    <w:tl2br w:val="nil"/>
                    <w:tr2bl w:val="nil"/>
                  </w:tcBorders>
                  <w:noWrap w:val="0"/>
                  <w:vAlign w:val="center"/>
                </w:tcPr>
                <w:p w14:paraId="7E30D73A">
                  <w:pPr>
                    <w:snapToGrid/>
                    <w:spacing w:before="0" w:beforeLines="0" w:afterLines="0" w:line="240" w:lineRule="auto"/>
                    <w:jc w:val="center"/>
                    <w:outlineLvl w:val="9"/>
                    <w:rPr>
                      <w:rFonts w:hint="default"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vertAlign w:val="baseline"/>
                      <w:lang w:val="en-US" w:eastAsia="zh-CN"/>
                      <w14:textFill>
                        <w14:solidFill>
                          <w14:schemeClr w14:val="tx1"/>
                        </w14:solidFill>
                      </w14:textFill>
                    </w:rPr>
                    <w:t>臭气强度</w:t>
                  </w:r>
                </w:p>
              </w:tc>
            </w:tr>
            <w:tr w14:paraId="3E13908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4344" w:type="dxa"/>
                  <w:tcBorders>
                    <w:tl2br w:val="nil"/>
                    <w:tr2bl w:val="nil"/>
                  </w:tcBorders>
                  <w:noWrap w:val="0"/>
                  <w:vAlign w:val="center"/>
                </w:tcPr>
                <w:p w14:paraId="022E5A25">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0-20</w:t>
                  </w:r>
                </w:p>
              </w:tc>
              <w:tc>
                <w:tcPr>
                  <w:tcW w:w="4250" w:type="dxa"/>
                  <w:tcBorders>
                    <w:tl2br w:val="nil"/>
                    <w:tr2bl w:val="nil"/>
                  </w:tcBorders>
                  <w:noWrap w:val="0"/>
                  <w:vAlign w:val="center"/>
                </w:tcPr>
                <w:p w14:paraId="27282EA5">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3-2</w:t>
                  </w:r>
                </w:p>
              </w:tc>
            </w:tr>
            <w:tr w14:paraId="1869488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4344" w:type="dxa"/>
                  <w:tcBorders>
                    <w:tl2br w:val="nil"/>
                    <w:tr2bl w:val="nil"/>
                  </w:tcBorders>
                  <w:noWrap w:val="0"/>
                  <w:vAlign w:val="center"/>
                </w:tcPr>
                <w:p w14:paraId="6DAB0161">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20-50</w:t>
                  </w:r>
                </w:p>
              </w:tc>
              <w:tc>
                <w:tcPr>
                  <w:tcW w:w="4250" w:type="dxa"/>
                  <w:tcBorders>
                    <w:tl2br w:val="nil"/>
                    <w:tr2bl w:val="nil"/>
                  </w:tcBorders>
                  <w:noWrap w:val="0"/>
                  <w:vAlign w:val="center"/>
                </w:tcPr>
                <w:p w14:paraId="54B43A26">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2-1</w:t>
                  </w:r>
                </w:p>
              </w:tc>
            </w:tr>
            <w:tr w14:paraId="773687A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4344" w:type="dxa"/>
                  <w:tcBorders>
                    <w:tl2br w:val="nil"/>
                    <w:tr2bl w:val="nil"/>
                  </w:tcBorders>
                  <w:noWrap w:val="0"/>
                  <w:vAlign w:val="center"/>
                </w:tcPr>
                <w:p w14:paraId="6A1B6641">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50-100</w:t>
                  </w:r>
                </w:p>
              </w:tc>
              <w:tc>
                <w:tcPr>
                  <w:tcW w:w="4250" w:type="dxa"/>
                  <w:tcBorders>
                    <w:tl2br w:val="nil"/>
                    <w:tr2bl w:val="nil"/>
                  </w:tcBorders>
                  <w:noWrap w:val="0"/>
                  <w:vAlign w:val="center"/>
                </w:tcPr>
                <w:p w14:paraId="0724FB8F">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0-1</w:t>
                  </w:r>
                </w:p>
              </w:tc>
            </w:tr>
            <w:tr w14:paraId="21C78A5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4344" w:type="dxa"/>
                  <w:tcBorders>
                    <w:tl2br w:val="nil"/>
                    <w:tr2bl w:val="nil"/>
                  </w:tcBorders>
                  <w:noWrap w:val="0"/>
                  <w:vAlign w:val="center"/>
                </w:tcPr>
                <w:p w14:paraId="1E5723C7">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＞100m</w:t>
                  </w:r>
                </w:p>
              </w:tc>
              <w:tc>
                <w:tcPr>
                  <w:tcW w:w="4250" w:type="dxa"/>
                  <w:tcBorders>
                    <w:tl2br w:val="nil"/>
                    <w:tr2bl w:val="nil"/>
                  </w:tcBorders>
                  <w:noWrap w:val="0"/>
                  <w:vAlign w:val="center"/>
                </w:tcPr>
                <w:p w14:paraId="14071CCB">
                  <w:pPr>
                    <w:snapToGrid/>
                    <w:spacing w:before="0" w:beforeLines="0" w:afterLines="0" w:line="240" w:lineRule="auto"/>
                    <w:jc w:val="center"/>
                    <w:outlineLvl w:val="9"/>
                    <w:rPr>
                      <w:rFonts w:hint="default"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highlight w:val="none"/>
                      <w:vertAlign w:val="baseline"/>
                      <w:lang w:val="en-US" w:eastAsia="zh-CN"/>
                      <w14:textFill>
                        <w14:solidFill>
                          <w14:schemeClr w14:val="tx1"/>
                        </w14:solidFill>
                      </w14:textFill>
                    </w:rPr>
                    <w:t>0</w:t>
                  </w:r>
                </w:p>
              </w:tc>
            </w:tr>
          </w:tbl>
          <w:p w14:paraId="3B10E3D2">
            <w:pPr>
              <w:pStyle w:val="170"/>
              <w:spacing w:line="360" w:lineRule="auto"/>
              <w:ind w:firstLine="480" w:firstLineChars="200"/>
              <w:rPr>
                <w:rFonts w:hint="eastAsia" w:ascii="Times New Roman" w:hAnsi="Times New Roman" w:eastAsia="宋体" w:cs="Times New Roman"/>
                <w:b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恶臭随距离的增加影响减小，当距离大于100 米时对环境的影响可基本消除，项目面源和点源</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00</w:t>
            </w:r>
            <w:r>
              <w:rPr>
                <w:rFonts w:hint="default" w:ascii="Times New Roman" w:hAnsi="Times New Roman" w:eastAsia="宋体" w:cs="Times New Roman"/>
                <w:color w:val="000000" w:themeColor="text1"/>
                <w:sz w:val="24"/>
                <w:szCs w:val="24"/>
                <w:highlight w:val="none"/>
                <w14:textFill>
                  <w14:solidFill>
                    <w14:schemeClr w14:val="tx1"/>
                  </w14:solidFill>
                </w14:textFill>
              </w:rPr>
              <w:t>m范围内没有敏感点，所以本项目工艺废气产生的异味影响对周边敏感目标和大气环境影响较小。另外，项目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采取</w:t>
            </w:r>
            <w:r>
              <w:rPr>
                <w:rFonts w:hint="default" w:ascii="Times New Roman" w:hAnsi="Times New Roman" w:eastAsia="宋体" w:cs="Times New Roman"/>
                <w:color w:val="000000" w:themeColor="text1"/>
                <w:sz w:val="24"/>
                <w:szCs w:val="24"/>
                <w:highlight w:val="none"/>
                <w14:textFill>
                  <w14:solidFill>
                    <w14:schemeClr w14:val="tx1"/>
                  </w14:solidFill>
                </w14:textFill>
              </w:rPr>
              <w:t>加强厂区周边绿化，种植可吸收臭味的植物，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可</w:t>
            </w:r>
            <w:r>
              <w:rPr>
                <w:rFonts w:hint="default" w:ascii="Times New Roman" w:hAnsi="Times New Roman" w:eastAsia="宋体" w:cs="Times New Roman"/>
                <w:color w:val="000000" w:themeColor="text1"/>
                <w:sz w:val="24"/>
                <w:szCs w:val="24"/>
                <w:highlight w:val="none"/>
                <w14:textFill>
                  <w14:solidFill>
                    <w14:schemeClr w14:val="tx1"/>
                  </w14:solidFill>
                </w14:textFill>
              </w:rPr>
              <w:t>使恶臭对周围环境影响减至最低</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1491CF9">
            <w:pPr>
              <w:ind w:firstLine="482"/>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6</w:t>
            </w:r>
            <w:r>
              <w:rPr>
                <w:rFonts w:hint="eastAsia"/>
                <w:b/>
                <w:bCs/>
                <w:color w:val="000000" w:themeColor="text1"/>
                <w14:textFill>
                  <w14:solidFill>
                    <w14:schemeClr w14:val="tx1"/>
                  </w14:solidFill>
                </w14:textFill>
              </w:rPr>
              <w:t>、卫生防护距离确定</w:t>
            </w:r>
          </w:p>
          <w:p w14:paraId="6CE93DF1">
            <w:pPr>
              <w:ind w:firstLine="480"/>
              <w:rPr>
                <w:color w:val="000000" w:themeColor="text1"/>
                <w14:textFill>
                  <w14:solidFill>
                    <w14:schemeClr w14:val="tx1"/>
                  </w14:solidFill>
                </w14:textFill>
              </w:rPr>
            </w:pPr>
            <w:r>
              <w:rPr>
                <w:color w:val="000000" w:themeColor="text1"/>
                <w14:textFill>
                  <w14:solidFill>
                    <w14:schemeClr w14:val="tx1"/>
                  </w14:solidFill>
                </w14:textFill>
              </w:rPr>
              <w:t>根据《大气有害物质无组织排放卫生防护距离推导技术导则》（GB/T 39499-2020），</w:t>
            </w:r>
            <w:r>
              <w:rPr>
                <w:color w:val="000000" w:themeColor="text1"/>
                <w:kern w:val="0"/>
                <w14:textFill>
                  <w14:solidFill>
                    <w14:schemeClr w14:val="tx1"/>
                  </w14:solidFill>
                </w14:textFill>
              </w:rPr>
              <w:t>卫生防护距离指为了防控通过无组织排放的大气污染物的健康危害，产生大气有害物质生产单元（生产车间和作业场所）的边界至敏感区边界的最小距离。</w:t>
            </w:r>
            <w:r>
              <w:rPr>
                <w:color w:val="000000" w:themeColor="text1"/>
                <w14:textFill>
                  <w14:solidFill>
                    <w14:schemeClr w14:val="tx1"/>
                  </w14:solidFill>
                </w14:textFill>
              </w:rPr>
              <w:t>当企业无组织排放存在多种污染物时，基于单个污染物的等标排放量计算结果，确定企业主要特征大气有害物质。</w:t>
            </w:r>
          </w:p>
          <w:p w14:paraId="4AFA3D50">
            <w:pPr>
              <w:ind w:firstLine="48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由项目平面布置图可知，项目无组织排放源彩绘车间位于标准厂房三楼中部区域（面积约占整层面积的一半），调漆室位于标准厂房三楼东侧，喷漆房位于标准厂房四楼西侧，成型-坯体车间中部区域（面积约占整层面积的一半）。三楼地面离地高度约12.2m，四楼地面离地高度约17.4m，本次评价将租赁的整栋标准厂房所在区域看作1个整体无组织排放单元，占地面积4224.5</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vertAlign w:val="baseline"/>
                <w:lang w:eastAsia="zh-CN"/>
                <w14:textFill>
                  <w14:solidFill>
                    <w14:schemeClr w14:val="tx1"/>
                  </w14:solidFill>
                </w14:textFill>
              </w:rPr>
              <w:t>，</w:t>
            </w:r>
            <w:r>
              <w:rPr>
                <w:rFonts w:hint="eastAsia"/>
                <w:color w:val="000000" w:themeColor="text1"/>
                <w:vertAlign w:val="baseline"/>
                <w:lang w:val="en-US" w:eastAsia="zh-CN"/>
                <w14:textFill>
                  <w14:solidFill>
                    <w14:schemeClr w14:val="tx1"/>
                  </w14:solidFill>
                </w14:textFill>
              </w:rPr>
              <w:t>面源高度H=20m</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项目无组织排放源特征大气有害物质判定详见下表：</w:t>
            </w:r>
          </w:p>
          <w:p w14:paraId="7D0F07B1">
            <w:pPr>
              <w:pStyle w:val="57"/>
              <w:numPr>
                <w:ilvl w:val="3"/>
                <w:numId w:val="19"/>
              </w:numPr>
              <w:rPr>
                <w:color w:val="000000" w:themeColor="text1"/>
                <w:lang w:eastAsia="zh-CN"/>
                <w14:textFill>
                  <w14:solidFill>
                    <w14:schemeClr w14:val="tx1"/>
                  </w14:solidFill>
                </w14:textFill>
              </w:rPr>
            </w:pPr>
            <w:r>
              <w:rPr>
                <w:color w:val="000000" w:themeColor="text1"/>
                <w:lang w:eastAsia="zh-CN"/>
                <w14:textFill>
                  <w14:solidFill>
                    <w14:schemeClr w14:val="tx1"/>
                  </w14:solidFill>
                </w14:textFill>
              </w:rPr>
              <w:t>项目无组织排放源特征大气有害物质判定一览表</w:t>
            </w:r>
          </w:p>
          <w:tbl>
            <w:tblPr>
              <w:tblStyle w:val="3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1000"/>
              <w:gridCol w:w="1061"/>
              <w:gridCol w:w="1110"/>
              <w:gridCol w:w="1134"/>
              <w:gridCol w:w="3128"/>
            </w:tblGrid>
            <w:tr w14:paraId="3ECE3A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tblHeader/>
                <w:jc w:val="center"/>
              </w:trPr>
              <w:tc>
                <w:tcPr>
                  <w:tcW w:w="674" w:type="pct"/>
                  <w:noWrap/>
                  <w:vAlign w:val="center"/>
                </w:tcPr>
                <w:p w14:paraId="44A70524">
                  <w:pPr>
                    <w:pStyle w:val="139"/>
                    <w:spacing w:line="240" w:lineRule="auto"/>
                    <w:rPr>
                      <w:rFonts w:hint="eastAsia" w:eastAsia="宋体"/>
                      <w:b/>
                      <w:bCs/>
                      <w:color w:val="000000" w:themeColor="text1"/>
                      <w:lang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污染源</w:t>
                  </w:r>
                </w:p>
              </w:tc>
              <w:tc>
                <w:tcPr>
                  <w:tcW w:w="581" w:type="pct"/>
                  <w:noWrap/>
                  <w:vAlign w:val="center"/>
                </w:tcPr>
                <w:p w14:paraId="62B298DF">
                  <w:pPr>
                    <w:pStyle w:val="139"/>
                    <w:spacing w:line="240" w:lineRule="auto"/>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污染</w:t>
                  </w:r>
                </w:p>
                <w:p w14:paraId="567D0906">
                  <w:pPr>
                    <w:pStyle w:val="139"/>
                    <w:spacing w:line="240" w:lineRule="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因子</w:t>
                  </w:r>
                </w:p>
              </w:tc>
              <w:tc>
                <w:tcPr>
                  <w:tcW w:w="617" w:type="pct"/>
                  <w:noWrap/>
                  <w:vAlign w:val="center"/>
                </w:tcPr>
                <w:p w14:paraId="15D007F2">
                  <w:pPr>
                    <w:pStyle w:val="139"/>
                    <w:spacing w:line="240" w:lineRule="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排放速率kg/h</w:t>
                  </w:r>
                </w:p>
              </w:tc>
              <w:tc>
                <w:tcPr>
                  <w:tcW w:w="645" w:type="pct"/>
                  <w:noWrap/>
                  <w:vAlign w:val="center"/>
                </w:tcPr>
                <w:p w14:paraId="68CD7D71">
                  <w:pPr>
                    <w:pStyle w:val="139"/>
                    <w:spacing w:line="240" w:lineRule="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评价标准mg/m</w:t>
                  </w:r>
                  <w:r>
                    <w:rPr>
                      <w:rFonts w:hint="eastAsia"/>
                      <w:b/>
                      <w:bCs/>
                      <w:color w:val="000000" w:themeColor="text1"/>
                      <w:vertAlign w:val="superscript"/>
                      <w14:textFill>
                        <w14:solidFill>
                          <w14:schemeClr w14:val="tx1"/>
                        </w14:solidFill>
                      </w14:textFill>
                    </w:rPr>
                    <w:t>3</w:t>
                  </w:r>
                </w:p>
              </w:tc>
              <w:tc>
                <w:tcPr>
                  <w:tcW w:w="659" w:type="pct"/>
                  <w:noWrap/>
                  <w:vAlign w:val="center"/>
                </w:tcPr>
                <w:p w14:paraId="2E525089">
                  <w:pPr>
                    <w:pStyle w:val="139"/>
                    <w:spacing w:line="240" w:lineRule="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等标排放量</w:t>
                  </w:r>
                  <w:r>
                    <w:rPr>
                      <w:b/>
                      <w:bCs/>
                      <w:color w:val="000000" w:themeColor="text1"/>
                      <w14:textFill>
                        <w14:solidFill>
                          <w14:schemeClr w14:val="tx1"/>
                        </w14:solidFill>
                      </w14:textFill>
                    </w:rPr>
                    <w:t>Qc/c</w:t>
                  </w:r>
                  <w:r>
                    <w:rPr>
                      <w:b/>
                      <w:bCs/>
                      <w:color w:val="000000" w:themeColor="text1"/>
                      <w:vertAlign w:val="subscript"/>
                      <w14:textFill>
                        <w14:solidFill>
                          <w14:schemeClr w14:val="tx1"/>
                        </w14:solidFill>
                      </w14:textFill>
                    </w:rPr>
                    <w:t>m</w:t>
                  </w:r>
                </w:p>
              </w:tc>
              <w:tc>
                <w:tcPr>
                  <w:tcW w:w="1820" w:type="pct"/>
                  <w:noWrap/>
                  <w:vAlign w:val="center"/>
                </w:tcPr>
                <w:p w14:paraId="26E8749C">
                  <w:pPr>
                    <w:pStyle w:val="139"/>
                    <w:spacing w:line="240" w:lineRule="auto"/>
                    <w:rPr>
                      <w:b/>
                      <w:bCs/>
                      <w:color w:val="000000" w:themeColor="text1"/>
                      <w14:textFill>
                        <w14:solidFill>
                          <w14:schemeClr w14:val="tx1"/>
                        </w14:solidFill>
                      </w14:textFill>
                    </w:rPr>
                  </w:pPr>
                  <w:r>
                    <w:rPr>
                      <w:rFonts w:cs="Times New Roman"/>
                      <w:b/>
                      <w:bCs/>
                      <w:color w:val="000000" w:themeColor="text1"/>
                      <w:sz w:val="21"/>
                      <w:szCs w:val="21"/>
                      <w:highlight w:val="none"/>
                      <w14:textFill>
                        <w14:solidFill>
                          <w14:schemeClr w14:val="tx1"/>
                        </w14:solidFill>
                      </w14:textFill>
                    </w:rPr>
                    <w:t>最终确定卫生防护距离相关的主要特征大气有害物质</w:t>
                  </w:r>
                </w:p>
              </w:tc>
            </w:tr>
            <w:tr w14:paraId="37D5BF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74" w:type="pct"/>
                  <w:vMerge w:val="restart"/>
                  <w:noWrap/>
                  <w:vAlign w:val="center"/>
                </w:tcPr>
                <w:p w14:paraId="396A8D8A">
                  <w:pPr>
                    <w:pBdr>
                      <w:top w:val="none" w:color="auto" w:sz="0" w:space="1"/>
                      <w:left w:val="none" w:color="auto" w:sz="0" w:space="4"/>
                      <w:bottom w:val="none" w:color="auto" w:sz="0" w:space="1"/>
                      <w:right w:val="none" w:color="auto" w:sz="0" w:space="4"/>
                    </w:pBd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整栋标</w:t>
                  </w:r>
                </w:p>
                <w:p w14:paraId="089A77FD">
                  <w:pPr>
                    <w:pBdr>
                      <w:top w:val="none" w:color="auto" w:sz="0" w:space="1"/>
                      <w:left w:val="none" w:color="auto" w:sz="0" w:space="4"/>
                      <w:bottom w:val="none" w:color="auto" w:sz="0" w:space="1"/>
                      <w:right w:val="none" w:color="auto" w:sz="0" w:space="4"/>
                    </w:pBd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准厂房</w:t>
                  </w:r>
                </w:p>
              </w:tc>
              <w:tc>
                <w:tcPr>
                  <w:tcW w:w="581" w:type="pct"/>
                  <w:noWrap/>
                  <w:vAlign w:val="center"/>
                </w:tcPr>
                <w:p w14:paraId="28F9DB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color w:val="000000" w:themeColor="text1"/>
                      <w:sz w:val="21"/>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颗粒物</w:t>
                  </w:r>
                </w:p>
              </w:tc>
              <w:tc>
                <w:tcPr>
                  <w:tcW w:w="617" w:type="pct"/>
                  <w:noWrap/>
                  <w:vAlign w:val="center"/>
                </w:tcPr>
                <w:p w14:paraId="147079D2">
                  <w:pPr>
                    <w:widowControl/>
                    <w:adjustRightInd/>
                    <w:snapToGrid/>
                    <w:spacing w:line="240" w:lineRule="auto"/>
                    <w:ind w:firstLine="0" w:firstLineChars="0"/>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0.136</w:t>
                  </w:r>
                </w:p>
              </w:tc>
              <w:tc>
                <w:tcPr>
                  <w:tcW w:w="645" w:type="pct"/>
                  <w:noWrap/>
                  <w:vAlign w:val="center"/>
                </w:tcPr>
                <w:p w14:paraId="39FE26AF">
                  <w:pPr>
                    <w:widowControl/>
                    <w:adjustRightInd/>
                    <w:snapToGrid/>
                    <w:spacing w:line="240" w:lineRule="auto"/>
                    <w:ind w:firstLine="0" w:firstLineChars="0"/>
                    <w:jc w:val="center"/>
                    <w:rPr>
                      <w:bCs/>
                      <w:color w:val="000000" w:themeColor="text1"/>
                      <w:sz w:val="21"/>
                      <w:szCs w:val="21"/>
                      <w14:textFill>
                        <w14:solidFill>
                          <w14:schemeClr w14:val="tx1"/>
                        </w14:solidFill>
                      </w14:textFill>
                    </w:rPr>
                  </w:pPr>
                  <w:r>
                    <w:rPr>
                      <w:rFonts w:hint="eastAsia"/>
                      <w:color w:val="000000" w:themeColor="text1"/>
                      <w:kern w:val="0"/>
                      <w:sz w:val="21"/>
                      <w:szCs w:val="21"/>
                      <w:lang w:bidi="ar"/>
                      <w14:textFill>
                        <w14:solidFill>
                          <w14:schemeClr w14:val="tx1"/>
                        </w14:solidFill>
                      </w14:textFill>
                    </w:rPr>
                    <w:t>0.9</w:t>
                  </w:r>
                </w:p>
              </w:tc>
              <w:tc>
                <w:tcPr>
                  <w:tcW w:w="659" w:type="pct"/>
                  <w:noWrap/>
                  <w:vAlign w:val="center"/>
                </w:tcPr>
                <w:p w14:paraId="661EE6A8">
                  <w:pPr>
                    <w:widowControl/>
                    <w:adjustRightInd/>
                    <w:snapToGrid/>
                    <w:spacing w:line="240" w:lineRule="auto"/>
                    <w:ind w:firstLine="0" w:firstLineChars="0"/>
                    <w:jc w:val="center"/>
                    <w:rPr>
                      <w:rFonts w:hint="eastAsia" w:eastAsia="宋体"/>
                      <w:color w:val="000000" w:themeColor="text1"/>
                      <w:kern w:val="0"/>
                      <w:sz w:val="21"/>
                      <w:szCs w:val="21"/>
                      <w:lang w:val="en-US" w:eastAsia="zh-CN" w:bidi="ar"/>
                      <w14:textFill>
                        <w14:solidFill>
                          <w14:schemeClr w14:val="tx1"/>
                        </w14:solidFill>
                      </w14:textFill>
                    </w:rPr>
                  </w:pPr>
                  <w:r>
                    <w:rPr>
                      <w:rFonts w:hint="eastAsia" w:eastAsia="宋体"/>
                      <w:color w:val="000000" w:themeColor="text1"/>
                      <w:kern w:val="0"/>
                      <w:sz w:val="21"/>
                      <w:szCs w:val="21"/>
                      <w:lang w:val="en-US" w:eastAsia="zh-CN" w:bidi="ar"/>
                      <w14:textFill>
                        <w14:solidFill>
                          <w14:schemeClr w14:val="tx1"/>
                        </w14:solidFill>
                      </w14:textFill>
                    </w:rPr>
                    <w:t xml:space="preserve">151111 </w:t>
                  </w:r>
                </w:p>
              </w:tc>
              <w:tc>
                <w:tcPr>
                  <w:tcW w:w="1820" w:type="pct"/>
                  <w:vMerge w:val="restart"/>
                  <w:noWrap/>
                  <w:vAlign w:val="center"/>
                </w:tcPr>
                <w:p w14:paraId="4A83A820">
                  <w:pPr>
                    <w:widowControl/>
                    <w:adjustRightInd/>
                    <w:snapToGrid/>
                    <w:spacing w:line="240" w:lineRule="auto"/>
                    <w:ind w:firstLine="0" w:firstLineChars="0"/>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苯乙烯</w:t>
                  </w:r>
                </w:p>
              </w:tc>
            </w:tr>
            <w:tr w14:paraId="09EBEA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74" w:type="pct"/>
                  <w:vMerge w:val="continue"/>
                  <w:noWrap/>
                  <w:vAlign w:val="center"/>
                </w:tcPr>
                <w:p w14:paraId="1E1E60DE">
                  <w:pPr>
                    <w:pBdr>
                      <w:top w:val="none" w:color="auto" w:sz="0" w:space="1"/>
                      <w:left w:val="none" w:color="auto" w:sz="0" w:space="4"/>
                      <w:bottom w:val="none" w:color="auto" w:sz="0" w:space="1"/>
                      <w:right w:val="none" w:color="auto" w:sz="0" w:space="4"/>
                    </w:pBdr>
                    <w:spacing w:line="240" w:lineRule="auto"/>
                    <w:ind w:firstLine="0" w:firstLineChars="0"/>
                    <w:jc w:val="center"/>
                    <w:rPr>
                      <w:color w:val="000000" w:themeColor="text1"/>
                      <w:sz w:val="21"/>
                      <w:szCs w:val="21"/>
                      <w14:textFill>
                        <w14:solidFill>
                          <w14:schemeClr w14:val="tx1"/>
                        </w14:solidFill>
                      </w14:textFill>
                    </w:rPr>
                  </w:pPr>
                </w:p>
              </w:tc>
              <w:tc>
                <w:tcPr>
                  <w:tcW w:w="581" w:type="pct"/>
                  <w:noWrap/>
                  <w:vAlign w:val="center"/>
                </w:tcPr>
                <w:p w14:paraId="0E76E012">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color w:val="000000" w:themeColor="text1"/>
                      <w:kern w:val="0"/>
                      <w:sz w:val="21"/>
                      <w:szCs w:val="21"/>
                      <w:lang w:bidi="ar"/>
                      <w14:textFill>
                        <w14:solidFill>
                          <w14:schemeClr w14:val="tx1"/>
                        </w14:solidFill>
                      </w14:textFill>
                    </w:rPr>
                  </w:pPr>
                  <w:r>
                    <w:rPr>
                      <w:rFonts w:hint="eastAsia" w:cs="Times New Roman"/>
                      <w:bCs/>
                      <w:color w:val="000000" w:themeColor="text1"/>
                      <w:sz w:val="21"/>
                      <w:szCs w:val="21"/>
                      <w:lang w:val="en-US" w:eastAsia="zh-CN"/>
                      <w14:textFill>
                        <w14:solidFill>
                          <w14:schemeClr w14:val="tx1"/>
                        </w14:solidFill>
                      </w14:textFill>
                    </w:rPr>
                    <w:t>二甲苯</w:t>
                  </w:r>
                </w:p>
              </w:tc>
              <w:tc>
                <w:tcPr>
                  <w:tcW w:w="617" w:type="pct"/>
                  <w:noWrap/>
                  <w:vAlign w:val="center"/>
                </w:tcPr>
                <w:p w14:paraId="017EC798">
                  <w:pPr>
                    <w:widowControl/>
                    <w:adjustRightInd/>
                    <w:snapToGrid/>
                    <w:spacing w:line="240" w:lineRule="auto"/>
                    <w:ind w:firstLine="0" w:firstLineChars="0"/>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0.020</w:t>
                  </w:r>
                </w:p>
              </w:tc>
              <w:tc>
                <w:tcPr>
                  <w:tcW w:w="645" w:type="pct"/>
                  <w:noWrap/>
                  <w:vAlign w:val="center"/>
                </w:tcPr>
                <w:p w14:paraId="77BBB668">
                  <w:pPr>
                    <w:widowControl/>
                    <w:adjustRightInd/>
                    <w:snapToGrid/>
                    <w:spacing w:line="240" w:lineRule="auto"/>
                    <w:ind w:firstLine="0" w:firstLineChars="0"/>
                    <w:jc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2.0</w:t>
                  </w:r>
                </w:p>
              </w:tc>
              <w:tc>
                <w:tcPr>
                  <w:tcW w:w="659" w:type="pct"/>
                  <w:noWrap/>
                  <w:vAlign w:val="center"/>
                </w:tcPr>
                <w:p w14:paraId="7751A9B7">
                  <w:pPr>
                    <w:widowControl/>
                    <w:adjustRightInd/>
                    <w:snapToGrid/>
                    <w:spacing w:line="240" w:lineRule="auto"/>
                    <w:ind w:firstLine="0" w:firstLineChars="0"/>
                    <w:jc w:val="center"/>
                    <w:rPr>
                      <w:rFonts w:hint="eastAsia" w:eastAsia="宋体"/>
                      <w:color w:val="000000" w:themeColor="text1"/>
                      <w:kern w:val="0"/>
                      <w:sz w:val="21"/>
                      <w:szCs w:val="21"/>
                      <w:lang w:val="en-US" w:eastAsia="zh-CN" w:bidi="ar"/>
                      <w14:textFill>
                        <w14:solidFill>
                          <w14:schemeClr w14:val="tx1"/>
                        </w14:solidFill>
                      </w14:textFill>
                    </w:rPr>
                  </w:pPr>
                  <w:r>
                    <w:rPr>
                      <w:rFonts w:hint="eastAsia" w:eastAsia="宋体"/>
                      <w:color w:val="000000" w:themeColor="text1"/>
                      <w:kern w:val="0"/>
                      <w:sz w:val="21"/>
                      <w:szCs w:val="21"/>
                      <w:lang w:val="en-US" w:eastAsia="zh-CN" w:bidi="ar"/>
                      <w14:textFill>
                        <w14:solidFill>
                          <w14:schemeClr w14:val="tx1"/>
                        </w14:solidFill>
                      </w14:textFill>
                    </w:rPr>
                    <w:t xml:space="preserve">10000 </w:t>
                  </w:r>
                </w:p>
              </w:tc>
              <w:tc>
                <w:tcPr>
                  <w:tcW w:w="1820" w:type="pct"/>
                  <w:vMerge w:val="continue"/>
                  <w:noWrap/>
                  <w:vAlign w:val="center"/>
                </w:tcPr>
                <w:p w14:paraId="12E8D97A">
                  <w:pPr>
                    <w:widowControl/>
                    <w:adjustRightInd/>
                    <w:snapToGrid/>
                    <w:spacing w:line="240" w:lineRule="auto"/>
                    <w:ind w:firstLine="0" w:firstLineChars="0"/>
                    <w:jc w:val="center"/>
                    <w:rPr>
                      <w:color w:val="000000" w:themeColor="text1"/>
                      <w:kern w:val="0"/>
                      <w:sz w:val="21"/>
                      <w:szCs w:val="21"/>
                      <w:lang w:bidi="ar"/>
                      <w14:textFill>
                        <w14:solidFill>
                          <w14:schemeClr w14:val="tx1"/>
                        </w14:solidFill>
                      </w14:textFill>
                    </w:rPr>
                  </w:pPr>
                </w:p>
              </w:tc>
            </w:tr>
            <w:tr w14:paraId="0B0653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74" w:type="pct"/>
                  <w:vMerge w:val="continue"/>
                  <w:vAlign w:val="center"/>
                </w:tcPr>
                <w:p w14:paraId="3A9E46C7">
                  <w:pPr>
                    <w:pBdr>
                      <w:top w:val="none" w:color="auto" w:sz="0" w:space="1"/>
                      <w:left w:val="none" w:color="auto" w:sz="0" w:space="4"/>
                      <w:bottom w:val="none" w:color="auto" w:sz="0" w:space="1"/>
                      <w:right w:val="none" w:color="auto" w:sz="0" w:space="4"/>
                    </w:pBdr>
                    <w:spacing w:line="240" w:lineRule="auto"/>
                    <w:ind w:firstLine="0" w:firstLineChars="0"/>
                    <w:jc w:val="center"/>
                    <w:rPr>
                      <w:color w:val="000000" w:themeColor="text1"/>
                      <w:kern w:val="0"/>
                      <w:sz w:val="21"/>
                      <w:szCs w:val="21"/>
                      <w14:textFill>
                        <w14:solidFill>
                          <w14:schemeClr w14:val="tx1"/>
                        </w14:solidFill>
                      </w14:textFill>
                    </w:rPr>
                  </w:pPr>
                </w:p>
              </w:tc>
              <w:tc>
                <w:tcPr>
                  <w:tcW w:w="581" w:type="pct"/>
                  <w:vAlign w:val="center"/>
                </w:tcPr>
                <w:p w14:paraId="650E0AFF">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color w:val="000000" w:themeColor="text1"/>
                      <w:kern w:val="0"/>
                      <w:sz w:val="21"/>
                      <w:szCs w:val="21"/>
                      <w:lang w:bidi="ar"/>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苯乙烯</w:t>
                  </w:r>
                </w:p>
              </w:tc>
              <w:tc>
                <w:tcPr>
                  <w:tcW w:w="617" w:type="pct"/>
                  <w:vAlign w:val="center"/>
                </w:tcPr>
                <w:p w14:paraId="66C8B625">
                  <w:pPr>
                    <w:widowControl/>
                    <w:adjustRightInd/>
                    <w:snapToGrid/>
                    <w:spacing w:line="240" w:lineRule="auto"/>
                    <w:ind w:firstLine="0" w:firstLineChars="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0.007</w:t>
                  </w:r>
                </w:p>
              </w:tc>
              <w:tc>
                <w:tcPr>
                  <w:tcW w:w="645" w:type="pct"/>
                  <w:vAlign w:val="center"/>
                </w:tcPr>
                <w:p w14:paraId="3D009DA8">
                  <w:pPr>
                    <w:widowControl/>
                    <w:adjustRightInd/>
                    <w:snapToGrid/>
                    <w:spacing w:line="240" w:lineRule="auto"/>
                    <w:ind w:firstLine="0" w:firstLineChars="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0.01</w:t>
                  </w:r>
                </w:p>
              </w:tc>
              <w:tc>
                <w:tcPr>
                  <w:tcW w:w="659" w:type="pct"/>
                  <w:vAlign w:val="center"/>
                </w:tcPr>
                <w:p w14:paraId="5BAD054E">
                  <w:pPr>
                    <w:widowControl/>
                    <w:adjustRightInd/>
                    <w:snapToGrid/>
                    <w:spacing w:line="240" w:lineRule="auto"/>
                    <w:ind w:firstLine="0" w:firstLineChars="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700000</w:t>
                  </w:r>
                </w:p>
              </w:tc>
              <w:tc>
                <w:tcPr>
                  <w:tcW w:w="1820" w:type="pct"/>
                  <w:vMerge w:val="continue"/>
                  <w:vAlign w:val="center"/>
                </w:tcPr>
                <w:p w14:paraId="17B161EC">
                  <w:pPr>
                    <w:widowControl/>
                    <w:adjustRightInd/>
                    <w:snapToGrid/>
                    <w:spacing w:line="240" w:lineRule="auto"/>
                    <w:ind w:firstLine="0" w:firstLineChars="0"/>
                    <w:jc w:val="center"/>
                    <w:rPr>
                      <w:color w:val="000000" w:themeColor="text1"/>
                      <w:kern w:val="0"/>
                      <w:sz w:val="21"/>
                      <w:szCs w:val="21"/>
                      <w:lang w:bidi="ar"/>
                      <w14:textFill>
                        <w14:solidFill>
                          <w14:schemeClr w14:val="tx1"/>
                        </w14:solidFill>
                      </w14:textFill>
                    </w:rPr>
                  </w:pPr>
                </w:p>
              </w:tc>
            </w:tr>
            <w:tr w14:paraId="427557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74" w:type="pct"/>
                  <w:vMerge w:val="continue"/>
                  <w:vAlign w:val="center"/>
                </w:tcPr>
                <w:p w14:paraId="5D4272E8">
                  <w:pPr>
                    <w:pBdr>
                      <w:top w:val="none" w:color="auto" w:sz="0" w:space="1"/>
                      <w:left w:val="none" w:color="auto" w:sz="0" w:space="4"/>
                      <w:bottom w:val="none" w:color="auto" w:sz="0" w:space="1"/>
                      <w:right w:val="none" w:color="auto" w:sz="0" w:space="4"/>
                    </w:pBdr>
                    <w:spacing w:line="240" w:lineRule="auto"/>
                    <w:ind w:firstLine="0" w:firstLineChars="0"/>
                    <w:jc w:val="center"/>
                    <w:rPr>
                      <w:color w:val="000000" w:themeColor="text1"/>
                      <w:kern w:val="0"/>
                      <w:sz w:val="21"/>
                      <w:szCs w:val="21"/>
                      <w14:textFill>
                        <w14:solidFill>
                          <w14:schemeClr w14:val="tx1"/>
                        </w14:solidFill>
                      </w14:textFill>
                    </w:rPr>
                  </w:pPr>
                </w:p>
              </w:tc>
              <w:tc>
                <w:tcPr>
                  <w:tcW w:w="581" w:type="pct"/>
                  <w:vAlign w:val="center"/>
                </w:tcPr>
                <w:p w14:paraId="56E414DC">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rPr>
                      <w:rFonts w:hint="eastAsia" w:ascii="宋体" w:hAnsi="宋体" w:cs="宋体"/>
                      <w:color w:val="000000" w:themeColor="text1"/>
                      <w:kern w:val="0"/>
                      <w:sz w:val="21"/>
                      <w:szCs w:val="21"/>
                      <w:lang w:bidi="ar"/>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TVOC</w:t>
                  </w:r>
                </w:p>
              </w:tc>
              <w:tc>
                <w:tcPr>
                  <w:tcW w:w="617" w:type="pct"/>
                  <w:vAlign w:val="center"/>
                </w:tcPr>
                <w:p w14:paraId="08A451D3">
                  <w:pPr>
                    <w:widowControl/>
                    <w:adjustRightInd/>
                    <w:snapToGrid/>
                    <w:spacing w:line="240" w:lineRule="auto"/>
                    <w:ind w:firstLine="0" w:firstLineChars="0"/>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0.111</w:t>
                  </w:r>
                </w:p>
              </w:tc>
              <w:tc>
                <w:tcPr>
                  <w:tcW w:w="645" w:type="pct"/>
                  <w:vAlign w:val="center"/>
                </w:tcPr>
                <w:p w14:paraId="0B4FEA61">
                  <w:pPr>
                    <w:widowControl/>
                    <w:adjustRightInd/>
                    <w:snapToGrid/>
                    <w:spacing w:line="240" w:lineRule="auto"/>
                    <w:ind w:firstLine="0" w:firstLineChars="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1.2</w:t>
                  </w:r>
                </w:p>
              </w:tc>
              <w:tc>
                <w:tcPr>
                  <w:tcW w:w="659" w:type="pct"/>
                  <w:vAlign w:val="center"/>
                </w:tcPr>
                <w:p w14:paraId="7A3A2BD5">
                  <w:pPr>
                    <w:widowControl/>
                    <w:adjustRightInd/>
                    <w:snapToGrid/>
                    <w:spacing w:line="240" w:lineRule="auto"/>
                    <w:ind w:firstLine="0" w:firstLineChars="0"/>
                    <w:jc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92500</w:t>
                  </w:r>
                </w:p>
              </w:tc>
              <w:tc>
                <w:tcPr>
                  <w:tcW w:w="1820" w:type="pct"/>
                  <w:vMerge w:val="continue"/>
                  <w:vAlign w:val="center"/>
                </w:tcPr>
                <w:p w14:paraId="353D9726">
                  <w:pPr>
                    <w:widowControl/>
                    <w:adjustRightInd/>
                    <w:snapToGrid/>
                    <w:spacing w:line="240" w:lineRule="auto"/>
                    <w:ind w:firstLine="0" w:firstLineChars="0"/>
                    <w:jc w:val="center"/>
                    <w:rPr>
                      <w:rFonts w:hint="eastAsia" w:ascii="宋体" w:hAnsi="宋体" w:cs="宋体"/>
                      <w:color w:val="000000" w:themeColor="text1"/>
                      <w:kern w:val="0"/>
                      <w:sz w:val="21"/>
                      <w:szCs w:val="21"/>
                      <w:lang w:bidi="ar"/>
                      <w14:textFill>
                        <w14:solidFill>
                          <w14:schemeClr w14:val="tx1"/>
                        </w14:solidFill>
                      </w14:textFill>
                    </w:rPr>
                  </w:pPr>
                </w:p>
              </w:tc>
            </w:tr>
          </w:tbl>
          <w:p w14:paraId="0CB9965E">
            <w:pPr>
              <w:ind w:firstLine="480"/>
              <w:rPr>
                <w:color w:val="000000" w:themeColor="text1"/>
                <w14:textFill>
                  <w14:solidFill>
                    <w14:schemeClr w14:val="tx1"/>
                  </w14:solidFill>
                </w14:textFill>
              </w:rPr>
            </w:pPr>
            <w:r>
              <w:rPr>
                <w:color w:val="000000" w:themeColor="text1"/>
                <w14:textFill>
                  <w14:solidFill>
                    <w14:schemeClr w14:val="tx1"/>
                  </w14:solidFill>
                </w14:textFill>
              </w:rPr>
              <w:t>根据GB/T39499-2020的有关规定，确定无组织排放源的卫生防护距离初值，可由下式计算：</w:t>
            </w:r>
          </w:p>
          <w:p w14:paraId="46CA5DBA">
            <w:pPr>
              <w:autoSpaceDE w:val="0"/>
              <w:autoSpaceDN w:val="0"/>
              <w:adjustRightInd/>
              <w:ind w:firstLine="480"/>
              <w:jc w:val="center"/>
              <w:rPr>
                <w:color w:val="000000" w:themeColor="text1"/>
                <w:kern w:val="0"/>
                <w:lang w:eastAsia="en-US"/>
                <w14:textFill>
                  <w14:solidFill>
                    <w14:schemeClr w14:val="tx1"/>
                  </w14:solidFill>
                </w14:textFill>
              </w:rPr>
            </w:pPr>
            <w:bookmarkStart w:id="29" w:name="OLE_LINK24"/>
            <w:r>
              <w:rPr>
                <w:color w:val="000000" w:themeColor="text1"/>
                <w:kern w:val="0"/>
                <w:position w:val="-30"/>
                <w:lang w:eastAsia="en-US"/>
                <w14:textFill>
                  <w14:solidFill>
                    <w14:schemeClr w14:val="tx1"/>
                  </w14:solidFill>
                </w14:textFill>
              </w:rPr>
              <w:object>
                <v:shape id="_x0000_i1028" o:spt="75" type="#_x0000_t75" style="height:36pt;width:151.2pt;" o:ole="t" filled="f" o:preferrelative="t" stroked="f" coordsize="21600,21600">
                  <v:path/>
                  <v:fill on="f" focussize="0,0"/>
                  <v:stroke on="f" joinstyle="miter"/>
                  <v:imagedata r:id="rId36" o:title=""/>
                  <o:lock v:ext="edit" aspectratio="t"/>
                  <w10:wrap type="none"/>
                  <w10:anchorlock/>
                </v:shape>
                <o:OLEObject Type="Embed" ProgID="Equation.3" ShapeID="_x0000_i1028" DrawAspect="Content" ObjectID="_1468075728" r:id="rId35">
                  <o:LockedField>false</o:LockedField>
                </o:OLEObject>
              </w:object>
            </w:r>
            <w:bookmarkEnd w:id="29"/>
          </w:p>
          <w:p w14:paraId="5C7A90A5">
            <w:pPr>
              <w:ind w:firstLine="480"/>
              <w:rPr>
                <w:color w:val="000000" w:themeColor="text1"/>
                <w14:textFill>
                  <w14:solidFill>
                    <w14:schemeClr w14:val="tx1"/>
                  </w14:solidFill>
                </w14:textFill>
              </w:rPr>
            </w:pPr>
            <w:r>
              <w:rPr>
                <w:color w:val="000000" w:themeColor="text1"/>
                <w:lang w:val="zh-CN"/>
                <w14:textFill>
                  <w14:solidFill>
                    <w14:schemeClr w14:val="tx1"/>
                  </w14:solidFill>
                </w14:textFill>
              </w:rPr>
              <w:t>式中</w:t>
            </w:r>
            <w:r>
              <w:rPr>
                <w:color w:val="000000" w:themeColor="text1"/>
                <w14:textFill>
                  <w14:solidFill>
                    <w14:schemeClr w14:val="tx1"/>
                  </w14:solidFill>
                </w14:textFill>
              </w:rPr>
              <w:t>：</w:t>
            </w:r>
          </w:p>
          <w:p w14:paraId="650BEF3E">
            <w:pPr>
              <w:ind w:firstLine="480"/>
              <w:rPr>
                <w:color w:val="000000" w:themeColor="text1"/>
                <w14:textFill>
                  <w14:solidFill>
                    <w14:schemeClr w14:val="tx1"/>
                  </w14:solidFill>
                </w14:textFill>
              </w:rPr>
            </w:pPr>
            <w:r>
              <w:rPr>
                <w:color w:val="000000" w:themeColor="text1"/>
                <w14:textFill>
                  <w14:solidFill>
                    <w14:schemeClr w14:val="tx1"/>
                  </w14:solidFill>
                </w14:textFill>
              </w:rPr>
              <w:t>Qc——大气有害物质的无组织排放量，单位为千克每小时（kg/h）；</w:t>
            </w:r>
          </w:p>
          <w:p w14:paraId="15E60D8B">
            <w:pPr>
              <w:ind w:firstLine="480"/>
              <w:rPr>
                <w:color w:val="000000" w:themeColor="text1"/>
                <w14:textFill>
                  <w14:solidFill>
                    <w14:schemeClr w14:val="tx1"/>
                  </w14:solidFill>
                </w14:textFill>
              </w:rPr>
            </w:pPr>
            <w:r>
              <w:rPr>
                <w:color w:val="000000" w:themeColor="text1"/>
                <w14:textFill>
                  <w14:solidFill>
                    <w14:schemeClr w14:val="tx1"/>
                  </w14:solidFill>
                </w14:textFill>
              </w:rPr>
              <w:t>Cm</w:t>
            </w:r>
            <w:r>
              <w:rPr>
                <w:color w:val="000000" w:themeColor="text1"/>
                <w:lang w:val="zh-CN"/>
                <w14:textFill>
                  <w14:solidFill>
                    <w14:schemeClr w14:val="tx1"/>
                  </w14:solidFill>
                </w14:textFill>
              </w:rPr>
              <w:t>—</w:t>
            </w:r>
            <w:r>
              <w:rPr>
                <w:color w:val="000000" w:themeColor="text1"/>
                <w14:textFill>
                  <w14:solidFill>
                    <w14:schemeClr w14:val="tx1"/>
                  </w14:solidFill>
                </w14:textFill>
              </w:rPr>
              <w:t>大气有害物质环境空气质量的</w:t>
            </w:r>
            <w:r>
              <w:rPr>
                <w:color w:val="000000" w:themeColor="text1"/>
                <w:lang w:val="zh-CN"/>
                <w14:textFill>
                  <w14:solidFill>
                    <w14:schemeClr w14:val="tx1"/>
                  </w14:solidFill>
                </w14:textFill>
              </w:rPr>
              <w:t>标准限值，</w:t>
            </w:r>
            <w:r>
              <w:rPr>
                <w:color w:val="000000" w:themeColor="text1"/>
                <w14:textFill>
                  <w14:solidFill>
                    <w14:schemeClr w14:val="tx1"/>
                  </w14:solidFill>
                </w14:textFill>
              </w:rPr>
              <w:t>单位为毫克每立方米（mg/m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r>
              <w:rPr>
                <w:color w:val="000000" w:themeColor="text1"/>
                <w:lang w:val="zh-CN"/>
                <w14:textFill>
                  <w14:solidFill>
                    <w14:schemeClr w14:val="tx1"/>
                  </w14:solidFill>
                </w14:textFill>
              </w:rPr>
              <w:t>；</w:t>
            </w:r>
          </w:p>
          <w:p w14:paraId="35A2562D">
            <w:pPr>
              <w:ind w:firstLine="48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lang w:val="zh-CN"/>
                <w14:textFill>
                  <w14:solidFill>
                    <w14:schemeClr w14:val="tx1"/>
                  </w14:solidFill>
                </w14:textFill>
              </w:rPr>
              <w:t>—</w:t>
            </w:r>
            <w:r>
              <w:rPr>
                <w:color w:val="000000" w:themeColor="text1"/>
                <w14:textFill>
                  <w14:solidFill>
                    <w14:schemeClr w14:val="tx1"/>
                  </w14:solidFill>
                </w14:textFill>
              </w:rPr>
              <w:t>大气有害物质</w:t>
            </w:r>
            <w:r>
              <w:rPr>
                <w:color w:val="000000" w:themeColor="text1"/>
                <w:lang w:val="zh-CN"/>
                <w14:textFill>
                  <w14:solidFill>
                    <w14:schemeClr w14:val="tx1"/>
                  </w14:solidFill>
                </w14:textFill>
              </w:rPr>
              <w:t>卫生防护距离</w:t>
            </w:r>
            <w:r>
              <w:rPr>
                <w:color w:val="000000" w:themeColor="text1"/>
                <w14:textFill>
                  <w14:solidFill>
                    <w14:schemeClr w14:val="tx1"/>
                  </w14:solidFill>
                </w14:textFill>
              </w:rPr>
              <w:t>初值，单位为米（m）</w:t>
            </w:r>
            <w:r>
              <w:rPr>
                <w:color w:val="000000" w:themeColor="text1"/>
                <w:lang w:val="zh-CN"/>
                <w14:textFill>
                  <w14:solidFill>
                    <w14:schemeClr w14:val="tx1"/>
                  </w14:solidFill>
                </w14:textFill>
              </w:rPr>
              <w:t>；</w:t>
            </w:r>
          </w:p>
          <w:p w14:paraId="2FD0DD88">
            <w:pPr>
              <w:ind w:firstLine="480"/>
              <w:rPr>
                <w:color w:val="000000" w:themeColor="text1"/>
                <w14:textFill>
                  <w14:solidFill>
                    <w14:schemeClr w14:val="tx1"/>
                  </w14:solidFill>
                </w14:textFill>
              </w:rPr>
            </w:pPr>
            <w:r>
              <w:rPr>
                <w:color w:val="000000" w:themeColor="text1"/>
                <w14:textFill>
                  <w14:solidFill>
                    <w14:schemeClr w14:val="tx1"/>
                  </w14:solidFill>
                </w14:textFill>
              </w:rPr>
              <w:t>r</w:t>
            </w:r>
            <w:r>
              <w:rPr>
                <w:color w:val="000000" w:themeColor="text1"/>
                <w:lang w:val="zh-CN"/>
                <w14:textFill>
                  <w14:solidFill>
                    <w14:schemeClr w14:val="tx1"/>
                  </w14:solidFill>
                </w14:textFill>
              </w:rPr>
              <w:t>—</w:t>
            </w:r>
            <w:r>
              <w:rPr>
                <w:color w:val="000000" w:themeColor="text1"/>
                <w14:textFill>
                  <w14:solidFill>
                    <w14:schemeClr w14:val="tx1"/>
                  </w14:solidFill>
                </w14:textFill>
              </w:rPr>
              <w:t>大气</w:t>
            </w:r>
            <w:r>
              <w:rPr>
                <w:color w:val="000000" w:themeColor="text1"/>
                <w:lang w:val="zh-CN"/>
                <w14:textFill>
                  <w14:solidFill>
                    <w14:schemeClr w14:val="tx1"/>
                  </w14:solidFill>
                </w14:textFill>
              </w:rPr>
              <w:t>有害气体无组织排放源</w:t>
            </w:r>
            <w:r>
              <w:rPr>
                <w:color w:val="000000" w:themeColor="text1"/>
                <w14:textFill>
                  <w14:solidFill>
                    <w14:schemeClr w14:val="tx1"/>
                  </w14:solidFill>
                </w14:textFill>
              </w:rPr>
              <w:t>所在</w:t>
            </w:r>
            <w:r>
              <w:rPr>
                <w:color w:val="000000" w:themeColor="text1"/>
                <w:lang w:val="zh-CN"/>
                <w14:textFill>
                  <w14:solidFill>
                    <w14:schemeClr w14:val="tx1"/>
                  </w14:solidFill>
                </w14:textFill>
              </w:rPr>
              <w:t>生产单元的等效半径；</w:t>
            </w:r>
          </w:p>
          <w:p w14:paraId="7ACF746F">
            <w:pPr>
              <w:ind w:firstLine="480"/>
              <w:rPr>
                <w:color w:val="000000" w:themeColor="text1"/>
                <w14:textFill>
                  <w14:solidFill>
                    <w14:schemeClr w14:val="tx1"/>
                  </w14:solidFill>
                </w14:textFill>
              </w:rPr>
            </w:pPr>
            <w:r>
              <w:rPr>
                <w:color w:val="000000" w:themeColor="text1"/>
                <w14:textFill>
                  <w14:solidFill>
                    <w14:schemeClr w14:val="tx1"/>
                  </w14:solidFill>
                </w14:textFill>
              </w:rPr>
              <w:t>A</w:t>
            </w:r>
            <w:r>
              <w:rPr>
                <w:color w:val="000000" w:themeColor="text1"/>
                <w:lang w:val="zh-CN"/>
                <w14:textFill>
                  <w14:solidFill>
                    <w14:schemeClr w14:val="tx1"/>
                  </w14:solidFill>
                </w14:textFill>
              </w:rPr>
              <w:t>、</w:t>
            </w:r>
            <w:r>
              <w:rPr>
                <w:color w:val="000000" w:themeColor="text1"/>
                <w14:textFill>
                  <w14:solidFill>
                    <w14:schemeClr w14:val="tx1"/>
                  </w14:solidFill>
                </w14:textFill>
              </w:rPr>
              <w:t>B</w:t>
            </w:r>
            <w:r>
              <w:rPr>
                <w:color w:val="000000" w:themeColor="text1"/>
                <w:lang w:val="zh-CN"/>
                <w14:textFill>
                  <w14:solidFill>
                    <w14:schemeClr w14:val="tx1"/>
                  </w14:solidFill>
                </w14:textFill>
              </w:rPr>
              <w:t>、</w:t>
            </w:r>
            <w:r>
              <w:rPr>
                <w:color w:val="000000" w:themeColor="text1"/>
                <w14:textFill>
                  <w14:solidFill>
                    <w14:schemeClr w14:val="tx1"/>
                  </w14:solidFill>
                </w14:textFill>
              </w:rPr>
              <w:t>C</w:t>
            </w:r>
            <w:r>
              <w:rPr>
                <w:color w:val="000000" w:themeColor="text1"/>
                <w:lang w:val="zh-CN"/>
                <w14:textFill>
                  <w14:solidFill>
                    <w14:schemeClr w14:val="tx1"/>
                  </w14:solidFill>
                </w14:textFill>
              </w:rPr>
              <w:t>、</w:t>
            </w:r>
            <w:r>
              <w:rPr>
                <w:color w:val="000000" w:themeColor="text1"/>
                <w14:textFill>
                  <w14:solidFill>
                    <w14:schemeClr w14:val="tx1"/>
                  </w14:solidFill>
                </w14:textFill>
              </w:rPr>
              <w:t>D</w:t>
            </w:r>
            <w:r>
              <w:rPr>
                <w:color w:val="000000" w:themeColor="text1"/>
                <w:lang w:val="zh-CN"/>
                <w14:textFill>
                  <w14:solidFill>
                    <w14:schemeClr w14:val="tx1"/>
                  </w14:solidFill>
                </w14:textFill>
              </w:rPr>
              <w:t>—卫生防护距离</w:t>
            </w:r>
            <w:r>
              <w:rPr>
                <w:color w:val="000000" w:themeColor="text1"/>
                <w14:textFill>
                  <w14:solidFill>
                    <w14:schemeClr w14:val="tx1"/>
                  </w14:solidFill>
                </w14:textFill>
              </w:rPr>
              <w:t>初值</w:t>
            </w:r>
            <w:r>
              <w:rPr>
                <w:color w:val="000000" w:themeColor="text1"/>
                <w:lang w:val="zh-CN"/>
                <w14:textFill>
                  <w14:solidFill>
                    <w14:schemeClr w14:val="tx1"/>
                  </w14:solidFill>
                </w14:textFill>
              </w:rPr>
              <w:t>计算系数，无因次。</w:t>
            </w:r>
          </w:p>
          <w:p w14:paraId="3879DB5B">
            <w:pPr>
              <w:pStyle w:val="57"/>
              <w:numPr>
                <w:ilvl w:val="3"/>
                <w:numId w:val="19"/>
              </w:numPr>
              <w:rPr>
                <w:bCs/>
                <w:color w:val="000000" w:themeColor="text1"/>
                <w:szCs w:val="24"/>
                <w:lang w:val="zh-CN" w:eastAsia="zh-CN"/>
                <w14:textFill>
                  <w14:solidFill>
                    <w14:schemeClr w14:val="tx1"/>
                  </w14:solidFill>
                </w14:textFill>
              </w:rPr>
            </w:pPr>
            <w:r>
              <w:rPr>
                <w:bCs/>
                <w:color w:val="000000" w:themeColor="text1"/>
                <w:szCs w:val="18"/>
                <w:lang w:val="zh-CN" w:eastAsia="zh-CN"/>
                <w14:textFill>
                  <w14:solidFill>
                    <w14:schemeClr w14:val="tx1"/>
                  </w14:solidFill>
                </w14:textFill>
              </w:rPr>
              <w:t>项目卫生防护距离计算参数及计算结果</w:t>
            </w:r>
          </w:p>
          <w:tbl>
            <w:tblPr>
              <w:tblStyle w:val="3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822"/>
              <w:gridCol w:w="1081"/>
              <w:gridCol w:w="984"/>
              <w:gridCol w:w="758"/>
              <w:gridCol w:w="1177"/>
              <w:gridCol w:w="1000"/>
              <w:gridCol w:w="920"/>
              <w:gridCol w:w="840"/>
            </w:tblGrid>
            <w:tr w14:paraId="17C15A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5" w:type="pct"/>
                  <w:tcBorders>
                    <w:tl2br w:val="nil"/>
                    <w:tr2bl w:val="nil"/>
                  </w:tcBorders>
                  <w:vAlign w:val="center"/>
                </w:tcPr>
                <w:p w14:paraId="35E1163D">
                  <w:pPr>
                    <w:autoSpaceDE w:val="0"/>
                    <w:autoSpaceDN w:val="0"/>
                    <w:spacing w:line="240" w:lineRule="auto"/>
                    <w:ind w:firstLine="0" w:firstLineChars="0"/>
                    <w:jc w:val="center"/>
                    <w:rPr>
                      <w:b/>
                      <w:bCs/>
                      <w:color w:val="000000" w:themeColor="text1"/>
                      <w:kern w:val="0"/>
                      <w:sz w:val="21"/>
                      <w:szCs w:val="21"/>
                      <w:lang w:val="zh-CN" w:eastAsia="en-US"/>
                      <w14:textFill>
                        <w14:solidFill>
                          <w14:schemeClr w14:val="tx1"/>
                        </w14:solidFill>
                      </w14:textFill>
                    </w:rPr>
                  </w:pPr>
                  <w:r>
                    <w:rPr>
                      <w:b/>
                      <w:bCs/>
                      <w:color w:val="000000" w:themeColor="text1"/>
                      <w:kern w:val="0"/>
                      <w:sz w:val="21"/>
                      <w:szCs w:val="21"/>
                      <w:lang w:val="zh-CN" w:eastAsia="en-US"/>
                      <w14:textFill>
                        <w14:solidFill>
                          <w14:schemeClr w14:val="tx1"/>
                        </w14:solidFill>
                      </w14:textFill>
                    </w:rPr>
                    <w:t>污染源</w:t>
                  </w:r>
                </w:p>
              </w:tc>
              <w:tc>
                <w:tcPr>
                  <w:tcW w:w="478" w:type="pct"/>
                  <w:tcBorders>
                    <w:tl2br w:val="nil"/>
                    <w:tr2bl w:val="nil"/>
                  </w:tcBorders>
                  <w:vAlign w:val="center"/>
                </w:tcPr>
                <w:p w14:paraId="171EF662">
                  <w:pPr>
                    <w:autoSpaceDE w:val="0"/>
                    <w:autoSpaceDN w:val="0"/>
                    <w:spacing w:line="240" w:lineRule="auto"/>
                    <w:ind w:firstLine="0" w:firstLineChars="0"/>
                    <w:jc w:val="center"/>
                    <w:rPr>
                      <w:b/>
                      <w:bCs/>
                      <w:color w:val="000000" w:themeColor="text1"/>
                      <w:kern w:val="0"/>
                      <w:sz w:val="21"/>
                      <w:szCs w:val="21"/>
                      <w:lang w:eastAsia="en-US"/>
                      <w14:textFill>
                        <w14:solidFill>
                          <w14:schemeClr w14:val="tx1"/>
                        </w14:solidFill>
                      </w14:textFill>
                    </w:rPr>
                  </w:pPr>
                  <w:r>
                    <w:rPr>
                      <w:b/>
                      <w:bCs/>
                      <w:color w:val="000000" w:themeColor="text1"/>
                      <w:kern w:val="0"/>
                      <w:sz w:val="21"/>
                      <w:szCs w:val="21"/>
                      <w:lang w:val="zh-CN" w:eastAsia="en-US"/>
                      <w14:textFill>
                        <w14:solidFill>
                          <w14:schemeClr w14:val="tx1"/>
                        </w14:solidFill>
                      </w14:textFill>
                    </w:rPr>
                    <w:t>污染物</w:t>
                  </w:r>
                </w:p>
              </w:tc>
              <w:tc>
                <w:tcPr>
                  <w:tcW w:w="629" w:type="pct"/>
                  <w:tcBorders>
                    <w:tl2br w:val="nil"/>
                    <w:tr2bl w:val="nil"/>
                  </w:tcBorders>
                  <w:vAlign w:val="center"/>
                </w:tcPr>
                <w:p w14:paraId="19DEC760">
                  <w:pPr>
                    <w:spacing w:line="240" w:lineRule="auto"/>
                    <w:ind w:firstLine="0" w:firstLineChars="0"/>
                    <w:jc w:val="center"/>
                    <w:textAlignment w:val="baseline"/>
                    <w:rPr>
                      <w:b/>
                      <w:bCs/>
                      <w:color w:val="000000" w:themeColor="text1"/>
                      <w:kern w:val="0"/>
                      <w:sz w:val="21"/>
                      <w:szCs w:val="21"/>
                      <w14:textFill>
                        <w14:solidFill>
                          <w14:schemeClr w14:val="tx1"/>
                        </w14:solidFill>
                      </w14:textFill>
                    </w:rPr>
                  </w:pPr>
                  <w:r>
                    <w:rPr>
                      <w:b/>
                      <w:bCs/>
                      <w:color w:val="000000" w:themeColor="text1"/>
                      <w:kern w:val="0"/>
                      <w:sz w:val="21"/>
                      <w:szCs w:val="21"/>
                      <w14:textFill>
                        <w14:solidFill>
                          <w14:schemeClr w14:val="tx1"/>
                        </w14:solidFill>
                      </w14:textFill>
                    </w:rPr>
                    <w:t>排放速率（kg/h）</w:t>
                  </w:r>
                </w:p>
              </w:tc>
              <w:tc>
                <w:tcPr>
                  <w:tcW w:w="572" w:type="pct"/>
                  <w:tcBorders>
                    <w:tl2br w:val="nil"/>
                    <w:tr2bl w:val="nil"/>
                  </w:tcBorders>
                  <w:vAlign w:val="center"/>
                </w:tcPr>
                <w:p w14:paraId="12936314">
                  <w:pPr>
                    <w:autoSpaceDE w:val="0"/>
                    <w:autoSpaceDN w:val="0"/>
                    <w:spacing w:line="240" w:lineRule="auto"/>
                    <w:ind w:firstLine="0" w:firstLineChars="0"/>
                    <w:jc w:val="center"/>
                    <w:rPr>
                      <w:b/>
                      <w:bCs/>
                      <w:color w:val="000000" w:themeColor="text1"/>
                      <w:kern w:val="0"/>
                      <w:sz w:val="21"/>
                      <w:szCs w:val="21"/>
                      <w:lang w:eastAsia="en-US"/>
                      <w14:textFill>
                        <w14:solidFill>
                          <w14:schemeClr w14:val="tx1"/>
                        </w14:solidFill>
                      </w14:textFill>
                    </w:rPr>
                  </w:pPr>
                  <w:r>
                    <w:rPr>
                      <w:rFonts w:hint="eastAsia"/>
                      <w:b/>
                      <w:bCs/>
                      <w:color w:val="000000" w:themeColor="text1"/>
                      <w:kern w:val="0"/>
                      <w:sz w:val="21"/>
                      <w:szCs w:val="21"/>
                      <w:lang w:val="en-US" w:eastAsia="zh-CN"/>
                      <w14:textFill>
                        <w14:solidFill>
                          <w14:schemeClr w14:val="tx1"/>
                        </w14:solidFill>
                      </w14:textFill>
                    </w:rPr>
                    <w:t>面源面积</w:t>
                  </w:r>
                  <w:r>
                    <w:rPr>
                      <w:b/>
                      <w:bCs/>
                      <w:color w:val="000000" w:themeColor="text1"/>
                      <w:kern w:val="0"/>
                      <w:sz w:val="21"/>
                      <w:szCs w:val="21"/>
                      <w:lang w:val="zh-CN" w:eastAsia="en-US"/>
                      <w14:textFill>
                        <w14:solidFill>
                          <w14:schemeClr w14:val="tx1"/>
                        </w14:solidFill>
                      </w14:textFill>
                    </w:rPr>
                    <w:t>（</w:t>
                  </w:r>
                  <w:r>
                    <w:rPr>
                      <w:b/>
                      <w:bCs/>
                      <w:color w:val="000000" w:themeColor="text1"/>
                      <w:kern w:val="0"/>
                      <w:sz w:val="21"/>
                      <w:szCs w:val="21"/>
                      <w:lang w:eastAsia="en-US"/>
                      <w14:textFill>
                        <w14:solidFill>
                          <w14:schemeClr w14:val="tx1"/>
                        </w14:solidFill>
                      </w14:textFill>
                    </w:rPr>
                    <w:t>m</w:t>
                  </w:r>
                  <w:r>
                    <w:rPr>
                      <w:rFonts w:hint="eastAsia"/>
                      <w:b/>
                      <w:bCs/>
                      <w:color w:val="000000" w:themeColor="text1"/>
                      <w:kern w:val="0"/>
                      <w:sz w:val="21"/>
                      <w:szCs w:val="21"/>
                      <w:vertAlign w:val="superscript"/>
                      <w14:textFill>
                        <w14:solidFill>
                          <w14:schemeClr w14:val="tx1"/>
                        </w14:solidFill>
                      </w14:textFill>
                    </w:rPr>
                    <w:t>2</w:t>
                  </w:r>
                  <w:r>
                    <w:rPr>
                      <w:b/>
                      <w:bCs/>
                      <w:color w:val="000000" w:themeColor="text1"/>
                      <w:kern w:val="0"/>
                      <w:sz w:val="21"/>
                      <w:szCs w:val="21"/>
                      <w:lang w:val="zh-CN" w:eastAsia="en-US"/>
                      <w14:textFill>
                        <w14:solidFill>
                          <w14:schemeClr w14:val="tx1"/>
                        </w14:solidFill>
                      </w14:textFill>
                    </w:rPr>
                    <w:t>）</w:t>
                  </w:r>
                </w:p>
              </w:tc>
              <w:tc>
                <w:tcPr>
                  <w:tcW w:w="441" w:type="pct"/>
                  <w:tcBorders>
                    <w:tl2br w:val="nil"/>
                    <w:tr2bl w:val="nil"/>
                  </w:tcBorders>
                  <w:vAlign w:val="center"/>
                </w:tcPr>
                <w:p w14:paraId="61911333">
                  <w:pPr>
                    <w:autoSpaceDE w:val="0"/>
                    <w:autoSpaceDN w:val="0"/>
                    <w:spacing w:line="240" w:lineRule="auto"/>
                    <w:ind w:firstLine="0" w:firstLineChars="0"/>
                    <w:jc w:val="center"/>
                    <w:rPr>
                      <w:rFonts w:hint="default"/>
                      <w:b/>
                      <w:bCs/>
                      <w:color w:val="000000" w:themeColor="text1"/>
                      <w:kern w:val="0"/>
                      <w:sz w:val="21"/>
                      <w:szCs w:val="21"/>
                      <w:lang w:val="en-US" w:eastAsia="zh-CN"/>
                      <w14:textFill>
                        <w14:solidFill>
                          <w14:schemeClr w14:val="tx1"/>
                        </w14:solidFill>
                      </w14:textFill>
                    </w:rPr>
                  </w:pPr>
                  <w:r>
                    <w:rPr>
                      <w:rFonts w:hint="eastAsia"/>
                      <w:b/>
                      <w:bCs/>
                      <w:color w:val="000000" w:themeColor="text1"/>
                      <w:kern w:val="0"/>
                      <w:sz w:val="21"/>
                      <w:szCs w:val="21"/>
                      <w:lang w:val="en-US" w:eastAsia="zh-CN"/>
                      <w14:textFill>
                        <w14:solidFill>
                          <w14:schemeClr w14:val="tx1"/>
                        </w14:solidFill>
                      </w14:textFill>
                    </w:rPr>
                    <w:t>高度（m）</w:t>
                  </w:r>
                </w:p>
              </w:tc>
              <w:tc>
                <w:tcPr>
                  <w:tcW w:w="685" w:type="pct"/>
                  <w:tcBorders>
                    <w:tl2br w:val="nil"/>
                    <w:tr2bl w:val="nil"/>
                  </w:tcBorders>
                  <w:vAlign w:val="center"/>
                </w:tcPr>
                <w:p w14:paraId="3B4CA865">
                  <w:pPr>
                    <w:autoSpaceDE w:val="0"/>
                    <w:autoSpaceDN w:val="0"/>
                    <w:spacing w:line="240" w:lineRule="auto"/>
                    <w:ind w:firstLine="0" w:firstLineChars="0"/>
                    <w:jc w:val="center"/>
                    <w:rPr>
                      <w:b/>
                      <w:bCs/>
                      <w:color w:val="000000" w:themeColor="text1"/>
                      <w:kern w:val="0"/>
                      <w:sz w:val="21"/>
                      <w:szCs w:val="21"/>
                      <w:lang w:eastAsia="en-US"/>
                      <w14:textFill>
                        <w14:solidFill>
                          <w14:schemeClr w14:val="tx1"/>
                        </w14:solidFill>
                      </w14:textFill>
                    </w:rPr>
                  </w:pPr>
                  <w:r>
                    <w:rPr>
                      <w:b/>
                      <w:bCs/>
                      <w:color w:val="000000" w:themeColor="text1"/>
                      <w:kern w:val="0"/>
                      <w:sz w:val="21"/>
                      <w:szCs w:val="21"/>
                      <w:lang w:val="zh-CN" w:eastAsia="en-US"/>
                      <w14:textFill>
                        <w14:solidFill>
                          <w14:schemeClr w14:val="tx1"/>
                        </w14:solidFill>
                      </w14:textFill>
                    </w:rPr>
                    <w:t>质量标准（</w:t>
                  </w:r>
                  <w:r>
                    <w:rPr>
                      <w:b/>
                      <w:bCs/>
                      <w:color w:val="000000" w:themeColor="text1"/>
                      <w:kern w:val="0"/>
                      <w:sz w:val="21"/>
                      <w:szCs w:val="21"/>
                      <w:lang w:eastAsia="en-US"/>
                      <w14:textFill>
                        <w14:solidFill>
                          <w14:schemeClr w14:val="tx1"/>
                        </w14:solidFill>
                      </w14:textFill>
                    </w:rPr>
                    <w:t>mg/m</w:t>
                  </w:r>
                  <w:r>
                    <w:rPr>
                      <w:b/>
                      <w:bCs/>
                      <w:color w:val="000000" w:themeColor="text1"/>
                      <w:kern w:val="0"/>
                      <w:sz w:val="21"/>
                      <w:szCs w:val="21"/>
                      <w:vertAlign w:val="superscript"/>
                      <w:lang w:eastAsia="en-US"/>
                      <w14:textFill>
                        <w14:solidFill>
                          <w14:schemeClr w14:val="tx1"/>
                        </w14:solidFill>
                      </w14:textFill>
                    </w:rPr>
                    <w:t>3</w:t>
                  </w:r>
                  <w:r>
                    <w:rPr>
                      <w:b/>
                      <w:bCs/>
                      <w:color w:val="000000" w:themeColor="text1"/>
                      <w:kern w:val="0"/>
                      <w:sz w:val="21"/>
                      <w:szCs w:val="21"/>
                      <w:lang w:val="zh-CN" w:eastAsia="en-US"/>
                      <w14:textFill>
                        <w14:solidFill>
                          <w14:schemeClr w14:val="tx1"/>
                        </w14:solidFill>
                      </w14:textFill>
                    </w:rPr>
                    <w:t>）</w:t>
                  </w:r>
                </w:p>
              </w:tc>
              <w:tc>
                <w:tcPr>
                  <w:tcW w:w="582" w:type="pct"/>
                  <w:tcBorders>
                    <w:tl2br w:val="nil"/>
                    <w:tr2bl w:val="nil"/>
                  </w:tcBorders>
                  <w:vAlign w:val="center"/>
                </w:tcPr>
                <w:p w14:paraId="06E4F207">
                  <w:pPr>
                    <w:autoSpaceDE w:val="0"/>
                    <w:autoSpaceDN w:val="0"/>
                    <w:spacing w:line="240" w:lineRule="auto"/>
                    <w:ind w:firstLine="0" w:firstLineChars="0"/>
                    <w:jc w:val="center"/>
                    <w:rPr>
                      <w:b/>
                      <w:bCs/>
                      <w:color w:val="000000" w:themeColor="text1"/>
                      <w:kern w:val="0"/>
                      <w:sz w:val="21"/>
                      <w:szCs w:val="21"/>
                      <w14:textFill>
                        <w14:solidFill>
                          <w14:schemeClr w14:val="tx1"/>
                        </w14:solidFill>
                      </w14:textFill>
                    </w:rPr>
                  </w:pPr>
                  <w:r>
                    <w:rPr>
                      <w:b/>
                      <w:bCs/>
                      <w:color w:val="000000" w:themeColor="text1"/>
                      <w:kern w:val="0"/>
                      <w:sz w:val="21"/>
                      <w:szCs w:val="21"/>
                      <w:lang w:val="zh-CN"/>
                      <w14:textFill>
                        <w14:solidFill>
                          <w14:schemeClr w14:val="tx1"/>
                        </w14:solidFill>
                      </w14:textFill>
                    </w:rPr>
                    <w:t>计算</w:t>
                  </w:r>
                  <w:r>
                    <w:rPr>
                      <w:rFonts w:hint="eastAsia"/>
                      <w:b/>
                      <w:bCs/>
                      <w:color w:val="000000" w:themeColor="text1"/>
                      <w:kern w:val="0"/>
                      <w:sz w:val="21"/>
                      <w:szCs w:val="21"/>
                      <w:lang w:val="en-US" w:eastAsia="zh-CN"/>
                      <w14:textFill>
                        <w14:solidFill>
                          <w14:schemeClr w14:val="tx1"/>
                        </w14:solidFill>
                      </w14:textFill>
                    </w:rPr>
                    <w:t>结果</w:t>
                  </w:r>
                  <w:r>
                    <w:rPr>
                      <w:b/>
                      <w:bCs/>
                      <w:color w:val="000000" w:themeColor="text1"/>
                      <w:kern w:val="0"/>
                      <w:sz w:val="21"/>
                      <w:szCs w:val="21"/>
                      <w:lang w:val="zh-CN"/>
                      <w14:textFill>
                        <w14:solidFill>
                          <w14:schemeClr w14:val="tx1"/>
                        </w14:solidFill>
                      </w14:textFill>
                    </w:rPr>
                    <w:t>（</w:t>
                  </w:r>
                  <w:r>
                    <w:rPr>
                      <w:b/>
                      <w:bCs/>
                      <w:color w:val="000000" w:themeColor="text1"/>
                      <w:kern w:val="0"/>
                      <w:sz w:val="21"/>
                      <w:szCs w:val="21"/>
                      <w14:textFill>
                        <w14:solidFill>
                          <w14:schemeClr w14:val="tx1"/>
                        </w14:solidFill>
                      </w14:textFill>
                    </w:rPr>
                    <w:t>m</w:t>
                  </w:r>
                  <w:r>
                    <w:rPr>
                      <w:b/>
                      <w:bCs/>
                      <w:color w:val="000000" w:themeColor="text1"/>
                      <w:kern w:val="0"/>
                      <w:sz w:val="21"/>
                      <w:szCs w:val="21"/>
                      <w:lang w:val="zh-CN"/>
                      <w14:textFill>
                        <w14:solidFill>
                          <w14:schemeClr w14:val="tx1"/>
                        </w14:solidFill>
                      </w14:textFill>
                    </w:rPr>
                    <w:t>）</w:t>
                  </w:r>
                </w:p>
              </w:tc>
              <w:tc>
                <w:tcPr>
                  <w:tcW w:w="535" w:type="pct"/>
                  <w:tcBorders>
                    <w:tl2br w:val="nil"/>
                    <w:tr2bl w:val="nil"/>
                  </w:tcBorders>
                  <w:vAlign w:val="center"/>
                </w:tcPr>
                <w:p w14:paraId="1825A706">
                  <w:pPr>
                    <w:autoSpaceDE w:val="0"/>
                    <w:autoSpaceDN w:val="0"/>
                    <w:spacing w:line="240" w:lineRule="auto"/>
                    <w:ind w:firstLine="0" w:firstLineChars="0"/>
                    <w:jc w:val="center"/>
                    <w:rPr>
                      <w:rFonts w:hint="default" w:eastAsia="宋体"/>
                      <w:b/>
                      <w:bCs/>
                      <w:color w:val="000000" w:themeColor="text1"/>
                      <w:kern w:val="0"/>
                      <w:sz w:val="21"/>
                      <w:szCs w:val="21"/>
                      <w:lang w:val="en-US" w:eastAsia="zh-CN"/>
                      <w14:textFill>
                        <w14:solidFill>
                          <w14:schemeClr w14:val="tx1"/>
                        </w14:solidFill>
                      </w14:textFill>
                    </w:rPr>
                  </w:pPr>
                  <w:r>
                    <w:rPr>
                      <w:rFonts w:hint="eastAsia"/>
                      <w:b/>
                      <w:bCs/>
                      <w:color w:val="000000" w:themeColor="text1"/>
                      <w:kern w:val="0"/>
                      <w:sz w:val="21"/>
                      <w:szCs w:val="21"/>
                      <w:lang w:val="en-US" w:eastAsia="zh-CN"/>
                      <w14:textFill>
                        <w14:solidFill>
                          <w14:schemeClr w14:val="tx1"/>
                        </w14:solidFill>
                      </w14:textFill>
                    </w:rPr>
                    <w:t>级差值（m）</w:t>
                  </w:r>
                </w:p>
              </w:tc>
              <w:tc>
                <w:tcPr>
                  <w:tcW w:w="489" w:type="pct"/>
                  <w:tcBorders>
                    <w:tl2br w:val="nil"/>
                    <w:tr2bl w:val="nil"/>
                  </w:tcBorders>
                  <w:vAlign w:val="center"/>
                </w:tcPr>
                <w:p w14:paraId="275C4416">
                  <w:pPr>
                    <w:autoSpaceDE w:val="0"/>
                    <w:autoSpaceDN w:val="0"/>
                    <w:spacing w:line="240" w:lineRule="auto"/>
                    <w:ind w:firstLine="0" w:firstLineChars="0"/>
                    <w:jc w:val="center"/>
                    <w:rPr>
                      <w:rFonts w:hint="default" w:eastAsia="宋体"/>
                      <w:b/>
                      <w:bCs/>
                      <w:color w:val="000000" w:themeColor="text1"/>
                      <w:kern w:val="0"/>
                      <w:sz w:val="21"/>
                      <w:szCs w:val="21"/>
                      <w:lang w:val="en-US" w:eastAsia="zh-CN"/>
                      <w14:textFill>
                        <w14:solidFill>
                          <w14:schemeClr w14:val="tx1"/>
                        </w14:solidFill>
                      </w14:textFill>
                    </w:rPr>
                  </w:pPr>
                  <w:r>
                    <w:rPr>
                      <w:rFonts w:hint="eastAsia"/>
                      <w:b/>
                      <w:bCs/>
                      <w:color w:val="000000" w:themeColor="text1"/>
                      <w:kern w:val="0"/>
                      <w:sz w:val="21"/>
                      <w:szCs w:val="21"/>
                      <w:lang w:val="en-US" w:eastAsia="zh-CN"/>
                      <w14:textFill>
                        <w14:solidFill>
                          <w14:schemeClr w14:val="tx1"/>
                        </w14:solidFill>
                      </w14:textFill>
                    </w:rPr>
                    <w:t>提级后取值（m）</w:t>
                  </w:r>
                </w:p>
              </w:tc>
            </w:tr>
            <w:tr w14:paraId="4A7A0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85" w:type="pct"/>
                  <w:tcBorders>
                    <w:tl2br w:val="nil"/>
                    <w:tr2bl w:val="nil"/>
                  </w:tcBorders>
                  <w:vAlign w:val="center"/>
                </w:tcPr>
                <w:p w14:paraId="231DFB76">
                  <w:pPr>
                    <w:pBdr>
                      <w:top w:val="none" w:color="auto" w:sz="0" w:space="1"/>
                      <w:left w:val="none" w:color="auto" w:sz="0" w:space="4"/>
                      <w:bottom w:val="none" w:color="auto" w:sz="0" w:space="1"/>
                      <w:right w:val="none" w:color="auto" w:sz="0" w:space="4"/>
                    </w:pBd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整栋标</w:t>
                  </w:r>
                </w:p>
                <w:p w14:paraId="15D0625F">
                  <w:pPr>
                    <w:spacing w:line="240" w:lineRule="auto"/>
                    <w:ind w:firstLine="0" w:firstLineChars="0"/>
                    <w:jc w:val="center"/>
                    <w:textAlignment w:val="baseline"/>
                    <w:rPr>
                      <w:color w:val="000000" w:themeColor="text1"/>
                      <w:kern w:val="0"/>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准厂房</w:t>
                  </w:r>
                </w:p>
              </w:tc>
              <w:tc>
                <w:tcPr>
                  <w:tcW w:w="478" w:type="pct"/>
                  <w:tcBorders>
                    <w:tl2br w:val="nil"/>
                    <w:tr2bl w:val="nil"/>
                  </w:tcBorders>
                  <w:vAlign w:val="center"/>
                </w:tcPr>
                <w:p w14:paraId="15EFEDAA">
                  <w:pPr>
                    <w:spacing w:line="240" w:lineRule="auto"/>
                    <w:ind w:firstLine="0" w:firstLineChars="0"/>
                    <w:jc w:val="center"/>
                    <w:textAlignment w:val="baseline"/>
                    <w:rPr>
                      <w:rFonts w:hint="eastAsia"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苯乙烯</w:t>
                  </w:r>
                </w:p>
              </w:tc>
              <w:tc>
                <w:tcPr>
                  <w:tcW w:w="629" w:type="pct"/>
                  <w:tcBorders>
                    <w:tl2br w:val="nil"/>
                    <w:tr2bl w:val="nil"/>
                  </w:tcBorders>
                  <w:vAlign w:val="center"/>
                </w:tcPr>
                <w:p w14:paraId="307D58E4">
                  <w:pPr>
                    <w:autoSpaceDE w:val="0"/>
                    <w:autoSpaceDN w:val="0"/>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color w:val="000000" w:themeColor="text1"/>
                      <w:sz w:val="21"/>
                      <w14:textFill>
                        <w14:solidFill>
                          <w14:schemeClr w14:val="tx1"/>
                        </w14:solidFill>
                      </w14:textFill>
                    </w:rPr>
                    <w:t>0.</w:t>
                  </w:r>
                  <w:r>
                    <w:rPr>
                      <w:rFonts w:hint="eastAsia"/>
                      <w:color w:val="000000" w:themeColor="text1"/>
                      <w:sz w:val="21"/>
                      <w:lang w:val="en-US" w:eastAsia="zh-CN"/>
                      <w14:textFill>
                        <w14:solidFill>
                          <w14:schemeClr w14:val="tx1"/>
                        </w14:solidFill>
                      </w14:textFill>
                    </w:rPr>
                    <w:t>007</w:t>
                  </w:r>
                </w:p>
              </w:tc>
              <w:tc>
                <w:tcPr>
                  <w:tcW w:w="572" w:type="pct"/>
                  <w:tcBorders>
                    <w:tl2br w:val="nil"/>
                    <w:tr2bl w:val="nil"/>
                  </w:tcBorders>
                  <w:vAlign w:val="center"/>
                </w:tcPr>
                <w:p w14:paraId="53C7FD44">
                  <w:pPr>
                    <w:autoSpaceDE w:val="0"/>
                    <w:autoSpaceDN w:val="0"/>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4224.5</w:t>
                  </w:r>
                </w:p>
              </w:tc>
              <w:tc>
                <w:tcPr>
                  <w:tcW w:w="441" w:type="pct"/>
                  <w:tcBorders>
                    <w:tl2br w:val="nil"/>
                    <w:tr2bl w:val="nil"/>
                  </w:tcBorders>
                  <w:vAlign w:val="center"/>
                </w:tcPr>
                <w:p w14:paraId="053731A5">
                  <w:pPr>
                    <w:autoSpaceDE w:val="0"/>
                    <w:autoSpaceDN w:val="0"/>
                    <w:spacing w:line="240" w:lineRule="auto"/>
                    <w:ind w:firstLine="0" w:firstLineChars="0"/>
                    <w:jc w:val="center"/>
                    <w:rPr>
                      <w:rFonts w:hint="default"/>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15</w:t>
                  </w:r>
                </w:p>
              </w:tc>
              <w:tc>
                <w:tcPr>
                  <w:tcW w:w="685" w:type="pct"/>
                  <w:tcBorders>
                    <w:tl2br w:val="nil"/>
                    <w:tr2bl w:val="nil"/>
                  </w:tcBorders>
                  <w:vAlign w:val="center"/>
                </w:tcPr>
                <w:p w14:paraId="3A4BFCC2">
                  <w:pPr>
                    <w:autoSpaceDE w:val="0"/>
                    <w:autoSpaceDN w:val="0"/>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0.01</w:t>
                  </w:r>
                </w:p>
              </w:tc>
              <w:tc>
                <w:tcPr>
                  <w:tcW w:w="582" w:type="pct"/>
                  <w:tcBorders>
                    <w:tl2br w:val="nil"/>
                    <w:tr2bl w:val="nil"/>
                  </w:tcBorders>
                  <w:vAlign w:val="center"/>
                </w:tcPr>
                <w:p w14:paraId="102C7D44">
                  <w:pPr>
                    <w:autoSpaceDE w:val="0"/>
                    <w:autoSpaceDN w:val="0"/>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32.556</w:t>
                  </w:r>
                </w:p>
              </w:tc>
              <w:tc>
                <w:tcPr>
                  <w:tcW w:w="535" w:type="pct"/>
                  <w:tcBorders>
                    <w:tl2br w:val="nil"/>
                    <w:tr2bl w:val="nil"/>
                  </w:tcBorders>
                  <w:vAlign w:val="center"/>
                </w:tcPr>
                <w:p w14:paraId="15CE4491">
                  <w:pPr>
                    <w:autoSpaceDE w:val="0"/>
                    <w:autoSpaceDN w:val="0"/>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50</w:t>
                  </w:r>
                </w:p>
              </w:tc>
              <w:tc>
                <w:tcPr>
                  <w:tcW w:w="489" w:type="pct"/>
                  <w:tcBorders>
                    <w:tl2br w:val="nil"/>
                    <w:tr2bl w:val="nil"/>
                  </w:tcBorders>
                  <w:vAlign w:val="center"/>
                </w:tcPr>
                <w:p w14:paraId="621FD530">
                  <w:pPr>
                    <w:autoSpaceDE w:val="0"/>
                    <w:autoSpaceDN w:val="0"/>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50</w:t>
                  </w:r>
                </w:p>
              </w:tc>
            </w:tr>
          </w:tbl>
          <w:p w14:paraId="2FAEB2F6">
            <w:pPr>
              <w:pStyle w:val="35"/>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left="0" w:leftChars="0" w:firstLine="0" w:firstLineChars="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50815" cy="3561080"/>
                  <wp:effectExtent l="0" t="0" r="6985" b="1270"/>
                  <wp:docPr id="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pic:cNvPicPr>
                            <a:picLocks noChangeAspect="1"/>
                          </pic:cNvPicPr>
                        </pic:nvPicPr>
                        <pic:blipFill>
                          <a:blip r:embed="rId37"/>
                          <a:stretch>
                            <a:fillRect/>
                          </a:stretch>
                        </pic:blipFill>
                        <pic:spPr>
                          <a:xfrm>
                            <a:off x="0" y="0"/>
                            <a:ext cx="5250815" cy="3561080"/>
                          </a:xfrm>
                          <a:prstGeom prst="rect">
                            <a:avLst/>
                          </a:prstGeom>
                          <a:noFill/>
                          <a:ln>
                            <a:noFill/>
                          </a:ln>
                        </pic:spPr>
                      </pic:pic>
                    </a:graphicData>
                  </a:graphic>
                </wp:inline>
              </w:drawing>
            </w:r>
          </w:p>
          <w:p w14:paraId="390ECA24">
            <w:pPr>
              <w:pStyle w:val="45"/>
              <w:spacing w:line="360" w:lineRule="auto"/>
              <w:ind w:firstLine="444" w:firstLineChars="200"/>
              <w:jc w:val="both"/>
              <w:rPr>
                <w:rFonts w:ascii="Times New Roman" w:cs="Times New Roman"/>
                <w:color w:val="000000" w:themeColor="text1"/>
                <w:szCs w:val="20"/>
                <w:highlight w:val="none"/>
                <w14:textFill>
                  <w14:solidFill>
                    <w14:schemeClr w14:val="tx1"/>
                  </w14:solidFill>
                </w14:textFill>
              </w:rPr>
            </w:pPr>
            <w:r>
              <w:rPr>
                <w:rFonts w:hint="eastAsia"/>
                <w:color w:val="000000" w:themeColor="text1"/>
                <w:spacing w:val="-9"/>
                <w:kern w:val="0"/>
                <w:szCs w:val="21"/>
                <w:highlight w:val="none"/>
                <w14:textFill>
                  <w14:solidFill>
                    <w14:schemeClr w14:val="tx1"/>
                  </w14:solidFill>
                </w14:textFill>
              </w:rPr>
              <w:t>根据上表可知，</w:t>
            </w:r>
            <w:r>
              <w:rPr>
                <w:rFonts w:hint="eastAsia"/>
                <w:b w:val="0"/>
                <w:bCs w:val="0"/>
                <w:color w:val="000000" w:themeColor="text1"/>
                <w:kern w:val="2"/>
                <w:sz w:val="24"/>
                <w:szCs w:val="24"/>
                <w:highlight w:val="none"/>
                <w:lang w:val="en-US" w:eastAsia="zh-CN"/>
                <w14:textFill>
                  <w14:solidFill>
                    <w14:schemeClr w14:val="tx1"/>
                  </w14:solidFill>
                </w14:textFill>
              </w:rPr>
              <w:t>项目卫生防护距离确定为标准厂房边界外延50m的包络线范围（详见附图十）。</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根据现场踏勘，距离项目厂界最近的敏感点为项目</w:t>
            </w:r>
            <w:r>
              <w:rPr>
                <w:rFonts w:hint="eastAsia" w:ascii="Times New Roman" w:cs="Times New Roman"/>
                <w:color w:val="000000" w:themeColor="text1"/>
                <w:sz w:val="24"/>
                <w:szCs w:val="24"/>
                <w:highlight w:val="none"/>
                <w:lang w:val="en-US" w:eastAsia="zh-CN"/>
                <w14:textFill>
                  <w14:solidFill>
                    <w14:schemeClr w14:val="tx1"/>
                  </w14:solidFill>
                </w14:textFill>
              </w:rPr>
              <w:t>东北面的牛背村</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居民点</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（与项目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厂界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相距约</w:t>
            </w:r>
            <w:r>
              <w:rPr>
                <w:rFonts w:hint="eastAsia" w:ascii="Times New Roman" w:cs="Times New Roman"/>
                <w:color w:val="000000" w:themeColor="text1"/>
                <w:sz w:val="24"/>
                <w:szCs w:val="24"/>
                <w:highlight w:val="none"/>
                <w:lang w:val="en-US" w:eastAsia="zh-CN"/>
                <w14:textFill>
                  <w14:solidFill>
                    <w14:schemeClr w14:val="tx1"/>
                  </w14:solidFill>
                </w14:textFill>
              </w:rPr>
              <w:t>350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），不在项目卫生防护距离范围内。因此，项目卫生防护距离范围内无居民区、学校、医院等环境敏感点</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（不涉及需要拆迁的敏感点）</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，满足卫生防护距离要求</w:t>
            </w:r>
            <w:r>
              <w:rPr>
                <w:rFonts w:hint="eastAsia" w:ascii="Times New Roman" w:cs="Times New Roman"/>
                <w:color w:val="000000" w:themeColor="text1"/>
                <w:highlight w:val="none"/>
                <w14:textFill>
                  <w14:solidFill>
                    <w14:schemeClr w14:val="tx1"/>
                  </w14:solidFill>
                </w14:textFill>
              </w:rPr>
              <w:t>。</w:t>
            </w:r>
          </w:p>
          <w:p w14:paraId="3E64D807">
            <w:pPr>
              <w:pStyle w:val="45"/>
              <w:spacing w:line="360" w:lineRule="auto"/>
              <w:rPr>
                <w:rFonts w:hint="default" w:ascii="Times New Roman" w:hAnsi="Times New Roman" w:eastAsia="宋体"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7、大气环境影响分析</w:t>
            </w:r>
          </w:p>
          <w:p w14:paraId="5E7A56C7">
            <w:pPr>
              <w:pStyle w:val="45"/>
              <w:spacing w:line="360" w:lineRule="auto"/>
              <w:ind w:firstLine="480" w:firstLineChars="20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highlight w:val="none"/>
                <w:lang w:val="en-US" w:eastAsia="zh-CN"/>
                <w14:textFill>
                  <w14:solidFill>
                    <w14:schemeClr w14:val="tx1"/>
                  </w14:solidFill>
                </w14:textFill>
              </w:rPr>
              <w:t>2024年，</w:t>
            </w:r>
            <w:r>
              <w:rPr>
                <w:rFonts w:hint="default" w:ascii="Times New Roman" w:hAnsi="Times New Roman" w:cs="Times New Roman"/>
                <w:color w:val="000000" w:themeColor="text1"/>
                <w:kern w:val="0"/>
                <w:highlight w:val="none"/>
                <w14:textFill>
                  <w14:solidFill>
                    <w14:schemeClr w14:val="tx1"/>
                  </w14:solidFill>
                </w14:textFill>
              </w:rPr>
              <w:t>项目所在区域环境空气质量基本污染物中</w:t>
            </w:r>
            <w:r>
              <w:rPr>
                <w:rFonts w:hint="default" w:ascii="Times New Roman" w:hAnsi="Times New Roman" w:cs="Times New Roman"/>
                <w:color w:val="000000" w:themeColor="text1"/>
                <w:highlight w:val="none"/>
                <w14:textFill>
                  <w14:solidFill>
                    <w14:schemeClr w14:val="tx1"/>
                  </w14:solidFill>
                </w14:textFill>
              </w:rPr>
              <w:t>SO</w:t>
            </w:r>
            <w:r>
              <w:rPr>
                <w:rFonts w:hint="default" w:ascii="Times New Roman" w:hAnsi="Times New Roman" w:cs="Times New Roman"/>
                <w:color w:val="000000" w:themeColor="text1"/>
                <w:highlight w:val="none"/>
                <w:vertAlign w:val="subscript"/>
                <w14:textFill>
                  <w14:solidFill>
                    <w14:schemeClr w14:val="tx1"/>
                  </w14:solidFill>
                </w14:textFill>
              </w:rPr>
              <w:t>2</w:t>
            </w:r>
            <w:r>
              <w:rPr>
                <w:rFonts w:hint="default" w:ascii="Times New Roman" w:hAnsi="Times New Roman" w:cs="Times New Roman"/>
                <w:color w:val="000000" w:themeColor="text1"/>
                <w:highlight w:val="none"/>
                <w14:textFill>
                  <w14:solidFill>
                    <w14:schemeClr w14:val="tx1"/>
                  </w14:solidFill>
                </w14:textFill>
              </w:rPr>
              <w:t>、NO</w:t>
            </w:r>
            <w:r>
              <w:rPr>
                <w:rFonts w:hint="default" w:ascii="Times New Roman" w:hAnsi="Times New Roman" w:cs="Times New Roman"/>
                <w:color w:val="000000" w:themeColor="text1"/>
                <w:highlight w:val="none"/>
                <w:vertAlign w:val="subscript"/>
                <w14:textFill>
                  <w14:solidFill>
                    <w14:schemeClr w14:val="tx1"/>
                  </w14:solidFill>
                </w14:textFill>
              </w:rPr>
              <w:t>2</w:t>
            </w:r>
            <w:r>
              <w:rPr>
                <w:rFonts w:hint="default" w:ascii="Times New Roman" w:hAnsi="Times New Roman" w:cs="Times New Roman"/>
                <w:color w:val="000000" w:themeColor="text1"/>
                <w:highlight w:val="none"/>
                <w14:textFill>
                  <w14:solidFill>
                    <w14:schemeClr w14:val="tx1"/>
                  </w14:solidFill>
                </w14:textFill>
              </w:rPr>
              <w:t>、PM</w:t>
            </w:r>
            <w:r>
              <w:rPr>
                <w:rFonts w:hint="default" w:ascii="Times New Roman" w:hAnsi="Times New Roman" w:cs="Times New Roman"/>
                <w:color w:val="000000" w:themeColor="text1"/>
                <w:highlight w:val="none"/>
                <w:vertAlign w:val="subscript"/>
                <w14:textFill>
                  <w14:solidFill>
                    <w14:schemeClr w14:val="tx1"/>
                  </w14:solidFill>
                </w14:textFill>
              </w:rPr>
              <w:t>10</w:t>
            </w:r>
            <w:r>
              <w:rPr>
                <w:rFonts w:hint="default" w:ascii="Times New Roman" w:hAnsi="Times New Roman" w:cs="Times New Roman"/>
                <w:color w:val="000000" w:themeColor="text1"/>
                <w:highlight w:val="none"/>
                <w14:textFill>
                  <w14:solidFill>
                    <w14:schemeClr w14:val="tx1"/>
                  </w14:solidFill>
                </w14:textFill>
              </w:rPr>
              <w:t>、PM</w:t>
            </w:r>
            <w:r>
              <w:rPr>
                <w:rFonts w:hint="default" w:ascii="Times New Roman" w:hAnsi="Times New Roman" w:cs="Times New Roman"/>
                <w:color w:val="000000" w:themeColor="text1"/>
                <w:highlight w:val="none"/>
                <w:vertAlign w:val="subscript"/>
                <w14:textFill>
                  <w14:solidFill>
                    <w14:schemeClr w14:val="tx1"/>
                  </w14:solidFill>
                </w14:textFill>
              </w:rPr>
              <w:t>2.5</w:t>
            </w:r>
            <w:r>
              <w:rPr>
                <w:rFonts w:hint="default" w:ascii="Times New Roman" w:hAnsi="Times New Roman" w:cs="Times New Roman"/>
                <w:color w:val="000000" w:themeColor="text1"/>
                <w:highlight w:val="none"/>
                <w14:textFill>
                  <w14:solidFill>
                    <w14:schemeClr w14:val="tx1"/>
                  </w14:solidFill>
                </w14:textFill>
              </w:rPr>
              <w:t>、CO 日均值95%位数、O</w:t>
            </w:r>
            <w:r>
              <w:rPr>
                <w:rFonts w:hint="default" w:ascii="Times New Roman" w:hAnsi="Times New Roman" w:cs="Times New Roman"/>
                <w:color w:val="000000" w:themeColor="text1"/>
                <w:highlight w:val="none"/>
                <w:vertAlign w:val="subscript"/>
                <w14:textFill>
                  <w14:solidFill>
                    <w14:schemeClr w14:val="tx1"/>
                  </w14:solidFill>
                </w14:textFill>
              </w:rPr>
              <w:t>3</w:t>
            </w:r>
            <w:r>
              <w:rPr>
                <w:rFonts w:hint="default" w:ascii="Times New Roman" w:hAnsi="Times New Roman" w:cs="Times New Roman"/>
                <w:color w:val="000000" w:themeColor="text1"/>
                <w:highlight w:val="none"/>
                <w14:textFill>
                  <w14:solidFill>
                    <w14:schemeClr w14:val="tx1"/>
                  </w14:solidFill>
                </w14:textFill>
              </w:rPr>
              <w:t>日最大8小时90%位数年均值均达标</w:t>
            </w:r>
            <w:r>
              <w:rPr>
                <w:rFonts w:hint="default" w:ascii="Times New Roman" w:hAnsi="Times New Roman" w:cs="Times New Roman"/>
                <w:color w:val="000000" w:themeColor="text1"/>
                <w:kern w:val="0"/>
                <w:highlight w:val="none"/>
                <w14:textFill>
                  <w14:solidFill>
                    <w14:schemeClr w14:val="tx1"/>
                  </w14:solidFill>
                </w14:textFill>
              </w:rPr>
              <w:t>，属于达标区。</w:t>
            </w:r>
            <w:r>
              <w:rPr>
                <w:rFonts w:hint="default" w:ascii="Times New Roman" w:hAnsi="Times New Roman" w:cs="Times New Roman"/>
                <w:color w:val="000000" w:themeColor="text1"/>
                <w:kern w:val="0"/>
                <w:highlight w:val="none"/>
                <w:lang w:val="en-US" w:eastAsia="zh-CN"/>
                <w14:textFill>
                  <w14:solidFill>
                    <w14:schemeClr w14:val="tx1"/>
                  </w14:solidFill>
                </w14:textFill>
              </w:rPr>
              <w:t>TSP现状监测结果表明，项目</w:t>
            </w:r>
            <w:r>
              <w:rPr>
                <w:rFonts w:hint="default" w:ascii="Times New Roman" w:hAnsi="Times New Roman" w:cs="Times New Roman"/>
                <w:color w:val="000000" w:themeColor="text1"/>
                <w:highlight w:val="none"/>
                <w14:textFill>
                  <w14:solidFill>
                    <w14:schemeClr w14:val="tx1"/>
                  </w14:solidFill>
                </w14:textFill>
              </w:rPr>
              <w:t>周边监测点</w:t>
            </w:r>
            <w:r>
              <w:rPr>
                <w:rFonts w:hint="default" w:ascii="Times New Roman" w:hAnsi="Times New Roman" w:cs="Times New Roman"/>
                <w:b w:val="0"/>
                <w:color w:val="000000" w:themeColor="text1"/>
                <w:sz w:val="24"/>
                <w:highlight w:val="none"/>
                <w:lang w:val="en-US" w:eastAsia="zh-CN"/>
                <w14:textFill>
                  <w14:solidFill>
                    <w14:schemeClr w14:val="tx1"/>
                  </w14:solidFill>
                </w14:textFill>
              </w:rPr>
              <w:t>TSP</w:t>
            </w:r>
            <w:r>
              <w:rPr>
                <w:rFonts w:hint="default" w:ascii="Times New Roman" w:hAnsi="Times New Roman" w:cs="Times New Roman"/>
                <w:b w:val="0"/>
                <w:color w:val="000000" w:themeColor="text1"/>
                <w:sz w:val="24"/>
                <w:highlight w:val="none"/>
                <w:lang w:val="zh-CN"/>
                <w14:textFill>
                  <w14:solidFill>
                    <w14:schemeClr w14:val="tx1"/>
                  </w14:solidFill>
                </w14:textFill>
              </w:rPr>
              <w:t>能够满足</w:t>
            </w:r>
            <w:r>
              <w:rPr>
                <w:rFonts w:hint="default" w:ascii="Times New Roman" w:hAnsi="Times New Roman" w:cs="Times New Roman"/>
                <w:b w:val="0"/>
                <w:color w:val="000000" w:themeColor="text1"/>
                <w:sz w:val="24"/>
                <w:highlight w:val="none"/>
                <w14:textFill>
                  <w14:solidFill>
                    <w14:schemeClr w14:val="tx1"/>
                  </w14:solidFill>
                </w14:textFill>
              </w:rPr>
              <w:t>《环境空气质量标准》（GB3095-20</w:t>
            </w:r>
            <w:r>
              <w:rPr>
                <w:rFonts w:hint="eastAsia" w:ascii="Times New Roman" w:cs="Times New Roman"/>
                <w:b w:val="0"/>
                <w:color w:val="000000" w:themeColor="text1"/>
                <w:sz w:val="24"/>
                <w:highlight w:val="none"/>
                <w:lang w:val="en-US" w:eastAsia="zh-CN"/>
                <w14:textFill>
                  <w14:solidFill>
                    <w14:schemeClr w14:val="tx1"/>
                  </w14:solidFill>
                </w14:textFill>
              </w:rPr>
              <w:t>26</w:t>
            </w:r>
            <w:r>
              <w:rPr>
                <w:rFonts w:hint="default" w:ascii="Times New Roman" w:hAnsi="Times New Roman" w:cs="Times New Roman"/>
                <w:b w:val="0"/>
                <w:color w:val="000000" w:themeColor="text1"/>
                <w:sz w:val="24"/>
                <w:highlight w:val="none"/>
                <w14:textFill>
                  <w14:solidFill>
                    <w14:schemeClr w14:val="tx1"/>
                  </w14:solidFill>
                </w14:textFill>
              </w:rPr>
              <w:t>）中</w:t>
            </w:r>
            <w:r>
              <w:rPr>
                <w:rFonts w:hint="eastAsia" w:ascii="Times New Roman" w:cs="Times New Roman"/>
                <w:b w:val="0"/>
                <w:color w:val="000000" w:themeColor="text1"/>
                <w:sz w:val="24"/>
                <w:highlight w:val="none"/>
                <w:lang w:val="en-US" w:eastAsia="zh-CN"/>
                <w14:textFill>
                  <w14:solidFill>
                    <w14:schemeClr w14:val="tx1"/>
                  </w14:solidFill>
                </w14:textFill>
              </w:rPr>
              <w:t>过渡阶段</w:t>
            </w:r>
            <w:r>
              <w:rPr>
                <w:rFonts w:hint="default" w:ascii="Times New Roman" w:hAnsi="Times New Roman" w:cs="Times New Roman"/>
                <w:b w:val="0"/>
                <w:color w:val="000000" w:themeColor="text1"/>
                <w:sz w:val="24"/>
                <w:highlight w:val="none"/>
                <w14:textFill>
                  <w14:solidFill>
                    <w14:schemeClr w14:val="tx1"/>
                  </w14:solidFill>
                </w14:textFill>
              </w:rPr>
              <w:t>二级标准</w:t>
            </w:r>
            <w:r>
              <w:rPr>
                <w:rFonts w:hint="default" w:ascii="Times New Roman" w:hAnsi="Times New Roman" w:cs="Times New Roman"/>
                <w:b w:val="0"/>
                <w:color w:val="000000" w:themeColor="text1"/>
                <w:sz w:val="24"/>
                <w:highlight w:val="none"/>
                <w:lang w:val="en-US" w:eastAsia="zh-CN"/>
                <w14:textFill>
                  <w14:solidFill>
                    <w14:schemeClr w14:val="tx1"/>
                  </w14:solidFill>
                </w14:textFill>
              </w:rPr>
              <w:t>限值要求</w:t>
            </w:r>
            <w:r>
              <w:rPr>
                <w:rFonts w:hint="default" w:ascii="Times New Roman" w:hAnsi="Times New Roman" w:eastAsia="宋体" w:cs="Times New Roman"/>
                <w:caps w:val="0"/>
                <w:smallCaps w:val="0"/>
                <w:color w:val="000000" w:themeColor="text1"/>
                <w:szCs w:val="21"/>
                <w:highlight w:val="none"/>
                <w:lang w:eastAsia="zh-CN"/>
                <w14:textFill>
                  <w14:solidFill>
                    <w14:schemeClr w14:val="tx1"/>
                  </w14:solidFill>
                </w14:textFill>
              </w:rPr>
              <w:t>。</w:t>
            </w:r>
          </w:p>
          <w:p w14:paraId="13D9D1EF">
            <w:pPr>
              <w:pStyle w:val="45"/>
              <w:spacing w:line="360" w:lineRule="auto"/>
              <w:ind w:firstLine="480" w:firstLineChars="200"/>
              <w:jc w:val="both"/>
              <w:rPr>
                <w:rFonts w:hint="eastAsia" w:ascii="Times New Roman" w:hAnsi="Times New Roman" w:eastAsia="宋体" w:cs="宋体"/>
                <w:color w:val="000000" w:themeColor="text1"/>
                <w:kern w:val="0"/>
                <w:highlight w:val="none"/>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项目搅浆废气、注浆、成型废气经收集采取1套“二级活性炭吸附”处理后通过1根30m高排气筒排放（DA001），打磨废气经处理后采取1套“布袋除尘”处理后与搅浆废气、注浆、成型废气共1根排气筒排放（DA001），颗粒物排放浓度满足</w:t>
            </w:r>
            <w:r>
              <w:rPr>
                <w:rFonts w:hint="default" w:ascii="Times New Roman" w:hAnsi="Times New Roman" w:eastAsia="宋体" w:cs="Times New Roman"/>
                <w:color w:val="000000" w:themeColor="text1"/>
                <w:szCs w:val="21"/>
                <w:lang w:bidi="ar"/>
                <w14:textFill>
                  <w14:solidFill>
                    <w14:schemeClr w14:val="tx1"/>
                  </w14:solidFill>
                </w14:textFill>
              </w:rPr>
              <w:t>《合成树脂工业污染物排放标准》（GB31572-2015</w:t>
            </w:r>
            <w:r>
              <w:rPr>
                <w:rFonts w:hint="default" w:ascii="Times New Roman" w:hAnsi="Times New Roman" w:eastAsia="宋体" w:cs="Times New Roman"/>
                <w:color w:val="000000" w:themeColor="text1"/>
                <w:szCs w:val="21"/>
                <w:lang w:eastAsia="zh-CN" w:bidi="ar"/>
                <w14:textFill>
                  <w14:solidFill>
                    <w14:schemeClr w14:val="tx1"/>
                  </w14:solidFill>
                </w14:textFill>
              </w:rPr>
              <w:t>，</w:t>
            </w:r>
            <w:r>
              <w:rPr>
                <w:rFonts w:hint="default" w:ascii="Times New Roman" w:hAnsi="Times New Roman" w:eastAsia="宋体" w:cs="Times New Roman"/>
                <w:color w:val="000000" w:themeColor="text1"/>
                <w:szCs w:val="21"/>
                <w:lang w:val="en-US" w:eastAsia="zh-CN" w:bidi="ar"/>
                <w14:textFill>
                  <w14:solidFill>
                    <w14:schemeClr w14:val="tx1"/>
                  </w14:solidFill>
                </w14:textFill>
              </w:rPr>
              <w:t>含2024年修改单</w:t>
            </w:r>
            <w:r>
              <w:rPr>
                <w:rFonts w:hint="default" w:ascii="Times New Roman" w:hAnsi="Times New Roman" w:eastAsia="宋体" w:cs="Times New Roman"/>
                <w:color w:val="000000" w:themeColor="text1"/>
                <w:szCs w:val="21"/>
                <w:lang w:bidi="ar"/>
                <w14:textFill>
                  <w14:solidFill>
                    <w14:schemeClr w14:val="tx1"/>
                  </w14:solidFill>
                </w14:textFill>
              </w:rPr>
              <w:t>）</w:t>
            </w:r>
            <w:r>
              <w:rPr>
                <w:rFonts w:hint="default" w:ascii="Times New Roman" w:hAnsi="Times New Roman" w:cs="Times New Roman"/>
                <w:bCs/>
                <w:color w:val="000000" w:themeColor="text1"/>
                <w14:textFill>
                  <w14:solidFill>
                    <w14:schemeClr w14:val="tx1"/>
                  </w14:solidFill>
                </w14:textFill>
              </w:rPr>
              <w:t>表</w:t>
            </w:r>
            <w:r>
              <w:rPr>
                <w:rFonts w:hint="default" w:ascii="Times New Roman" w:hAnsi="Times New Roman" w:cs="Times New Roman"/>
                <w:bCs/>
                <w:color w:val="000000" w:themeColor="text1"/>
                <w:lang w:val="en-US" w:eastAsia="zh-CN"/>
                <w14:textFill>
                  <w14:solidFill>
                    <w14:schemeClr w14:val="tx1"/>
                  </w14:solidFill>
                </w14:textFill>
              </w:rPr>
              <w:t>4</w:t>
            </w:r>
            <w:r>
              <w:rPr>
                <w:rFonts w:hint="default" w:ascii="Times New Roman" w:hAnsi="Times New Roman" w:cs="Times New Roman"/>
                <w:bCs/>
                <w:color w:val="000000" w:themeColor="text1"/>
                <w14:textFill>
                  <w14:solidFill>
                    <w14:schemeClr w14:val="tx1"/>
                  </w14:solidFill>
                </w14:textFill>
              </w:rPr>
              <w:t>标准</w:t>
            </w:r>
            <w:r>
              <w:rPr>
                <w:rFonts w:hint="default" w:ascii="Times New Roman" w:hAnsi="Times New Roman" w:cs="Times New Roman"/>
                <w:bCs/>
                <w:color w:val="000000" w:themeColor="text1"/>
                <w:lang w:eastAsia="zh-CN"/>
                <w14:textFill>
                  <w14:solidFill>
                    <w14:schemeClr w14:val="tx1"/>
                  </w14:solidFill>
                </w14:textFill>
              </w:rPr>
              <w:t>，</w:t>
            </w:r>
            <w:r>
              <w:rPr>
                <w:rFonts w:hint="default" w:ascii="Times New Roman" w:hAnsi="Times New Roman" w:cs="Times New Roman"/>
                <w:bCs/>
                <w:color w:val="000000" w:themeColor="text1"/>
                <w:lang w:val="en-US" w:eastAsia="zh-CN"/>
                <w14:textFill>
                  <w14:solidFill>
                    <w14:schemeClr w14:val="tx1"/>
                  </w14:solidFill>
                </w14:textFill>
              </w:rPr>
              <w:t>苯乙烯、TVOC排放浓度满足江西省地方标准</w:t>
            </w:r>
            <w:r>
              <w:rPr>
                <w:rFonts w:hint="default" w:ascii="Times New Roman" w:hAnsi="Times New Roman" w:cs="Times New Roman"/>
                <w:color w:val="000000" w:themeColor="text1"/>
                <w14:textFill>
                  <w14:solidFill>
                    <w14:schemeClr w14:val="tx1"/>
                  </w14:solidFill>
                </w14:textFill>
              </w:rPr>
              <w:t>《挥发性有机物排放标准第4部分：塑料制品业》（DB36/1101.4-2019）表1</w:t>
            </w:r>
            <w:r>
              <w:rPr>
                <w:rFonts w:hint="default" w:ascii="Times New Roman" w:hAnsi="Times New Roman" w:cs="Times New Roman"/>
                <w:color w:val="000000" w:themeColor="text1"/>
                <w:lang w:val="en-US" w:eastAsia="zh-CN"/>
                <w14:textFill>
                  <w14:solidFill>
                    <w14:schemeClr w14:val="tx1"/>
                  </w14:solidFill>
                </w14:textFill>
              </w:rPr>
              <w:t>标准；调漆、喷漆、流平、彩绘、晾干及</w:t>
            </w:r>
            <w:r>
              <w:rPr>
                <w:rFonts w:hint="eastAsia" w:ascii="Times New Roman" w:cs="Times New Roman"/>
                <w:color w:val="000000" w:themeColor="text1"/>
                <w:lang w:val="en-US" w:eastAsia="zh-CN"/>
                <w14:textFill>
                  <w14:solidFill>
                    <w14:schemeClr w14:val="tx1"/>
                  </w14:solidFill>
                </w14:textFill>
              </w:rPr>
              <w:t>喷枪清洗</w:t>
            </w:r>
            <w:r>
              <w:rPr>
                <w:rFonts w:hint="default" w:ascii="Times New Roman" w:hAnsi="Times New Roman" w:cs="Times New Roman"/>
                <w:color w:val="000000" w:themeColor="text1"/>
                <w:lang w:val="en-US" w:eastAsia="zh-CN"/>
                <w14:textFill>
                  <w14:solidFill>
                    <w14:schemeClr w14:val="tx1"/>
                  </w14:solidFill>
                </w14:textFill>
              </w:rPr>
              <w:t>等工序产生的废气经收集采取1套“过滤棉+二级活性炭吸附”处理后通过1根30m高排气筒排放（DA003），颗粒物排放浓度满足</w:t>
            </w:r>
            <w:r>
              <w:rPr>
                <w:rFonts w:hint="default" w:ascii="Times New Roman" w:hAnsi="Times New Roman" w:cs="Times New Roman"/>
                <w:bCs/>
                <w:color w:val="000000" w:themeColor="text1"/>
                <w14:textFill>
                  <w14:solidFill>
                    <w14:schemeClr w14:val="tx1"/>
                  </w14:solidFill>
                </w14:textFill>
              </w:rPr>
              <w:t>《大气污染物综合排放标准》（GB16297-1996）表2中二级排放标准</w:t>
            </w:r>
            <w:r>
              <w:rPr>
                <w:rFonts w:hint="default" w:ascii="Times New Roman" w:hAnsi="Times New Roman" w:cs="Times New Roman"/>
                <w:bCs/>
                <w:color w:val="000000" w:themeColor="text1"/>
                <w:lang w:eastAsia="zh-CN"/>
                <w14:textFill>
                  <w14:solidFill>
                    <w14:schemeClr w14:val="tx1"/>
                  </w14:solidFill>
                </w14:textFill>
              </w:rPr>
              <w:t>，</w:t>
            </w:r>
            <w:r>
              <w:rPr>
                <w:rFonts w:hint="default" w:ascii="Times New Roman" w:hAnsi="Times New Roman" w:cs="Times New Roman"/>
                <w:bCs/>
                <w:color w:val="000000" w:themeColor="text1"/>
                <w:lang w:val="en-US" w:eastAsia="zh-CN"/>
                <w14:textFill>
                  <w14:solidFill>
                    <w14:schemeClr w14:val="tx1"/>
                  </w14:solidFill>
                </w14:textFill>
              </w:rPr>
              <w:t>二甲苯、TVOC排放浓度满足江西省地方标准《挥发性有机物综合排放控制标准（试行）》（DB36/2186-2025）表1标准（二甲苯执行苯系物标准）</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eastAsia="宋体" w:cs="Times New Roman"/>
                <w:color w:val="000000" w:themeColor="text1"/>
                <w:kern w:val="0"/>
                <w:highlight w:val="none"/>
                <w:lang w:val="en-US" w:eastAsia="zh-CN"/>
                <w14:textFill>
                  <w14:solidFill>
                    <w14:schemeClr w14:val="tx1"/>
                  </w14:solidFill>
                </w14:textFill>
              </w:rPr>
              <w:t>本项目所采用的废气污染防治设施可行且项目所排放的废气污染物能达到相应排放标准的要求，故本项目废气排放对附近敏感点和周边大气环境影响不大。</w:t>
            </w:r>
          </w:p>
          <w:p w14:paraId="671BA4BF">
            <w:pPr>
              <w:pStyle w:val="45"/>
              <w:spacing w:line="360" w:lineRule="auto"/>
              <w:ind w:firstLine="480" w:firstLineChars="20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0"/>
                <w:highlight w:val="none"/>
                <w:lang w:val="en-US" w:eastAsia="zh-CN"/>
                <w14:textFill>
                  <w14:solidFill>
                    <w14:schemeClr w14:val="tx1"/>
                  </w14:solidFill>
                </w14:textFill>
              </w:rPr>
              <w:t>通过采取加强车间通风等措施，无组织排放</w:t>
            </w:r>
            <w:r>
              <w:rPr>
                <w:rFonts w:hint="default" w:ascii="Times New Roman" w:hAnsi="Times New Roman" w:cs="Times New Roman"/>
                <w:color w:val="000000" w:themeColor="text1"/>
                <w:lang w:val="en-US" w:eastAsia="zh-CN"/>
                <w14:textFill>
                  <w14:solidFill>
                    <w14:schemeClr w14:val="tx1"/>
                  </w14:solidFill>
                </w14:textFill>
              </w:rPr>
              <w:t>颗粒物浓度满足</w:t>
            </w:r>
            <w:r>
              <w:rPr>
                <w:rFonts w:hint="default" w:ascii="Times New Roman" w:hAnsi="Times New Roman" w:cs="Times New Roman"/>
                <w:bCs/>
                <w:color w:val="000000" w:themeColor="text1"/>
                <w14:textFill>
                  <w14:solidFill>
                    <w14:schemeClr w14:val="tx1"/>
                  </w14:solidFill>
                </w14:textFill>
              </w:rPr>
              <w:t>《大气污染物综合排放标准》（GB16297-1996）表2中</w:t>
            </w:r>
            <w:r>
              <w:rPr>
                <w:rFonts w:hint="default" w:ascii="Times New Roman" w:hAnsi="Times New Roman" w:eastAsia="宋体" w:cs="Times New Roman"/>
                <w:color w:val="000000" w:themeColor="text1"/>
                <w:highlight w:val="none"/>
                <w14:textFill>
                  <w14:solidFill>
                    <w14:schemeClr w14:val="tx1"/>
                  </w14:solidFill>
                </w14:textFill>
              </w:rPr>
              <w:t>无组织排放监控浓度限值</w:t>
            </w:r>
            <w:r>
              <w:rPr>
                <w:rFonts w:hint="default" w:ascii="Times New Roman" w:hAnsi="Times New Roman" w:eastAsia="宋体"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二甲苯浓度满足参照执行的江西省地方标准《</w:t>
            </w:r>
            <w:r>
              <w:rPr>
                <w:rFonts w:hint="default" w:ascii="Times New Roman" w:hAnsi="Times New Roman" w:cs="Times New Roman"/>
                <w:color w:val="000000" w:themeColor="text1"/>
                <w14:textFill>
                  <w14:solidFill>
                    <w14:schemeClr w14:val="tx1"/>
                  </w14:solidFill>
                </w14:textFill>
              </w:rPr>
              <w:t>挥发性有机物排放标准第4部分：塑料制品业</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DB36/1101.</w:t>
            </w:r>
            <w:r>
              <w:rPr>
                <w:rFonts w:hint="default"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-2019</w:t>
            </w:r>
            <w:r>
              <w:rPr>
                <w:rFonts w:hint="default" w:ascii="Times New Roman" w:hAnsi="Times New Roman" w:cs="Times New Roman"/>
                <w:color w:val="000000" w:themeColor="text1"/>
                <w:highlight w:val="none"/>
                <w:lang w:val="en-US" w:eastAsia="zh-CN"/>
                <w14:textFill>
                  <w14:solidFill>
                    <w14:schemeClr w14:val="tx1"/>
                  </w14:solidFill>
                </w14:textFill>
              </w:rPr>
              <w:t>）表2标准，</w:t>
            </w:r>
            <w:r>
              <w:rPr>
                <w:rFonts w:hint="default" w:ascii="Times New Roman" w:hAnsi="Times New Roman" w:eastAsia="宋体" w:cs="Times New Roman"/>
                <w:color w:val="000000" w:themeColor="text1"/>
                <w:highlight w:val="none"/>
                <w:lang w:val="en-US" w:eastAsia="zh-CN"/>
                <w14:textFill>
                  <w14:solidFill>
                    <w14:schemeClr w14:val="tx1"/>
                  </w14:solidFill>
                </w14:textFill>
              </w:rPr>
              <w:t>苯乙烯、TVOC浓度满足</w:t>
            </w:r>
            <w:r>
              <w:rPr>
                <w:rFonts w:hint="default" w:ascii="Times New Roman" w:hAnsi="Times New Roman" w:cs="Times New Roman"/>
                <w:bCs/>
                <w:color w:val="000000" w:themeColor="text1"/>
                <w:lang w:val="en-US" w:eastAsia="zh-CN"/>
                <w14:textFill>
                  <w14:solidFill>
                    <w14:schemeClr w14:val="tx1"/>
                  </w14:solidFill>
                </w14:textFill>
              </w:rPr>
              <w:t>江西省地方标准</w:t>
            </w:r>
            <w:r>
              <w:rPr>
                <w:rFonts w:hint="default" w:ascii="Times New Roman" w:hAnsi="Times New Roman" w:cs="Times New Roman"/>
                <w:color w:val="000000" w:themeColor="text1"/>
                <w14:textFill>
                  <w14:solidFill>
                    <w14:schemeClr w14:val="tx1"/>
                  </w14:solidFill>
                </w14:textFill>
              </w:rPr>
              <w:t>《挥发性有机物排放标准第4部分：塑料制品业》（DB36/1101.4-2019）表</w:t>
            </w:r>
            <w:r>
              <w:rPr>
                <w:rFonts w:hint="default" w:ascii="Times New Roman" w:hAnsi="Times New Roman" w:cs="Times New Roman"/>
                <w:color w:val="000000" w:themeColor="text1"/>
                <w:lang w:val="en-US" w:eastAsia="zh-CN"/>
                <w14:textFill>
                  <w14:solidFill>
                    <w14:schemeClr w14:val="tx1"/>
                  </w14:solidFill>
                </w14:textFill>
              </w:rPr>
              <w:t>2标准</w:t>
            </w: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b w:val="0"/>
                <w:bCs w:val="0"/>
                <w:color w:val="000000" w:themeColor="text1"/>
                <w:kern w:val="2"/>
                <w:sz w:val="24"/>
                <w:szCs w:val="24"/>
                <w:highlight w:val="none"/>
                <w:lang w:val="en-US" w:eastAsia="zh-CN"/>
                <w14:textFill>
                  <w14:solidFill>
                    <w14:schemeClr w14:val="tx1"/>
                  </w14:solidFill>
                </w14:textFill>
              </w:rPr>
              <w:t>项目卫生防护距离确定为标准厂房边界外延50m的包络线范围（详见</w:t>
            </w:r>
            <w:r>
              <w:rPr>
                <w:rFonts w:hint="eastAsia" w:ascii="Times New Roman" w:hAnsi="Times New Roman" w:cs="Times New Roman"/>
                <w:b w:val="0"/>
                <w:bCs w:val="0"/>
                <w:color w:val="000000" w:themeColor="text1"/>
                <w:kern w:val="2"/>
                <w:sz w:val="24"/>
                <w:szCs w:val="24"/>
                <w:highlight w:val="none"/>
                <w:lang w:val="en-US" w:eastAsia="zh-CN"/>
                <w14:textFill>
                  <w14:solidFill>
                    <w14:schemeClr w14:val="tx1"/>
                  </w14:solidFill>
                </w14:textFill>
              </w:rPr>
              <w:t>附图十</w:t>
            </w:r>
            <w:r>
              <w:rPr>
                <w:rFonts w:hint="default" w:ascii="Times New Roman" w:hAnsi="Times New Roman" w:cs="Times New Roman"/>
                <w:b w:val="0"/>
                <w:bCs w:val="0"/>
                <w:color w:val="000000" w:themeColor="text1"/>
                <w:kern w:val="2"/>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根据现场踏勘，距离项目厂界最近的敏感点为项目</w:t>
            </w:r>
            <w:r>
              <w:rPr>
                <w:rFonts w:hint="eastAsia" w:ascii="Times New Roman" w:cs="Times New Roman"/>
                <w:color w:val="000000" w:themeColor="text1"/>
                <w:sz w:val="24"/>
                <w:szCs w:val="24"/>
                <w:highlight w:val="none"/>
                <w:lang w:val="en-US" w:eastAsia="zh-CN"/>
                <w14:textFill>
                  <w14:solidFill>
                    <w14:schemeClr w14:val="tx1"/>
                  </w14:solidFill>
                </w14:textFill>
              </w:rPr>
              <w:t>东北面的牛背村</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居民点（与项目厂界相距约</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350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m），不在项目卫生防护距离范围内。因此，项目卫生防护距离范围内无居民区、学校、医院等环境敏感点（不涉及需要拆迁的敏感点），满足卫生防护距离要求。</w:t>
            </w:r>
          </w:p>
          <w:p w14:paraId="2D2C4ECF">
            <w:pPr>
              <w:ind w:left="0" w:leftChars="0" w:firstLine="0" w:firstLineChars="0"/>
              <w:rPr>
                <w:rFonts w:ascii="Times New Roman" w:cs="Times New Roman"/>
                <w:color w:val="000000" w:themeColor="text1"/>
                <w14:textFill>
                  <w14:solidFill>
                    <w14:schemeClr w14:val="tx1"/>
                  </w14:solidFill>
                </w14:textFill>
              </w:rPr>
            </w:pPr>
          </w:p>
        </w:tc>
      </w:tr>
    </w:tbl>
    <w:p w14:paraId="6CF6B943">
      <w:pPr>
        <w:ind w:firstLine="0" w:firstLineChars="0"/>
        <w:rPr>
          <w:color w:val="000000" w:themeColor="text1"/>
          <w14:textFill>
            <w14:solidFill>
              <w14:schemeClr w14:val="tx1"/>
            </w14:solidFill>
          </w14:textFill>
        </w:rPr>
        <w:sectPr>
          <w:pgSz w:w="11907" w:h="16840"/>
          <w:pgMar w:top="1797" w:right="1440" w:bottom="1797" w:left="1440" w:header="851" w:footer="1134" w:gutter="0"/>
          <w:pgBorders>
            <w:top w:val="none" w:sz="0" w:space="0"/>
            <w:left w:val="none" w:sz="0" w:space="0"/>
            <w:bottom w:val="none" w:sz="0" w:space="0"/>
            <w:right w:val="none" w:sz="0" w:space="0"/>
          </w:pgBorders>
          <w:cols w:space="0" w:num="1"/>
          <w:docGrid w:linePitch="312" w:charSpace="0"/>
        </w:sectPr>
      </w:pPr>
    </w:p>
    <w:tbl>
      <w:tblPr>
        <w:tblStyle w:val="36"/>
        <w:tblW w:w="13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652"/>
      </w:tblGrid>
      <w:tr w14:paraId="66EA8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2" w:hRule="atLeast"/>
          <w:jc w:val="center"/>
        </w:trPr>
        <w:tc>
          <w:tcPr>
            <w:tcW w:w="567" w:type="dxa"/>
            <w:tcBorders>
              <w:tl2br w:val="nil"/>
              <w:tr2bl w:val="nil"/>
            </w:tcBorders>
            <w:tcMar>
              <w:left w:w="28" w:type="dxa"/>
              <w:right w:w="28" w:type="dxa"/>
            </w:tcMar>
            <w:vAlign w:val="center"/>
          </w:tcPr>
          <w:p w14:paraId="4E9B47F6">
            <w:pPr>
              <w:ind w:firstLine="0" w:firstLineChars="0"/>
              <w:jc w:val="center"/>
              <w:rPr>
                <w:color w:val="000000" w:themeColor="text1"/>
                <w14:textFill>
                  <w14:solidFill>
                    <w14:schemeClr w14:val="tx1"/>
                  </w14:solidFill>
                </w14:textFill>
              </w:rPr>
            </w:pPr>
          </w:p>
        </w:tc>
        <w:tc>
          <w:tcPr>
            <w:tcW w:w="12652" w:type="dxa"/>
            <w:tcBorders>
              <w:tl2br w:val="nil"/>
              <w:tr2bl w:val="nil"/>
            </w:tcBorders>
            <w:vAlign w:val="center"/>
          </w:tcPr>
          <w:p w14:paraId="49893D66">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二、废水</w:t>
            </w:r>
          </w:p>
          <w:p w14:paraId="4C9B5169">
            <w:pPr>
              <w:ind w:firstLine="480"/>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1、废水源强</w:t>
            </w:r>
          </w:p>
          <w:p w14:paraId="2639A5F7">
            <w:pPr>
              <w:ind w:firstLine="48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项目无生产废水外排，</w:t>
            </w:r>
            <w:r>
              <w:rPr>
                <w:rFonts w:hint="eastAsia"/>
                <w:color w:val="000000" w:themeColor="text1"/>
                <w:lang w:val="en-US" w:eastAsia="zh-CN"/>
                <w14:textFill>
                  <w14:solidFill>
                    <w14:schemeClr w14:val="tx1"/>
                  </w14:solidFill>
                </w14:textFill>
              </w:rPr>
              <w:t>废水主要为生活污水。</w:t>
            </w:r>
            <w:r>
              <w:rPr>
                <w:rFonts w:hint="eastAsia"/>
                <w:color w:val="000000" w:themeColor="text1"/>
                <w14:textFill>
                  <w14:solidFill>
                    <w14:schemeClr w14:val="tx1"/>
                  </w14:solidFill>
                </w14:textFill>
              </w:rPr>
              <w:t>项目员工91人（均不</w:t>
            </w:r>
            <w:r>
              <w:rPr>
                <w:rFonts w:hint="eastAsia"/>
                <w:color w:val="000000" w:themeColor="text1"/>
                <w:lang w:val="en-US" w:eastAsia="zh-CN"/>
                <w14:textFill>
                  <w14:solidFill>
                    <w14:schemeClr w14:val="tx1"/>
                  </w14:solidFill>
                </w14:textFill>
              </w:rPr>
              <w:t>在厂内住宿</w:t>
            </w:r>
            <w:r>
              <w:rPr>
                <w:rFonts w:hint="eastAsia"/>
                <w:color w:val="000000" w:themeColor="text1"/>
                <w14:textFill>
                  <w14:solidFill>
                    <w14:schemeClr w14:val="tx1"/>
                  </w14:solidFill>
                </w14:textFill>
              </w:rPr>
              <w:t>），</w:t>
            </w:r>
            <w:r>
              <w:rPr>
                <w:rFonts w:hint="eastAsia" w:ascii="Times New Roman" w:hAnsi="Times New Roman" w:eastAsia="宋体" w:cs="宋体"/>
                <w:b w:val="0"/>
                <w:bCs w:val="0"/>
                <w:color w:val="000000" w:themeColor="text1"/>
                <w:kern w:val="0"/>
                <w:sz w:val="24"/>
                <w:szCs w:val="24"/>
                <w:highlight w:val="none"/>
                <w:lang w:val="zh-CN" w:eastAsia="zh-CN"/>
                <w14:textFill>
                  <w14:solidFill>
                    <w14:schemeClr w14:val="tx1"/>
                  </w14:solidFill>
                </w14:textFill>
              </w:rPr>
              <w:t>参照</w:t>
            </w:r>
            <w:r>
              <w:rPr>
                <w:rFonts w:hint="eastAsia"/>
                <w:color w:val="000000" w:themeColor="text1"/>
                <w:lang w:val="en-US" w:eastAsia="zh-CN"/>
                <w14:textFill>
                  <w14:solidFill>
                    <w14:schemeClr w14:val="tx1"/>
                  </w14:solidFill>
                </w14:textFill>
              </w:rPr>
              <w:t>《生活及服务业用水定额 第1部分：公共机构》(DB36/T1827.1-2023)表4</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中“</w:t>
            </w:r>
            <w:r>
              <w:rPr>
                <w:rFonts w:hint="eastAsia" w:cs="宋体"/>
                <w:b w:val="0"/>
                <w:bCs w:val="0"/>
                <w:color w:val="000000" w:themeColor="text1"/>
                <w:kern w:val="0"/>
                <w:sz w:val="24"/>
                <w:szCs w:val="24"/>
                <w:highlight w:val="none"/>
                <w:lang w:val="en-US" w:eastAsia="zh-CN"/>
                <w14:textFill>
                  <w14:solidFill>
                    <w14:schemeClr w14:val="tx1"/>
                  </w14:solidFill>
                </w14:textFill>
              </w:rPr>
              <w:t>党政机关</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用水定额</w:t>
            </w:r>
            <w:r>
              <w:rPr>
                <w:rFonts w:hint="eastAsia" w:cs="宋体"/>
                <w:b w:val="0"/>
                <w:bCs w:val="0"/>
                <w:color w:val="000000" w:themeColor="text1"/>
                <w:kern w:val="0"/>
                <w:sz w:val="24"/>
                <w:szCs w:val="24"/>
                <w:highlight w:val="none"/>
                <w:lang w:val="en-US" w:eastAsia="zh-CN"/>
                <w14:textFill>
                  <w14:solidFill>
                    <w14:schemeClr w14:val="tx1"/>
                  </w14:solidFill>
                </w14:textFill>
              </w:rPr>
              <w:t>（无食堂）</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1</w:t>
            </w:r>
            <w:r>
              <w:rPr>
                <w:rFonts w:hint="eastAsia" w:cs="宋体"/>
                <w:b w:val="0"/>
                <w:bCs w:val="0"/>
                <w:color w:val="000000" w:themeColor="text1"/>
                <w:kern w:val="0"/>
                <w:sz w:val="24"/>
                <w:szCs w:val="24"/>
                <w:highlight w:val="none"/>
                <w:lang w:val="en-US" w:eastAsia="zh-CN"/>
                <w14:textFill>
                  <w14:solidFill>
                    <w14:schemeClr w14:val="tx1"/>
                  </w14:solidFill>
                </w14:textFill>
              </w:rPr>
              <w:t>0</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0L/人</w:t>
            </w:r>
            <w:r>
              <w:rPr>
                <w:rFonts w:hint="eastAsia" w:ascii="Times New Roman" w:hAnsi="Times New Roman" w:eastAsia="宋体" w:cs="宋体"/>
                <w:color w:val="000000" w:themeColor="text1"/>
                <w:kern w:val="0"/>
                <w:sz w:val="24"/>
                <w:szCs w:val="24"/>
                <w:highlight w:val="none"/>
                <w:lang w:val="zh-CN" w:eastAsia="zh-CN" w:bidi="ar-SA"/>
                <w14:textFill>
                  <w14:solidFill>
                    <w14:schemeClr w14:val="tx1"/>
                  </w14:solidFill>
                </w14:textFill>
              </w:rPr>
              <w:t>·</w:t>
            </w:r>
            <w:r>
              <w:rPr>
                <w:rFonts w:hint="eastAsia" w:ascii="Times New Roman" w:hAnsi="Times New Roman" w:eastAsia="宋体" w:cs="宋体"/>
                <w:b w:val="0"/>
                <w:bCs w:val="0"/>
                <w:color w:val="000000" w:themeColor="text1"/>
                <w:kern w:val="0"/>
                <w:sz w:val="24"/>
                <w:szCs w:val="24"/>
                <w:highlight w:val="none"/>
                <w:lang w:val="en-US" w:eastAsia="zh-CN"/>
                <w14:textFill>
                  <w14:solidFill>
                    <w14:schemeClr w14:val="tx1"/>
                  </w14:solidFill>
                </w14:textFill>
              </w:rPr>
              <w:t>d”</w:t>
            </w:r>
            <w:r>
              <w:rPr>
                <w:rFonts w:hint="eastAsia" w:ascii="Times New Roman" w:hAnsi="Times New Roman" w:eastAsia="宋体" w:cs="宋体"/>
                <w:b w:val="0"/>
                <w:bCs w:val="0"/>
                <w:color w:val="000000" w:themeColor="text1"/>
                <w:kern w:val="0"/>
                <w:sz w:val="24"/>
                <w:szCs w:val="24"/>
                <w:highlight w:val="none"/>
                <w:lang w:val="zh-CN" w:eastAsia="zh-CN"/>
                <w14:textFill>
                  <w14:solidFill>
                    <w14:schemeClr w14:val="tx1"/>
                  </w14:solidFill>
                </w14:textFill>
              </w:rPr>
              <w:t>，</w:t>
            </w:r>
            <w:r>
              <w:rPr>
                <w:rFonts w:hint="eastAsia" w:cs="宋体"/>
                <w:b w:val="0"/>
                <w:bCs w:val="0"/>
                <w:color w:val="000000" w:themeColor="text1"/>
                <w:kern w:val="0"/>
                <w:sz w:val="24"/>
                <w:szCs w:val="24"/>
                <w:highlight w:val="none"/>
                <w:lang w:val="en-US" w:eastAsia="zh-CN"/>
                <w14:textFill>
                  <w14:solidFill>
                    <w14:schemeClr w14:val="tx1"/>
                  </w14:solidFill>
                </w14:textFill>
              </w:rPr>
              <w:t>本项目员工生活用水定额取</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0L/(人·d)，则生活用水量为</w:t>
            </w:r>
            <w:r>
              <w:rPr>
                <w:rFonts w:hint="eastAsia"/>
                <w:color w:val="000000" w:themeColor="text1"/>
                <w:lang w:val="en-US" w:eastAsia="zh-CN"/>
                <w14:textFill>
                  <w14:solidFill>
                    <w14:schemeClr w14:val="tx1"/>
                  </w14:solidFill>
                </w14:textFill>
              </w:rPr>
              <w:t>9.1</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w:t>
            </w:r>
            <w:r>
              <w:rPr>
                <w:rFonts w:hint="eastAsia"/>
                <w:color w:val="000000" w:themeColor="text1"/>
                <w:lang w:val="en-US" w:eastAsia="zh-CN"/>
                <w14:textFill>
                  <w14:solidFill>
                    <w14:schemeClr w14:val="tx1"/>
                  </w14:solidFill>
                </w14:textFill>
              </w:rPr>
              <w:t>2730</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/a）。生活污水</w:t>
            </w:r>
            <w:r>
              <w:rPr>
                <w:rFonts w:hint="eastAsia"/>
                <w:color w:val="000000" w:themeColor="text1"/>
                <w:lang w:val="en-US" w:eastAsia="zh-CN"/>
                <w14:textFill>
                  <w14:solidFill>
                    <w14:schemeClr w14:val="tx1"/>
                  </w14:solidFill>
                </w14:textFill>
              </w:rPr>
              <w:t>产生系数按</w:t>
            </w:r>
            <w:r>
              <w:rPr>
                <w:rFonts w:hint="eastAsia"/>
                <w:color w:val="000000" w:themeColor="text1"/>
                <w14:textFill>
                  <w14:solidFill>
                    <w14:schemeClr w14:val="tx1"/>
                  </w14:solidFill>
                </w14:textFill>
              </w:rPr>
              <w:t>80%计，则生活污水量为</w:t>
            </w:r>
            <w:r>
              <w:rPr>
                <w:rFonts w:hint="eastAsia"/>
                <w:color w:val="000000" w:themeColor="text1"/>
                <w:lang w:val="en-US" w:eastAsia="zh-CN"/>
                <w14:textFill>
                  <w14:solidFill>
                    <w14:schemeClr w14:val="tx1"/>
                  </w14:solidFill>
                </w14:textFill>
              </w:rPr>
              <w:t>7.28</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w:t>
            </w:r>
            <w:r>
              <w:rPr>
                <w:rFonts w:hint="eastAsia"/>
                <w:color w:val="000000" w:themeColor="text1"/>
                <w:lang w:val="en-US" w:eastAsia="zh-CN"/>
                <w14:textFill>
                  <w14:solidFill>
                    <w14:schemeClr w14:val="tx1"/>
                  </w14:solidFill>
                </w14:textFill>
              </w:rPr>
              <w:t>2184</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/a）</w:t>
            </w:r>
            <w:r>
              <w:rPr>
                <w:color w:val="000000" w:themeColor="text1"/>
                <w14:textFill>
                  <w14:solidFill>
                    <w14:schemeClr w14:val="tx1"/>
                  </w14:solidFill>
                </w14:textFill>
              </w:rPr>
              <w:t>。</w:t>
            </w:r>
            <w:r>
              <w:rPr>
                <w:color w:val="000000" w:themeColor="text1"/>
                <w:sz w:val="24"/>
                <w:szCs w:val="24"/>
                <w14:textFill>
                  <w14:solidFill>
                    <w14:schemeClr w14:val="tx1"/>
                  </w14:solidFill>
                </w14:textFill>
              </w:rPr>
              <w:t>参考《给排水设计手册》（第五册城镇排水）典型生活污水水质</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项目生活污水水质情况为：</w:t>
            </w:r>
            <w:r>
              <w:rPr>
                <w:color w:val="000000" w:themeColor="text1"/>
                <w:sz w:val="24"/>
                <w:szCs w:val="24"/>
                <w14:textFill>
                  <w14:solidFill>
                    <w14:schemeClr w14:val="tx1"/>
                  </w14:solidFill>
                </w14:textFill>
              </w:rPr>
              <w:t>COD</w:t>
            </w:r>
            <w:r>
              <w:rPr>
                <w:rFonts w:hint="eastAsia"/>
                <w:color w:val="000000" w:themeColor="text1"/>
                <w:sz w:val="24"/>
                <w:szCs w:val="24"/>
                <w:lang w:val="en-US" w:eastAsia="zh-CN"/>
                <w14:textFill>
                  <w14:solidFill>
                    <w14:schemeClr w14:val="tx1"/>
                  </w14:solidFill>
                </w14:textFill>
              </w:rPr>
              <w:t xml:space="preserve"> </w:t>
            </w:r>
            <w:r>
              <w:rPr>
                <w:color w:val="000000" w:themeColor="text1"/>
                <w:sz w:val="24"/>
                <w:szCs w:val="24"/>
                <w14:textFill>
                  <w14:solidFill>
                    <w14:schemeClr w14:val="tx1"/>
                  </w14:solidFill>
                </w14:textFill>
              </w:rPr>
              <w:t>250 mg/L、BOD</w:t>
            </w:r>
            <w:r>
              <w:rPr>
                <w:color w:val="000000" w:themeColor="text1"/>
                <w:sz w:val="24"/>
                <w:szCs w:val="24"/>
                <w:vertAlign w:val="subscript"/>
                <w14:textFill>
                  <w14:solidFill>
                    <w14:schemeClr w14:val="tx1"/>
                  </w14:solidFill>
                </w14:textFill>
              </w:rPr>
              <w:t>5</w:t>
            </w:r>
            <w:r>
              <w:rPr>
                <w:rFonts w:hint="eastAsia"/>
                <w:color w:val="000000" w:themeColor="text1"/>
                <w:sz w:val="24"/>
                <w:szCs w:val="24"/>
                <w:vertAlign w:val="subscript"/>
                <w:lang w:val="en-US" w:eastAsia="zh-CN"/>
                <w14:textFill>
                  <w14:solidFill>
                    <w14:schemeClr w14:val="tx1"/>
                  </w14:solidFill>
                </w14:textFill>
              </w:rPr>
              <w:t xml:space="preserve"> </w:t>
            </w:r>
            <w:r>
              <w:rPr>
                <w:color w:val="000000" w:themeColor="text1"/>
                <w:sz w:val="24"/>
                <w:szCs w:val="24"/>
                <w14:textFill>
                  <w14:solidFill>
                    <w14:schemeClr w14:val="tx1"/>
                  </w14:solidFill>
                </w14:textFill>
              </w:rPr>
              <w:t>150mg/L、SS</w:t>
            </w:r>
            <w:r>
              <w:rPr>
                <w:rFonts w:hint="eastAsia"/>
                <w:color w:val="000000" w:themeColor="text1"/>
                <w:sz w:val="24"/>
                <w:szCs w:val="24"/>
                <w:lang w:val="en-US" w:eastAsia="zh-CN"/>
                <w14:textFill>
                  <w14:solidFill>
                    <w14:schemeClr w14:val="tx1"/>
                  </w14:solidFill>
                </w14:textFill>
              </w:rPr>
              <w:t xml:space="preserve"> </w:t>
            </w:r>
            <w:r>
              <w:rPr>
                <w:color w:val="000000" w:themeColor="text1"/>
                <w:sz w:val="24"/>
                <w:szCs w:val="24"/>
                <w14:textFill>
                  <w14:solidFill>
                    <w14:schemeClr w14:val="tx1"/>
                  </w14:solidFill>
                </w14:textFill>
              </w:rPr>
              <w:t>200mg/L、氨氮25 mg/L、总磷</w:t>
            </w:r>
            <w:r>
              <w:rPr>
                <w:rFonts w:hint="eastAsia"/>
                <w:color w:val="000000" w:themeColor="text1"/>
                <w:sz w:val="24"/>
                <w:szCs w:val="24"/>
                <w:lang w:val="en-US" w:eastAsia="zh-CN"/>
                <w14:textFill>
                  <w14:solidFill>
                    <w14:schemeClr w14:val="tx1"/>
                  </w14:solidFill>
                </w14:textFill>
              </w:rPr>
              <w:t>4</w:t>
            </w:r>
            <w:r>
              <w:rPr>
                <w:color w:val="000000" w:themeColor="text1"/>
                <w:sz w:val="24"/>
                <w:szCs w:val="24"/>
                <w14:textFill>
                  <w14:solidFill>
                    <w14:schemeClr w14:val="tx1"/>
                  </w14:solidFill>
                </w14:textFill>
              </w:rPr>
              <w:t>mg/L、动植物油20mg/L</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生活污水经厂区化粪池预处理后通过</w:t>
            </w:r>
            <w:r>
              <w:rPr>
                <w:rFonts w:hint="eastAsia"/>
                <w:color w:val="000000" w:themeColor="text1"/>
                <w:lang w:val="en-US" w:eastAsia="zh-CN"/>
                <w14:textFill>
                  <w14:solidFill>
                    <w14:schemeClr w14:val="tx1"/>
                  </w14:solidFill>
                </w14:textFill>
              </w:rPr>
              <w:t>园区</w:t>
            </w:r>
            <w:r>
              <w:rPr>
                <w:rFonts w:hint="eastAsia"/>
                <w:color w:val="000000" w:themeColor="text1"/>
                <w14:textFill>
                  <w14:solidFill>
                    <w14:schemeClr w14:val="tx1"/>
                  </w14:solidFill>
                </w14:textFill>
              </w:rPr>
              <w:t>污水管网排入</w:t>
            </w:r>
            <w:r>
              <w:rPr>
                <w:rFonts w:hint="eastAsia"/>
                <w:bCs/>
                <w:color w:val="000000" w:themeColor="text1"/>
                <w:lang w:val="en-US" w:eastAsia="zh-CN"/>
                <w14:textFill>
                  <w14:solidFill>
                    <w14:schemeClr w14:val="tx1"/>
                  </w14:solidFill>
                </w14:textFill>
              </w:rPr>
              <w:t>高安市工业园污水处理厂（新世纪产业园污水处理厂）处理，尾水排入锦江</w:t>
            </w:r>
            <w:r>
              <w:rPr>
                <w:rFonts w:hint="eastAsia"/>
                <w:color w:val="000000" w:themeColor="text1"/>
                <w14:textFill>
                  <w14:solidFill>
                    <w14:schemeClr w14:val="tx1"/>
                  </w14:solidFill>
                </w14:textFill>
              </w:rPr>
              <w:t>。</w:t>
            </w:r>
          </w:p>
          <w:p w14:paraId="28775BBB">
            <w:pPr>
              <w:pStyle w:val="57"/>
              <w:numPr>
                <w:ilvl w:val="3"/>
                <w:numId w:val="19"/>
              </w:numPr>
              <w:rPr>
                <w:color w:val="000000" w:themeColor="text1"/>
                <w:lang w:eastAsia="zh-CN"/>
                <w14:textFill>
                  <w14:solidFill>
                    <w14:schemeClr w14:val="tx1"/>
                  </w14:solidFill>
                </w14:textFill>
              </w:rPr>
            </w:pPr>
            <w:r>
              <w:rPr>
                <w:color w:val="000000" w:themeColor="text1"/>
                <w:lang w:eastAsia="zh-CN"/>
                <w14:textFill>
                  <w14:solidFill>
                    <w14:schemeClr w14:val="tx1"/>
                  </w14:solidFill>
                </w14:textFill>
              </w:rPr>
              <w:t>项目废水污染</w:t>
            </w:r>
            <w:r>
              <w:rPr>
                <w:rFonts w:hint="eastAsia"/>
                <w:color w:val="000000" w:themeColor="text1"/>
                <w:lang w:val="en-US" w:eastAsia="zh-CN"/>
                <w14:textFill>
                  <w14:solidFill>
                    <w14:schemeClr w14:val="tx1"/>
                  </w14:solidFill>
                </w14:textFill>
              </w:rPr>
              <w:t>物排放情况表</w:t>
            </w:r>
          </w:p>
          <w:tbl>
            <w:tblPr>
              <w:tblStyle w:val="36"/>
              <w:tblW w:w="12396"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500"/>
              <w:gridCol w:w="769"/>
              <w:gridCol w:w="690"/>
              <w:gridCol w:w="639"/>
              <w:gridCol w:w="591"/>
              <w:gridCol w:w="670"/>
              <w:gridCol w:w="591"/>
              <w:gridCol w:w="654"/>
              <w:gridCol w:w="690"/>
              <w:gridCol w:w="726"/>
              <w:gridCol w:w="697"/>
              <w:gridCol w:w="696"/>
              <w:gridCol w:w="696"/>
              <w:gridCol w:w="696"/>
              <w:gridCol w:w="603"/>
              <w:gridCol w:w="482"/>
              <w:gridCol w:w="482"/>
              <w:gridCol w:w="810"/>
              <w:gridCol w:w="714"/>
            </w:tblGrid>
            <w:tr w14:paraId="1DC05A9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515" w:hRule="atLeast"/>
                <w:jc w:val="center"/>
              </w:trPr>
              <w:tc>
                <w:tcPr>
                  <w:tcW w:w="500" w:type="dxa"/>
                  <w:vMerge w:val="restart"/>
                  <w:tcBorders>
                    <w:tl2br w:val="nil"/>
                    <w:tr2bl w:val="nil"/>
                  </w:tcBorders>
                  <w:noWrap w:val="0"/>
                  <w:vAlign w:val="center"/>
                </w:tcPr>
                <w:p w14:paraId="67F91AB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类别</w:t>
                  </w:r>
                </w:p>
              </w:tc>
              <w:tc>
                <w:tcPr>
                  <w:tcW w:w="769" w:type="dxa"/>
                  <w:vMerge w:val="restart"/>
                  <w:tcBorders>
                    <w:tl2br w:val="nil"/>
                    <w:tr2bl w:val="nil"/>
                  </w:tcBorders>
                  <w:noWrap w:val="0"/>
                  <w:vAlign w:val="center"/>
                </w:tcPr>
                <w:p w14:paraId="1F2E662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污染物种类</w:t>
                  </w:r>
                </w:p>
              </w:tc>
              <w:tc>
                <w:tcPr>
                  <w:tcW w:w="1329" w:type="dxa"/>
                  <w:gridSpan w:val="2"/>
                  <w:tcBorders>
                    <w:tl2br w:val="nil"/>
                    <w:tr2bl w:val="nil"/>
                  </w:tcBorders>
                  <w:noWrap w:val="0"/>
                  <w:vAlign w:val="center"/>
                </w:tcPr>
                <w:p w14:paraId="34310A0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污染物产生</w:t>
                  </w:r>
                </w:p>
                <w:p w14:paraId="03F3B95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情况</w:t>
                  </w:r>
                </w:p>
              </w:tc>
              <w:tc>
                <w:tcPr>
                  <w:tcW w:w="2506" w:type="dxa"/>
                  <w:gridSpan w:val="4"/>
                  <w:tcBorders>
                    <w:tl2br w:val="nil"/>
                    <w:tr2bl w:val="nil"/>
                  </w:tcBorders>
                  <w:noWrap w:val="0"/>
                  <w:vAlign w:val="center"/>
                </w:tcPr>
                <w:p w14:paraId="664B09D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治理设施</w:t>
                  </w:r>
                </w:p>
              </w:tc>
              <w:tc>
                <w:tcPr>
                  <w:tcW w:w="2113" w:type="dxa"/>
                  <w:gridSpan w:val="3"/>
                  <w:tcBorders>
                    <w:tl2br w:val="nil"/>
                    <w:tr2bl w:val="nil"/>
                  </w:tcBorders>
                  <w:noWrap w:val="0"/>
                  <w:vAlign w:val="center"/>
                </w:tcPr>
                <w:p w14:paraId="1A90400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污染物排放情况</w:t>
                  </w:r>
                </w:p>
              </w:tc>
              <w:tc>
                <w:tcPr>
                  <w:tcW w:w="696" w:type="dxa"/>
                  <w:vMerge w:val="restart"/>
                  <w:tcBorders>
                    <w:tl2br w:val="nil"/>
                    <w:tr2bl w:val="nil"/>
                  </w:tcBorders>
                  <w:noWrap w:val="0"/>
                  <w:vAlign w:val="center"/>
                </w:tcPr>
                <w:p w14:paraId="0ACF68B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w:t>
                  </w:r>
                </w:p>
                <w:p w14:paraId="1EF7563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方式</w:t>
                  </w:r>
                </w:p>
              </w:tc>
              <w:tc>
                <w:tcPr>
                  <w:tcW w:w="696" w:type="dxa"/>
                  <w:vMerge w:val="restart"/>
                  <w:tcBorders>
                    <w:tl2br w:val="nil"/>
                    <w:tr2bl w:val="nil"/>
                  </w:tcBorders>
                  <w:noWrap w:val="0"/>
                  <w:vAlign w:val="center"/>
                </w:tcPr>
                <w:p w14:paraId="61AFC06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w:t>
                  </w:r>
                </w:p>
                <w:p w14:paraId="51C6195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去向</w:t>
                  </w:r>
                </w:p>
              </w:tc>
              <w:tc>
                <w:tcPr>
                  <w:tcW w:w="696" w:type="dxa"/>
                  <w:vMerge w:val="restart"/>
                  <w:tcBorders>
                    <w:tl2br w:val="nil"/>
                    <w:tr2bl w:val="nil"/>
                  </w:tcBorders>
                  <w:noWrap w:val="0"/>
                  <w:vAlign w:val="center"/>
                </w:tcPr>
                <w:p w14:paraId="215A0F0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w:t>
                  </w:r>
                </w:p>
                <w:p w14:paraId="0B43F3D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规律</w:t>
                  </w:r>
                </w:p>
              </w:tc>
              <w:tc>
                <w:tcPr>
                  <w:tcW w:w="2377" w:type="dxa"/>
                  <w:gridSpan w:val="4"/>
                  <w:tcBorders>
                    <w:tl2br w:val="nil"/>
                    <w:tr2bl w:val="nil"/>
                  </w:tcBorders>
                  <w:noWrap w:val="0"/>
                  <w:vAlign w:val="center"/>
                </w:tcPr>
                <w:p w14:paraId="6D12CD2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排放口基本情况</w:t>
                  </w:r>
                </w:p>
              </w:tc>
              <w:tc>
                <w:tcPr>
                  <w:tcW w:w="714" w:type="dxa"/>
                  <w:vMerge w:val="restart"/>
                  <w:tcBorders>
                    <w:tl2br w:val="nil"/>
                    <w:tr2bl w:val="nil"/>
                  </w:tcBorders>
                  <w:noWrap w:val="0"/>
                  <w:vAlign w:val="center"/>
                </w:tcPr>
                <w:p w14:paraId="04E1FF6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排放标准</w:t>
                  </w:r>
                </w:p>
              </w:tc>
            </w:tr>
            <w:tr w14:paraId="43D9B4E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934" w:hRule="atLeast"/>
                <w:jc w:val="center"/>
              </w:trPr>
              <w:tc>
                <w:tcPr>
                  <w:tcW w:w="500" w:type="dxa"/>
                  <w:vMerge w:val="continue"/>
                  <w:tcBorders>
                    <w:tl2br w:val="nil"/>
                    <w:tr2bl w:val="nil"/>
                  </w:tcBorders>
                  <w:noWrap w:val="0"/>
                  <w:vAlign w:val="center"/>
                </w:tcPr>
                <w:p w14:paraId="089CD426">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769" w:type="dxa"/>
                  <w:vMerge w:val="continue"/>
                  <w:tcBorders>
                    <w:tl2br w:val="nil"/>
                    <w:tr2bl w:val="nil"/>
                  </w:tcBorders>
                  <w:noWrap w:val="0"/>
                  <w:vAlign w:val="center"/>
                </w:tcPr>
                <w:p w14:paraId="794621D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690" w:type="dxa"/>
                  <w:tcBorders>
                    <w:tl2br w:val="nil"/>
                    <w:tr2bl w:val="nil"/>
                  </w:tcBorders>
                  <w:noWrap w:val="0"/>
                  <w:vAlign w:val="center"/>
                </w:tcPr>
                <w:p w14:paraId="5A9448C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产生浓度mg/L</w:t>
                  </w:r>
                </w:p>
              </w:tc>
              <w:tc>
                <w:tcPr>
                  <w:tcW w:w="639" w:type="dxa"/>
                  <w:tcBorders>
                    <w:tl2br w:val="nil"/>
                    <w:tr2bl w:val="nil"/>
                  </w:tcBorders>
                  <w:noWrap w:val="0"/>
                  <w:vAlign w:val="center"/>
                </w:tcPr>
                <w:p w14:paraId="0B9DB74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产生量t/a</w:t>
                  </w:r>
                </w:p>
              </w:tc>
              <w:tc>
                <w:tcPr>
                  <w:tcW w:w="591" w:type="dxa"/>
                  <w:tcBorders>
                    <w:tl2br w:val="nil"/>
                    <w:tr2bl w:val="nil"/>
                  </w:tcBorders>
                  <w:noWrap w:val="0"/>
                  <w:vAlign w:val="center"/>
                </w:tcPr>
                <w:p w14:paraId="7EDFB42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处理能力m</w:t>
                  </w:r>
                  <w:r>
                    <w:rPr>
                      <w:rFonts w:hint="default" w:ascii="Times New Roman" w:hAnsi="Times New Roman" w:eastAsia="宋体" w:cs="Times New Roman"/>
                      <w:b/>
                      <w:bCs/>
                      <w:i w:val="0"/>
                      <w:iCs w:val="0"/>
                      <w:color w:val="000000" w:themeColor="text1"/>
                      <w:kern w:val="0"/>
                      <w:sz w:val="18"/>
                      <w:szCs w:val="18"/>
                      <w:u w:val="none"/>
                      <w:vertAlign w:val="superscript"/>
                      <w:lang w:val="en-US" w:eastAsia="zh-CN" w:bidi="ar"/>
                      <w14:textFill>
                        <w14:solidFill>
                          <w14:schemeClr w14:val="tx1"/>
                        </w14:solidFill>
                      </w14:textFill>
                    </w:rPr>
                    <w:t>3</w:t>
                  </w: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/d</w:t>
                  </w:r>
                </w:p>
              </w:tc>
              <w:tc>
                <w:tcPr>
                  <w:tcW w:w="670" w:type="dxa"/>
                  <w:tcBorders>
                    <w:tl2br w:val="nil"/>
                    <w:tr2bl w:val="nil"/>
                  </w:tcBorders>
                  <w:noWrap w:val="0"/>
                  <w:vAlign w:val="center"/>
                </w:tcPr>
                <w:p w14:paraId="241E2B6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治理</w:t>
                  </w:r>
                </w:p>
                <w:p w14:paraId="702D647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工艺</w:t>
                  </w:r>
                </w:p>
              </w:tc>
              <w:tc>
                <w:tcPr>
                  <w:tcW w:w="591" w:type="dxa"/>
                  <w:tcBorders>
                    <w:tl2br w:val="nil"/>
                    <w:tr2bl w:val="nil"/>
                  </w:tcBorders>
                  <w:noWrap w:val="0"/>
                  <w:vAlign w:val="center"/>
                </w:tcPr>
                <w:p w14:paraId="66C033C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治理效率%</w:t>
                  </w:r>
                </w:p>
              </w:tc>
              <w:tc>
                <w:tcPr>
                  <w:tcW w:w="654" w:type="dxa"/>
                  <w:tcBorders>
                    <w:tl2br w:val="nil"/>
                    <w:tr2bl w:val="nil"/>
                  </w:tcBorders>
                  <w:noWrap w:val="0"/>
                  <w:vAlign w:val="center"/>
                </w:tcPr>
                <w:p w14:paraId="64B4BA4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是否为可行技术</w:t>
                  </w:r>
                </w:p>
              </w:tc>
              <w:tc>
                <w:tcPr>
                  <w:tcW w:w="690" w:type="dxa"/>
                  <w:tcBorders>
                    <w:tl2br w:val="nil"/>
                    <w:tr2bl w:val="nil"/>
                  </w:tcBorders>
                  <w:noWrap w:val="0"/>
                  <w:vAlign w:val="center"/>
                </w:tcPr>
                <w:p w14:paraId="7CAD70B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废水排放量m</w:t>
                  </w:r>
                  <w:r>
                    <w:rPr>
                      <w:rFonts w:hint="default" w:ascii="Times New Roman" w:hAnsi="Times New Roman" w:eastAsia="宋体" w:cs="Times New Roman"/>
                      <w:b/>
                      <w:bCs/>
                      <w:i w:val="0"/>
                      <w:iCs w:val="0"/>
                      <w:color w:val="000000" w:themeColor="text1"/>
                      <w:kern w:val="0"/>
                      <w:sz w:val="18"/>
                      <w:szCs w:val="18"/>
                      <w:u w:val="none"/>
                      <w:vertAlign w:val="superscript"/>
                      <w:lang w:val="en-US" w:eastAsia="zh-CN" w:bidi="ar"/>
                      <w14:textFill>
                        <w14:solidFill>
                          <w14:schemeClr w14:val="tx1"/>
                        </w14:solidFill>
                      </w14:textFill>
                    </w:rPr>
                    <w:t>3</w:t>
                  </w: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/a</w:t>
                  </w:r>
                </w:p>
              </w:tc>
              <w:tc>
                <w:tcPr>
                  <w:tcW w:w="726" w:type="dxa"/>
                  <w:tcBorders>
                    <w:tl2br w:val="nil"/>
                    <w:tr2bl w:val="nil"/>
                  </w:tcBorders>
                  <w:noWrap w:val="0"/>
                  <w:vAlign w:val="center"/>
                </w:tcPr>
                <w:p w14:paraId="03F3E8E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排放浓度mg/L</w:t>
                  </w:r>
                </w:p>
              </w:tc>
              <w:tc>
                <w:tcPr>
                  <w:tcW w:w="697" w:type="dxa"/>
                  <w:tcBorders>
                    <w:tl2br w:val="nil"/>
                    <w:tr2bl w:val="nil"/>
                  </w:tcBorders>
                  <w:noWrap w:val="0"/>
                  <w:vAlign w:val="center"/>
                </w:tcPr>
                <w:p w14:paraId="413D3BD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排放量t/a</w:t>
                  </w:r>
                </w:p>
              </w:tc>
              <w:tc>
                <w:tcPr>
                  <w:tcW w:w="696" w:type="dxa"/>
                  <w:vMerge w:val="continue"/>
                  <w:tcBorders>
                    <w:tl2br w:val="nil"/>
                    <w:tr2bl w:val="nil"/>
                  </w:tcBorders>
                  <w:noWrap w:val="0"/>
                  <w:vAlign w:val="center"/>
                </w:tcPr>
                <w:p w14:paraId="2807F94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2D5B108F">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47E92E7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c>
                <w:tcPr>
                  <w:tcW w:w="603" w:type="dxa"/>
                  <w:tcBorders>
                    <w:tl2br w:val="nil"/>
                    <w:tr2bl w:val="nil"/>
                  </w:tcBorders>
                  <w:noWrap w:val="0"/>
                  <w:vAlign w:val="center"/>
                </w:tcPr>
                <w:p w14:paraId="3CDAB6F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排放口编号</w:t>
                  </w:r>
                </w:p>
              </w:tc>
              <w:tc>
                <w:tcPr>
                  <w:tcW w:w="482" w:type="dxa"/>
                  <w:tcBorders>
                    <w:tl2br w:val="nil"/>
                    <w:tr2bl w:val="nil"/>
                  </w:tcBorders>
                  <w:noWrap w:val="0"/>
                  <w:vAlign w:val="center"/>
                </w:tcPr>
                <w:p w14:paraId="697DE4B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名称</w:t>
                  </w:r>
                </w:p>
              </w:tc>
              <w:tc>
                <w:tcPr>
                  <w:tcW w:w="482" w:type="dxa"/>
                  <w:tcBorders>
                    <w:tl2br w:val="nil"/>
                    <w:tr2bl w:val="nil"/>
                  </w:tcBorders>
                  <w:noWrap w:val="0"/>
                  <w:vAlign w:val="center"/>
                </w:tcPr>
                <w:p w14:paraId="47EA29D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类型</w:t>
                  </w:r>
                </w:p>
              </w:tc>
              <w:tc>
                <w:tcPr>
                  <w:tcW w:w="810" w:type="dxa"/>
                  <w:tcBorders>
                    <w:tl2br w:val="nil"/>
                    <w:tr2bl w:val="nil"/>
                  </w:tcBorders>
                  <w:noWrap w:val="0"/>
                  <w:vAlign w:val="center"/>
                </w:tcPr>
                <w:p w14:paraId="40EC548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地理</w:t>
                  </w:r>
                </w:p>
                <w:p w14:paraId="03659FC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b/>
                      <w:bCs/>
                      <w:i w:val="0"/>
                      <w:iCs w:val="0"/>
                      <w:color w:val="000000" w:themeColor="text1"/>
                      <w:kern w:val="0"/>
                      <w:sz w:val="18"/>
                      <w:szCs w:val="18"/>
                      <w:u w:val="none"/>
                      <w:lang w:val="en-US" w:eastAsia="zh-CN" w:bidi="ar"/>
                      <w14:textFill>
                        <w14:solidFill>
                          <w14:schemeClr w14:val="tx1"/>
                        </w14:solidFill>
                      </w14:textFill>
                    </w:rPr>
                    <w:t>坐标</w:t>
                  </w:r>
                </w:p>
              </w:tc>
              <w:tc>
                <w:tcPr>
                  <w:tcW w:w="714" w:type="dxa"/>
                  <w:vMerge w:val="continue"/>
                  <w:tcBorders>
                    <w:tl2br w:val="nil"/>
                    <w:tr2bl w:val="nil"/>
                  </w:tcBorders>
                  <w:noWrap w:val="0"/>
                  <w:vAlign w:val="center"/>
                </w:tcPr>
                <w:p w14:paraId="3078E19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b/>
                      <w:bCs/>
                      <w:i w:val="0"/>
                      <w:iCs w:val="0"/>
                      <w:color w:val="000000" w:themeColor="text1"/>
                      <w:sz w:val="18"/>
                      <w:szCs w:val="18"/>
                      <w:u w:val="none"/>
                      <w14:textFill>
                        <w14:solidFill>
                          <w14:schemeClr w14:val="tx1"/>
                        </w14:solidFill>
                      </w14:textFill>
                    </w:rPr>
                  </w:pPr>
                </w:p>
              </w:tc>
            </w:tr>
            <w:tr w14:paraId="5EEA898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7" w:hRule="atLeast"/>
                <w:jc w:val="center"/>
              </w:trPr>
              <w:tc>
                <w:tcPr>
                  <w:tcW w:w="500" w:type="dxa"/>
                  <w:vMerge w:val="restart"/>
                  <w:tcBorders>
                    <w:tl2br w:val="nil"/>
                    <w:tr2bl w:val="nil"/>
                  </w:tcBorders>
                  <w:noWrap w:val="0"/>
                  <w:vAlign w:val="center"/>
                </w:tcPr>
                <w:p w14:paraId="26E8250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生活污水</w:t>
                  </w:r>
                </w:p>
              </w:tc>
              <w:tc>
                <w:tcPr>
                  <w:tcW w:w="769" w:type="dxa"/>
                  <w:tcBorders>
                    <w:tl2br w:val="nil"/>
                    <w:tr2bl w:val="nil"/>
                  </w:tcBorders>
                  <w:noWrap w:val="0"/>
                  <w:vAlign w:val="center"/>
                </w:tcPr>
                <w:p w14:paraId="2570986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COD</w:t>
                  </w:r>
                </w:p>
              </w:tc>
              <w:tc>
                <w:tcPr>
                  <w:tcW w:w="690" w:type="dxa"/>
                  <w:tcBorders>
                    <w:tl2br w:val="nil"/>
                    <w:tr2bl w:val="nil"/>
                  </w:tcBorders>
                  <w:noWrap w:val="0"/>
                  <w:vAlign w:val="center"/>
                </w:tcPr>
                <w:p w14:paraId="2BF3770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250</w:t>
                  </w:r>
                </w:p>
              </w:tc>
              <w:tc>
                <w:tcPr>
                  <w:tcW w:w="639" w:type="dxa"/>
                  <w:tcBorders>
                    <w:tl2br w:val="nil"/>
                    <w:tr2bl w:val="nil"/>
                  </w:tcBorders>
                  <w:noWrap w:val="0"/>
                  <w:vAlign w:val="center"/>
                </w:tcPr>
                <w:p w14:paraId="236BDB3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0.546 </w:t>
                  </w:r>
                </w:p>
              </w:tc>
              <w:tc>
                <w:tcPr>
                  <w:tcW w:w="591" w:type="dxa"/>
                  <w:vMerge w:val="restart"/>
                  <w:tcBorders>
                    <w:tl2br w:val="nil"/>
                    <w:tr2bl w:val="nil"/>
                  </w:tcBorders>
                  <w:noWrap w:val="0"/>
                  <w:vAlign w:val="center"/>
                </w:tcPr>
                <w:p w14:paraId="543B745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lang w:val="en-US" w:eastAsia="zh-CN"/>
                      <w14:textFill>
                        <w14:solidFill>
                          <w14:schemeClr w14:val="tx1"/>
                        </w14:solidFill>
                      </w14:textFill>
                    </w:rPr>
                  </w:pPr>
                  <w:r>
                    <w:rPr>
                      <w:rFonts w:hint="eastAsia" w:ascii="Times New Roman" w:hAnsi="Times New Roman" w:eastAsia="宋体" w:cs="Times New Roman"/>
                      <w:i w:val="0"/>
                      <w:iCs w:val="0"/>
                      <w:color w:val="000000" w:themeColor="text1"/>
                      <w:sz w:val="18"/>
                      <w:szCs w:val="18"/>
                      <w:u w:val="none"/>
                      <w:lang w:val="en-US" w:eastAsia="zh-CN"/>
                      <w14:textFill>
                        <w14:solidFill>
                          <w14:schemeClr w14:val="tx1"/>
                        </w14:solidFill>
                      </w14:textFill>
                    </w:rPr>
                    <w:t>10</w:t>
                  </w:r>
                </w:p>
              </w:tc>
              <w:tc>
                <w:tcPr>
                  <w:tcW w:w="670" w:type="dxa"/>
                  <w:vMerge w:val="restart"/>
                  <w:tcBorders>
                    <w:tl2br w:val="nil"/>
                    <w:tr2bl w:val="nil"/>
                  </w:tcBorders>
                  <w:noWrap w:val="0"/>
                  <w:vAlign w:val="center"/>
                </w:tcPr>
                <w:p w14:paraId="3E58639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化粪池</w:t>
                  </w:r>
                </w:p>
              </w:tc>
              <w:tc>
                <w:tcPr>
                  <w:tcW w:w="591" w:type="dxa"/>
                  <w:tcBorders>
                    <w:tl2br w:val="nil"/>
                    <w:tr2bl w:val="nil"/>
                  </w:tcBorders>
                  <w:noWrap w:val="0"/>
                  <w:vAlign w:val="center"/>
                </w:tcPr>
                <w:p w14:paraId="3307B70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w:t>
                  </w:r>
                </w:p>
              </w:tc>
              <w:tc>
                <w:tcPr>
                  <w:tcW w:w="654" w:type="dxa"/>
                  <w:vMerge w:val="restart"/>
                  <w:tcBorders>
                    <w:tl2br w:val="nil"/>
                    <w:tr2bl w:val="nil"/>
                  </w:tcBorders>
                  <w:noWrap w:val="0"/>
                  <w:vAlign w:val="center"/>
                </w:tcPr>
                <w:p w14:paraId="75C9D5B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是</w:t>
                  </w:r>
                </w:p>
              </w:tc>
              <w:tc>
                <w:tcPr>
                  <w:tcW w:w="690" w:type="dxa"/>
                  <w:vMerge w:val="restart"/>
                  <w:tcBorders>
                    <w:tl2br w:val="nil"/>
                    <w:tr2bl w:val="nil"/>
                  </w:tcBorders>
                  <w:noWrap w:val="0"/>
                  <w:vAlign w:val="center"/>
                </w:tcPr>
                <w:p w14:paraId="26A2762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lang w:val="en-US" w:eastAsia="zh-CN"/>
                      <w14:textFill>
                        <w14:solidFill>
                          <w14:schemeClr w14:val="tx1"/>
                        </w14:solidFill>
                      </w14:textFill>
                    </w:rPr>
                  </w:pPr>
                  <w:r>
                    <w:rPr>
                      <w:rFonts w:hint="eastAsia" w:cs="Times New Roman"/>
                      <w:i w:val="0"/>
                      <w:iCs w:val="0"/>
                      <w:color w:val="000000" w:themeColor="text1"/>
                      <w:sz w:val="18"/>
                      <w:szCs w:val="18"/>
                      <w:u w:val="none"/>
                      <w:lang w:val="en-US" w:eastAsia="zh-CN"/>
                      <w14:textFill>
                        <w14:solidFill>
                          <w14:schemeClr w14:val="tx1"/>
                        </w14:solidFill>
                      </w14:textFill>
                    </w:rPr>
                    <w:t>2184</w:t>
                  </w:r>
                </w:p>
              </w:tc>
              <w:tc>
                <w:tcPr>
                  <w:tcW w:w="726" w:type="dxa"/>
                  <w:tcBorders>
                    <w:tl2br w:val="nil"/>
                    <w:tr2bl w:val="nil"/>
                  </w:tcBorders>
                  <w:noWrap w:val="0"/>
                  <w:vAlign w:val="center"/>
                </w:tcPr>
                <w:p w14:paraId="79B552D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200</w:t>
                  </w:r>
                </w:p>
              </w:tc>
              <w:tc>
                <w:tcPr>
                  <w:tcW w:w="697" w:type="dxa"/>
                  <w:tcBorders>
                    <w:tl2br w:val="nil"/>
                    <w:tr2bl w:val="nil"/>
                  </w:tcBorders>
                  <w:noWrap w:val="0"/>
                  <w:vAlign w:val="center"/>
                </w:tcPr>
                <w:p w14:paraId="5342414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0.437 </w:t>
                  </w:r>
                </w:p>
              </w:tc>
              <w:tc>
                <w:tcPr>
                  <w:tcW w:w="696" w:type="dxa"/>
                  <w:vMerge w:val="restart"/>
                  <w:tcBorders>
                    <w:tl2br w:val="nil"/>
                    <w:tr2bl w:val="nil"/>
                  </w:tcBorders>
                  <w:noWrap w:val="0"/>
                  <w:vAlign w:val="center"/>
                </w:tcPr>
                <w:p w14:paraId="4D5A1C8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间接</w:t>
                  </w:r>
                </w:p>
                <w:p w14:paraId="475C913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排放</w:t>
                  </w:r>
                </w:p>
              </w:tc>
              <w:tc>
                <w:tcPr>
                  <w:tcW w:w="696" w:type="dxa"/>
                  <w:vMerge w:val="restart"/>
                  <w:tcBorders>
                    <w:tl2br w:val="nil"/>
                    <w:tr2bl w:val="nil"/>
                  </w:tcBorders>
                  <w:noWrap w:val="0"/>
                  <w:vAlign w:val="center"/>
                </w:tcPr>
                <w:p w14:paraId="62810C1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高安市工业园污水处理厂</w:t>
                  </w:r>
                </w:p>
              </w:tc>
              <w:tc>
                <w:tcPr>
                  <w:tcW w:w="696" w:type="dxa"/>
                  <w:vMerge w:val="restart"/>
                  <w:tcBorders>
                    <w:tl2br w:val="nil"/>
                    <w:tr2bl w:val="nil"/>
                  </w:tcBorders>
                  <w:noWrap w:val="0"/>
                  <w:vAlign w:val="center"/>
                </w:tcPr>
                <w:p w14:paraId="1AE1DAA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间断</w:t>
                  </w:r>
                </w:p>
                <w:p w14:paraId="223BDE4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排放</w:t>
                  </w:r>
                </w:p>
              </w:tc>
              <w:tc>
                <w:tcPr>
                  <w:tcW w:w="603" w:type="dxa"/>
                  <w:vMerge w:val="restart"/>
                  <w:tcBorders>
                    <w:tl2br w:val="nil"/>
                    <w:tr2bl w:val="nil"/>
                  </w:tcBorders>
                  <w:noWrap w:val="0"/>
                  <w:vAlign w:val="center"/>
                </w:tcPr>
                <w:p w14:paraId="6578768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DW001</w:t>
                  </w:r>
                </w:p>
              </w:tc>
              <w:tc>
                <w:tcPr>
                  <w:tcW w:w="482" w:type="dxa"/>
                  <w:vMerge w:val="restart"/>
                  <w:tcBorders>
                    <w:tl2br w:val="nil"/>
                    <w:tr2bl w:val="nil"/>
                  </w:tcBorders>
                  <w:noWrap w:val="0"/>
                  <w:vAlign w:val="center"/>
                </w:tcPr>
                <w:p w14:paraId="155FD09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总排放口</w:t>
                  </w:r>
                </w:p>
              </w:tc>
              <w:tc>
                <w:tcPr>
                  <w:tcW w:w="482" w:type="dxa"/>
                  <w:vMerge w:val="restart"/>
                  <w:tcBorders>
                    <w:tl2br w:val="nil"/>
                    <w:tr2bl w:val="nil"/>
                  </w:tcBorders>
                  <w:noWrap w:val="0"/>
                  <w:vAlign w:val="center"/>
                </w:tcPr>
                <w:p w14:paraId="6AFBD5A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一般排放口</w:t>
                  </w:r>
                </w:p>
              </w:tc>
              <w:tc>
                <w:tcPr>
                  <w:tcW w:w="810" w:type="dxa"/>
                  <w:vMerge w:val="restart"/>
                  <w:tcBorders>
                    <w:tl2br w:val="nil"/>
                    <w:tr2bl w:val="nil"/>
                  </w:tcBorders>
                  <w:noWrap w:val="0"/>
                  <w:vAlign w:val="center"/>
                </w:tcPr>
                <w:p w14:paraId="0E1E65B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E1</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r>
                    <w:rPr>
                      <w:rFonts w:hint="eastAsia" w:cs="Times New Roman"/>
                      <w:i w:val="0"/>
                      <w:iCs w:val="0"/>
                      <w:color w:val="000000" w:themeColor="text1"/>
                      <w:kern w:val="0"/>
                      <w:sz w:val="18"/>
                      <w:szCs w:val="18"/>
                      <w:u w:val="none"/>
                      <w:lang w:val="en-US" w:eastAsia="zh-CN" w:bidi="ar"/>
                      <w14:textFill>
                        <w14:solidFill>
                          <w14:schemeClr w14:val="tx1"/>
                        </w14:solidFill>
                      </w14:textFill>
                    </w:rPr>
                    <w:t>5</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r>
                    <w:rPr>
                      <w:rFonts w:hint="eastAsia" w:cs="Times New Roman"/>
                      <w:i w:val="0"/>
                      <w:iCs w:val="0"/>
                      <w:color w:val="000000" w:themeColor="text1"/>
                      <w:kern w:val="0"/>
                      <w:sz w:val="18"/>
                      <w:szCs w:val="18"/>
                      <w:u w:val="none"/>
                      <w:lang w:val="en-US" w:eastAsia="zh-CN" w:bidi="ar"/>
                      <w14:textFill>
                        <w14:solidFill>
                          <w14:schemeClr w14:val="tx1"/>
                        </w14:solidFill>
                      </w14:textFill>
                    </w:rPr>
                    <w:t>27</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r>
                    <w:rPr>
                      <w:rFonts w:hint="eastAsia" w:cs="Times New Roman"/>
                      <w:i w:val="0"/>
                      <w:iCs w:val="0"/>
                      <w:color w:val="000000" w:themeColor="text1"/>
                      <w:kern w:val="0"/>
                      <w:sz w:val="18"/>
                      <w:szCs w:val="18"/>
                      <w:u w:val="none"/>
                      <w:lang w:val="en-US" w:eastAsia="zh-CN" w:bidi="ar"/>
                      <w14:textFill>
                        <w14:solidFill>
                          <w14:schemeClr w14:val="tx1"/>
                        </w14:solidFill>
                      </w14:textFill>
                    </w:rPr>
                    <w:t>18.575</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，N2</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8°2</w:t>
                  </w:r>
                  <w:r>
                    <w:rPr>
                      <w:rFonts w:hint="eastAsia" w:cs="Times New Roman"/>
                      <w:i w:val="0"/>
                      <w:iCs w:val="0"/>
                      <w:color w:val="000000" w:themeColor="text1"/>
                      <w:kern w:val="0"/>
                      <w:sz w:val="18"/>
                      <w:szCs w:val="18"/>
                      <w:u w:val="none"/>
                      <w:lang w:val="en-US" w:eastAsia="zh-CN" w:bidi="ar"/>
                      <w14:textFill>
                        <w14:solidFill>
                          <w14:schemeClr w14:val="tx1"/>
                        </w14:solidFill>
                      </w14:textFill>
                    </w:rPr>
                    <w:t>7</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r>
                    <w:rPr>
                      <w:rFonts w:hint="eastAsia" w:cs="Times New Roman"/>
                      <w:i w:val="0"/>
                      <w:iCs w:val="0"/>
                      <w:color w:val="000000" w:themeColor="text1"/>
                      <w:kern w:val="0"/>
                      <w:sz w:val="18"/>
                      <w:szCs w:val="18"/>
                      <w:u w:val="none"/>
                      <w:lang w:val="en-US" w:eastAsia="zh-CN" w:bidi="ar"/>
                      <w14:textFill>
                        <w14:solidFill>
                          <w14:schemeClr w14:val="tx1"/>
                        </w14:solidFill>
                      </w14:textFill>
                    </w:rPr>
                    <w:t>59.145</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w:t>
                  </w:r>
                </w:p>
              </w:tc>
              <w:tc>
                <w:tcPr>
                  <w:tcW w:w="714" w:type="dxa"/>
                  <w:tcBorders>
                    <w:tl2br w:val="nil"/>
                    <w:tr2bl w:val="nil"/>
                  </w:tcBorders>
                  <w:noWrap w:val="0"/>
                  <w:vAlign w:val="center"/>
                </w:tcPr>
                <w:p w14:paraId="04F81D8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500</w:t>
                  </w:r>
                </w:p>
              </w:tc>
            </w:tr>
            <w:tr w14:paraId="051D722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7" w:hRule="atLeast"/>
                <w:jc w:val="center"/>
              </w:trPr>
              <w:tc>
                <w:tcPr>
                  <w:tcW w:w="500" w:type="dxa"/>
                  <w:vMerge w:val="continue"/>
                  <w:tcBorders>
                    <w:tl2br w:val="nil"/>
                    <w:tr2bl w:val="nil"/>
                  </w:tcBorders>
                  <w:noWrap w:val="0"/>
                  <w:vAlign w:val="center"/>
                </w:tcPr>
                <w:p w14:paraId="7C736552">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69" w:type="dxa"/>
                  <w:tcBorders>
                    <w:tl2br w:val="nil"/>
                    <w:tr2bl w:val="nil"/>
                  </w:tcBorders>
                  <w:noWrap w:val="0"/>
                  <w:vAlign w:val="center"/>
                </w:tcPr>
                <w:p w14:paraId="4017714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BOD</w:t>
                  </w:r>
                  <w:r>
                    <w:rPr>
                      <w:rFonts w:hint="default" w:ascii="Times New Roman" w:hAnsi="Times New Roman" w:eastAsia="宋体" w:cs="Times New Roman"/>
                      <w:i w:val="0"/>
                      <w:iCs w:val="0"/>
                      <w:color w:val="000000" w:themeColor="text1"/>
                      <w:kern w:val="0"/>
                      <w:sz w:val="18"/>
                      <w:szCs w:val="18"/>
                      <w:u w:val="none"/>
                      <w:vertAlign w:val="subscript"/>
                      <w:lang w:val="en-US" w:eastAsia="zh-CN" w:bidi="ar"/>
                      <w14:textFill>
                        <w14:solidFill>
                          <w14:schemeClr w14:val="tx1"/>
                        </w14:solidFill>
                      </w14:textFill>
                    </w:rPr>
                    <w:t>5</w:t>
                  </w:r>
                </w:p>
              </w:tc>
              <w:tc>
                <w:tcPr>
                  <w:tcW w:w="690" w:type="dxa"/>
                  <w:tcBorders>
                    <w:tl2br w:val="nil"/>
                    <w:tr2bl w:val="nil"/>
                  </w:tcBorders>
                  <w:noWrap w:val="0"/>
                  <w:vAlign w:val="center"/>
                </w:tcPr>
                <w:p w14:paraId="2955694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lang w:val="en-US"/>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50</w:t>
                  </w:r>
                </w:p>
              </w:tc>
              <w:tc>
                <w:tcPr>
                  <w:tcW w:w="639" w:type="dxa"/>
                  <w:tcBorders>
                    <w:tl2br w:val="nil"/>
                    <w:tr2bl w:val="nil"/>
                  </w:tcBorders>
                  <w:noWrap w:val="0"/>
                  <w:vAlign w:val="center"/>
                </w:tcPr>
                <w:p w14:paraId="2C47F90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0.328 </w:t>
                  </w:r>
                </w:p>
              </w:tc>
              <w:tc>
                <w:tcPr>
                  <w:tcW w:w="591" w:type="dxa"/>
                  <w:vMerge w:val="continue"/>
                  <w:tcBorders>
                    <w:tl2br w:val="nil"/>
                    <w:tr2bl w:val="nil"/>
                  </w:tcBorders>
                  <w:noWrap w:val="0"/>
                  <w:vAlign w:val="center"/>
                </w:tcPr>
                <w:p w14:paraId="4C075147">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70" w:type="dxa"/>
                  <w:vMerge w:val="continue"/>
                  <w:tcBorders>
                    <w:tl2br w:val="nil"/>
                    <w:tr2bl w:val="nil"/>
                  </w:tcBorders>
                  <w:noWrap w:val="0"/>
                  <w:vAlign w:val="center"/>
                </w:tcPr>
                <w:p w14:paraId="4FC3630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91" w:type="dxa"/>
                  <w:tcBorders>
                    <w:tl2br w:val="nil"/>
                    <w:tr2bl w:val="nil"/>
                  </w:tcBorders>
                  <w:noWrap w:val="0"/>
                  <w:vAlign w:val="center"/>
                </w:tcPr>
                <w:p w14:paraId="28FBD08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w:t>
                  </w:r>
                </w:p>
              </w:tc>
              <w:tc>
                <w:tcPr>
                  <w:tcW w:w="654" w:type="dxa"/>
                  <w:vMerge w:val="continue"/>
                  <w:tcBorders>
                    <w:tl2br w:val="nil"/>
                    <w:tr2bl w:val="nil"/>
                  </w:tcBorders>
                  <w:noWrap w:val="0"/>
                  <w:vAlign w:val="center"/>
                </w:tcPr>
                <w:p w14:paraId="4F7EE8A4">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0" w:type="dxa"/>
                  <w:vMerge w:val="continue"/>
                  <w:tcBorders>
                    <w:tl2br w:val="nil"/>
                    <w:tr2bl w:val="nil"/>
                  </w:tcBorders>
                  <w:noWrap w:val="0"/>
                  <w:vAlign w:val="center"/>
                </w:tcPr>
                <w:p w14:paraId="375AC38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26" w:type="dxa"/>
                  <w:tcBorders>
                    <w:tl2br w:val="nil"/>
                    <w:tr2bl w:val="nil"/>
                  </w:tcBorders>
                  <w:noWrap w:val="0"/>
                  <w:vAlign w:val="center"/>
                </w:tcPr>
                <w:p w14:paraId="00AB1E2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80</w:t>
                  </w:r>
                </w:p>
              </w:tc>
              <w:tc>
                <w:tcPr>
                  <w:tcW w:w="697" w:type="dxa"/>
                  <w:tcBorders>
                    <w:tl2br w:val="nil"/>
                    <w:tr2bl w:val="nil"/>
                  </w:tcBorders>
                  <w:noWrap w:val="0"/>
                  <w:vAlign w:val="center"/>
                </w:tcPr>
                <w:p w14:paraId="24AB363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0.175 </w:t>
                  </w:r>
                </w:p>
              </w:tc>
              <w:tc>
                <w:tcPr>
                  <w:tcW w:w="696" w:type="dxa"/>
                  <w:vMerge w:val="continue"/>
                  <w:tcBorders>
                    <w:tl2br w:val="nil"/>
                    <w:tr2bl w:val="nil"/>
                  </w:tcBorders>
                  <w:noWrap w:val="0"/>
                  <w:vAlign w:val="center"/>
                </w:tcPr>
                <w:p w14:paraId="000D0B42">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4AA93B8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06EB1D4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03" w:type="dxa"/>
                  <w:vMerge w:val="continue"/>
                  <w:tcBorders>
                    <w:tl2br w:val="nil"/>
                    <w:tr2bl w:val="nil"/>
                  </w:tcBorders>
                  <w:noWrap w:val="0"/>
                  <w:vAlign w:val="center"/>
                </w:tcPr>
                <w:p w14:paraId="434C89B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6074D1C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275011B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10" w:type="dxa"/>
                  <w:vMerge w:val="continue"/>
                  <w:tcBorders>
                    <w:tl2br w:val="nil"/>
                    <w:tr2bl w:val="nil"/>
                  </w:tcBorders>
                  <w:noWrap w:val="0"/>
                  <w:vAlign w:val="center"/>
                </w:tcPr>
                <w:p w14:paraId="5712485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14" w:type="dxa"/>
                  <w:tcBorders>
                    <w:tl2br w:val="nil"/>
                    <w:tr2bl w:val="nil"/>
                  </w:tcBorders>
                  <w:noWrap w:val="0"/>
                  <w:vAlign w:val="center"/>
                </w:tcPr>
                <w:p w14:paraId="332411B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300</w:t>
                  </w:r>
                </w:p>
              </w:tc>
            </w:tr>
            <w:tr w14:paraId="185E2F6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7" w:hRule="atLeast"/>
                <w:jc w:val="center"/>
              </w:trPr>
              <w:tc>
                <w:tcPr>
                  <w:tcW w:w="500" w:type="dxa"/>
                  <w:vMerge w:val="continue"/>
                  <w:tcBorders>
                    <w:tl2br w:val="nil"/>
                    <w:tr2bl w:val="nil"/>
                  </w:tcBorders>
                  <w:noWrap w:val="0"/>
                  <w:vAlign w:val="center"/>
                </w:tcPr>
                <w:p w14:paraId="1090EDFD">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69" w:type="dxa"/>
                  <w:tcBorders>
                    <w:tl2br w:val="nil"/>
                    <w:tr2bl w:val="nil"/>
                  </w:tcBorders>
                  <w:noWrap w:val="0"/>
                  <w:vAlign w:val="center"/>
                </w:tcPr>
                <w:p w14:paraId="5D44D9E8">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SS</w:t>
                  </w:r>
                </w:p>
              </w:tc>
              <w:tc>
                <w:tcPr>
                  <w:tcW w:w="690" w:type="dxa"/>
                  <w:tcBorders>
                    <w:tl2br w:val="nil"/>
                    <w:tr2bl w:val="nil"/>
                  </w:tcBorders>
                  <w:noWrap w:val="0"/>
                  <w:vAlign w:val="center"/>
                </w:tcPr>
                <w:p w14:paraId="0555890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00</w:t>
                  </w:r>
                </w:p>
              </w:tc>
              <w:tc>
                <w:tcPr>
                  <w:tcW w:w="639" w:type="dxa"/>
                  <w:tcBorders>
                    <w:tl2br w:val="nil"/>
                    <w:tr2bl w:val="nil"/>
                  </w:tcBorders>
                  <w:noWrap w:val="0"/>
                  <w:vAlign w:val="center"/>
                </w:tcPr>
                <w:p w14:paraId="4505D15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0.437 </w:t>
                  </w:r>
                </w:p>
              </w:tc>
              <w:tc>
                <w:tcPr>
                  <w:tcW w:w="591" w:type="dxa"/>
                  <w:vMerge w:val="continue"/>
                  <w:tcBorders>
                    <w:tl2br w:val="nil"/>
                    <w:tr2bl w:val="nil"/>
                  </w:tcBorders>
                  <w:noWrap w:val="0"/>
                  <w:vAlign w:val="center"/>
                </w:tcPr>
                <w:p w14:paraId="0945B6D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70" w:type="dxa"/>
                  <w:vMerge w:val="continue"/>
                  <w:tcBorders>
                    <w:tl2br w:val="nil"/>
                    <w:tr2bl w:val="nil"/>
                  </w:tcBorders>
                  <w:noWrap w:val="0"/>
                  <w:vAlign w:val="center"/>
                </w:tcPr>
                <w:p w14:paraId="577C86F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91" w:type="dxa"/>
                  <w:tcBorders>
                    <w:tl2br w:val="nil"/>
                    <w:tr2bl w:val="nil"/>
                  </w:tcBorders>
                  <w:noWrap w:val="0"/>
                  <w:vAlign w:val="center"/>
                </w:tcPr>
                <w:p w14:paraId="14D4D67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50</w:t>
                  </w:r>
                </w:p>
              </w:tc>
              <w:tc>
                <w:tcPr>
                  <w:tcW w:w="654" w:type="dxa"/>
                  <w:vMerge w:val="continue"/>
                  <w:tcBorders>
                    <w:tl2br w:val="nil"/>
                    <w:tr2bl w:val="nil"/>
                  </w:tcBorders>
                  <w:noWrap w:val="0"/>
                  <w:vAlign w:val="center"/>
                </w:tcPr>
                <w:p w14:paraId="1AADC98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0" w:type="dxa"/>
                  <w:vMerge w:val="continue"/>
                  <w:tcBorders>
                    <w:tl2br w:val="nil"/>
                    <w:tr2bl w:val="nil"/>
                  </w:tcBorders>
                  <w:noWrap w:val="0"/>
                  <w:vAlign w:val="center"/>
                </w:tcPr>
                <w:p w14:paraId="64EA394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26" w:type="dxa"/>
                  <w:tcBorders>
                    <w:tl2br w:val="nil"/>
                    <w:tr2bl w:val="nil"/>
                  </w:tcBorders>
                  <w:noWrap w:val="0"/>
                  <w:vAlign w:val="center"/>
                </w:tcPr>
                <w:p w14:paraId="14D2FD8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50</w:t>
                  </w:r>
                </w:p>
              </w:tc>
              <w:tc>
                <w:tcPr>
                  <w:tcW w:w="697" w:type="dxa"/>
                  <w:tcBorders>
                    <w:tl2br w:val="nil"/>
                    <w:tr2bl w:val="nil"/>
                  </w:tcBorders>
                  <w:noWrap w:val="0"/>
                  <w:vAlign w:val="center"/>
                </w:tcPr>
                <w:p w14:paraId="2421A35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0.109 </w:t>
                  </w:r>
                </w:p>
              </w:tc>
              <w:tc>
                <w:tcPr>
                  <w:tcW w:w="696" w:type="dxa"/>
                  <w:vMerge w:val="continue"/>
                  <w:tcBorders>
                    <w:tl2br w:val="nil"/>
                    <w:tr2bl w:val="nil"/>
                  </w:tcBorders>
                  <w:noWrap w:val="0"/>
                  <w:vAlign w:val="center"/>
                </w:tcPr>
                <w:p w14:paraId="1A10D16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5F6405D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63D31A5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03" w:type="dxa"/>
                  <w:vMerge w:val="continue"/>
                  <w:tcBorders>
                    <w:tl2br w:val="nil"/>
                    <w:tr2bl w:val="nil"/>
                  </w:tcBorders>
                  <w:noWrap w:val="0"/>
                  <w:vAlign w:val="center"/>
                </w:tcPr>
                <w:p w14:paraId="722B6B1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32510E5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58AAB998">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10" w:type="dxa"/>
                  <w:vMerge w:val="continue"/>
                  <w:tcBorders>
                    <w:tl2br w:val="nil"/>
                    <w:tr2bl w:val="nil"/>
                  </w:tcBorders>
                  <w:noWrap w:val="0"/>
                  <w:vAlign w:val="center"/>
                </w:tcPr>
                <w:p w14:paraId="4913FEE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14" w:type="dxa"/>
                  <w:tcBorders>
                    <w:tl2br w:val="nil"/>
                    <w:tr2bl w:val="nil"/>
                  </w:tcBorders>
                  <w:noWrap w:val="0"/>
                  <w:vAlign w:val="center"/>
                </w:tcPr>
                <w:p w14:paraId="223B234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400</w:t>
                  </w:r>
                </w:p>
              </w:tc>
            </w:tr>
            <w:tr w14:paraId="4F51589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7" w:hRule="atLeast"/>
                <w:jc w:val="center"/>
              </w:trPr>
              <w:tc>
                <w:tcPr>
                  <w:tcW w:w="500" w:type="dxa"/>
                  <w:vMerge w:val="continue"/>
                  <w:tcBorders>
                    <w:tl2br w:val="nil"/>
                    <w:tr2bl w:val="nil"/>
                  </w:tcBorders>
                  <w:noWrap w:val="0"/>
                  <w:vAlign w:val="center"/>
                </w:tcPr>
                <w:p w14:paraId="3FCAD4C4">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69" w:type="dxa"/>
                  <w:tcBorders>
                    <w:tl2br w:val="nil"/>
                    <w:tr2bl w:val="nil"/>
                  </w:tcBorders>
                  <w:noWrap w:val="0"/>
                  <w:vAlign w:val="center"/>
                </w:tcPr>
                <w:p w14:paraId="52884270">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氨氮</w:t>
                  </w:r>
                </w:p>
              </w:tc>
              <w:tc>
                <w:tcPr>
                  <w:tcW w:w="690" w:type="dxa"/>
                  <w:tcBorders>
                    <w:tl2br w:val="nil"/>
                    <w:tr2bl w:val="nil"/>
                  </w:tcBorders>
                  <w:noWrap w:val="0"/>
                  <w:vAlign w:val="center"/>
                </w:tcPr>
                <w:p w14:paraId="62785A3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25</w:t>
                  </w:r>
                </w:p>
              </w:tc>
              <w:tc>
                <w:tcPr>
                  <w:tcW w:w="639" w:type="dxa"/>
                  <w:tcBorders>
                    <w:tl2br w:val="nil"/>
                    <w:tr2bl w:val="nil"/>
                  </w:tcBorders>
                  <w:noWrap w:val="0"/>
                  <w:vAlign w:val="center"/>
                </w:tcPr>
                <w:p w14:paraId="3B95B9C9">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0.055 </w:t>
                  </w:r>
                </w:p>
              </w:tc>
              <w:tc>
                <w:tcPr>
                  <w:tcW w:w="591" w:type="dxa"/>
                  <w:vMerge w:val="continue"/>
                  <w:tcBorders>
                    <w:tl2br w:val="nil"/>
                    <w:tr2bl w:val="nil"/>
                  </w:tcBorders>
                  <w:noWrap w:val="0"/>
                  <w:vAlign w:val="center"/>
                </w:tcPr>
                <w:p w14:paraId="223832E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70" w:type="dxa"/>
                  <w:vMerge w:val="continue"/>
                  <w:tcBorders>
                    <w:tl2br w:val="nil"/>
                    <w:tr2bl w:val="nil"/>
                  </w:tcBorders>
                  <w:noWrap w:val="0"/>
                  <w:vAlign w:val="center"/>
                </w:tcPr>
                <w:p w14:paraId="22C90C88">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91" w:type="dxa"/>
                  <w:tcBorders>
                    <w:tl2br w:val="nil"/>
                    <w:tr2bl w:val="nil"/>
                  </w:tcBorders>
                  <w:noWrap w:val="0"/>
                  <w:vAlign w:val="center"/>
                </w:tcPr>
                <w:p w14:paraId="544070F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w:t>
                  </w:r>
                </w:p>
              </w:tc>
              <w:tc>
                <w:tcPr>
                  <w:tcW w:w="654" w:type="dxa"/>
                  <w:vMerge w:val="continue"/>
                  <w:tcBorders>
                    <w:tl2br w:val="nil"/>
                    <w:tr2bl w:val="nil"/>
                  </w:tcBorders>
                  <w:noWrap w:val="0"/>
                  <w:vAlign w:val="center"/>
                </w:tcPr>
                <w:p w14:paraId="299AC98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0" w:type="dxa"/>
                  <w:vMerge w:val="continue"/>
                  <w:tcBorders>
                    <w:tl2br w:val="nil"/>
                    <w:tr2bl w:val="nil"/>
                  </w:tcBorders>
                  <w:noWrap w:val="0"/>
                  <w:vAlign w:val="center"/>
                </w:tcPr>
                <w:p w14:paraId="7F44F04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26" w:type="dxa"/>
                  <w:tcBorders>
                    <w:tl2br w:val="nil"/>
                    <w:tr2bl w:val="nil"/>
                  </w:tcBorders>
                  <w:noWrap w:val="0"/>
                  <w:vAlign w:val="center"/>
                </w:tcPr>
                <w:p w14:paraId="67AC180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23.75</w:t>
                  </w:r>
                </w:p>
              </w:tc>
              <w:tc>
                <w:tcPr>
                  <w:tcW w:w="697" w:type="dxa"/>
                  <w:tcBorders>
                    <w:tl2br w:val="nil"/>
                    <w:tr2bl w:val="nil"/>
                  </w:tcBorders>
                  <w:noWrap w:val="0"/>
                  <w:vAlign w:val="center"/>
                </w:tcPr>
                <w:p w14:paraId="22FD0D3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0.052 </w:t>
                  </w:r>
                </w:p>
              </w:tc>
              <w:tc>
                <w:tcPr>
                  <w:tcW w:w="696" w:type="dxa"/>
                  <w:vMerge w:val="continue"/>
                  <w:tcBorders>
                    <w:tl2br w:val="nil"/>
                    <w:tr2bl w:val="nil"/>
                  </w:tcBorders>
                  <w:noWrap w:val="0"/>
                  <w:vAlign w:val="center"/>
                </w:tcPr>
                <w:p w14:paraId="33336927">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6CAE9B4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7F8E3A5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03" w:type="dxa"/>
                  <w:vMerge w:val="continue"/>
                  <w:tcBorders>
                    <w:tl2br w:val="nil"/>
                    <w:tr2bl w:val="nil"/>
                  </w:tcBorders>
                  <w:noWrap w:val="0"/>
                  <w:vAlign w:val="center"/>
                </w:tcPr>
                <w:p w14:paraId="4560190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220E8A4C">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409CFAB2">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10" w:type="dxa"/>
                  <w:vMerge w:val="continue"/>
                  <w:tcBorders>
                    <w:tl2br w:val="nil"/>
                    <w:tr2bl w:val="nil"/>
                  </w:tcBorders>
                  <w:noWrap w:val="0"/>
                  <w:vAlign w:val="center"/>
                </w:tcPr>
                <w:p w14:paraId="20A4605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14" w:type="dxa"/>
                  <w:tcBorders>
                    <w:tl2br w:val="nil"/>
                    <w:tr2bl w:val="nil"/>
                  </w:tcBorders>
                  <w:noWrap w:val="0"/>
                  <w:vAlign w:val="center"/>
                </w:tcPr>
                <w:p w14:paraId="12FB0E0B">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lang w:val="en-US"/>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50</w:t>
                  </w:r>
                </w:p>
              </w:tc>
            </w:tr>
            <w:tr w14:paraId="36B091C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7" w:hRule="atLeast"/>
                <w:jc w:val="center"/>
              </w:trPr>
              <w:tc>
                <w:tcPr>
                  <w:tcW w:w="500" w:type="dxa"/>
                  <w:vMerge w:val="continue"/>
                  <w:tcBorders>
                    <w:tl2br w:val="nil"/>
                    <w:tr2bl w:val="nil"/>
                  </w:tcBorders>
                  <w:noWrap w:val="0"/>
                  <w:vAlign w:val="center"/>
                </w:tcPr>
                <w:p w14:paraId="28B1CA7E">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69" w:type="dxa"/>
                  <w:tcBorders>
                    <w:tl2br w:val="nil"/>
                    <w:tr2bl w:val="nil"/>
                  </w:tcBorders>
                  <w:noWrap w:val="0"/>
                  <w:vAlign w:val="center"/>
                </w:tcPr>
                <w:p w14:paraId="53AF6BF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总磷</w:t>
                  </w:r>
                </w:p>
              </w:tc>
              <w:tc>
                <w:tcPr>
                  <w:tcW w:w="690" w:type="dxa"/>
                  <w:tcBorders>
                    <w:tl2br w:val="nil"/>
                    <w:tr2bl w:val="nil"/>
                  </w:tcBorders>
                  <w:noWrap w:val="0"/>
                  <w:vAlign w:val="center"/>
                </w:tcPr>
                <w:p w14:paraId="1B2E66B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w:t>
                  </w:r>
                </w:p>
              </w:tc>
              <w:tc>
                <w:tcPr>
                  <w:tcW w:w="639" w:type="dxa"/>
                  <w:tcBorders>
                    <w:tl2br w:val="nil"/>
                    <w:tr2bl w:val="nil"/>
                  </w:tcBorders>
                  <w:noWrap w:val="0"/>
                  <w:vAlign w:val="center"/>
                </w:tcPr>
                <w:p w14:paraId="6B83E237">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0.009 </w:t>
                  </w:r>
                </w:p>
              </w:tc>
              <w:tc>
                <w:tcPr>
                  <w:tcW w:w="591" w:type="dxa"/>
                  <w:vMerge w:val="continue"/>
                  <w:tcBorders>
                    <w:tl2br w:val="nil"/>
                    <w:tr2bl w:val="nil"/>
                  </w:tcBorders>
                  <w:noWrap w:val="0"/>
                  <w:vAlign w:val="center"/>
                </w:tcPr>
                <w:p w14:paraId="4A05F98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70" w:type="dxa"/>
                  <w:vMerge w:val="continue"/>
                  <w:tcBorders>
                    <w:tl2br w:val="nil"/>
                    <w:tr2bl w:val="nil"/>
                  </w:tcBorders>
                  <w:noWrap w:val="0"/>
                  <w:vAlign w:val="center"/>
                </w:tcPr>
                <w:p w14:paraId="2090710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91" w:type="dxa"/>
                  <w:tcBorders>
                    <w:tl2br w:val="nil"/>
                    <w:tr2bl w:val="nil"/>
                  </w:tcBorders>
                  <w:noWrap w:val="0"/>
                  <w:vAlign w:val="center"/>
                </w:tcPr>
                <w:p w14:paraId="28D6F3FD">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0</w:t>
                  </w:r>
                </w:p>
              </w:tc>
              <w:tc>
                <w:tcPr>
                  <w:tcW w:w="654" w:type="dxa"/>
                  <w:vMerge w:val="continue"/>
                  <w:tcBorders>
                    <w:tl2br w:val="nil"/>
                    <w:tr2bl w:val="nil"/>
                  </w:tcBorders>
                  <w:noWrap w:val="0"/>
                  <w:vAlign w:val="center"/>
                </w:tcPr>
                <w:p w14:paraId="4E3F4B32">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0" w:type="dxa"/>
                  <w:vMerge w:val="continue"/>
                  <w:tcBorders>
                    <w:tl2br w:val="nil"/>
                    <w:tr2bl w:val="nil"/>
                  </w:tcBorders>
                  <w:noWrap w:val="0"/>
                  <w:vAlign w:val="center"/>
                </w:tcPr>
                <w:p w14:paraId="6B4BBB54">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26" w:type="dxa"/>
                  <w:tcBorders>
                    <w:tl2br w:val="nil"/>
                    <w:tr2bl w:val="nil"/>
                  </w:tcBorders>
                  <w:noWrap w:val="0"/>
                  <w:vAlign w:val="center"/>
                </w:tcPr>
                <w:p w14:paraId="596F9B2C">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w:t>
                  </w:r>
                </w:p>
              </w:tc>
              <w:tc>
                <w:tcPr>
                  <w:tcW w:w="697" w:type="dxa"/>
                  <w:tcBorders>
                    <w:tl2br w:val="nil"/>
                    <w:tr2bl w:val="nil"/>
                  </w:tcBorders>
                  <w:noWrap w:val="0"/>
                  <w:vAlign w:val="center"/>
                </w:tcPr>
                <w:p w14:paraId="5F78ADBA">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0.009 </w:t>
                  </w:r>
                </w:p>
              </w:tc>
              <w:tc>
                <w:tcPr>
                  <w:tcW w:w="696" w:type="dxa"/>
                  <w:vMerge w:val="continue"/>
                  <w:tcBorders>
                    <w:tl2br w:val="nil"/>
                    <w:tr2bl w:val="nil"/>
                  </w:tcBorders>
                  <w:noWrap w:val="0"/>
                  <w:vAlign w:val="center"/>
                </w:tcPr>
                <w:p w14:paraId="007365D7">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4B12D8BE">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75E05584">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03" w:type="dxa"/>
                  <w:vMerge w:val="continue"/>
                  <w:tcBorders>
                    <w:tl2br w:val="nil"/>
                    <w:tr2bl w:val="nil"/>
                  </w:tcBorders>
                  <w:noWrap w:val="0"/>
                  <w:vAlign w:val="center"/>
                </w:tcPr>
                <w:p w14:paraId="47B0B7A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7FC26FA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37B2A1E2">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10" w:type="dxa"/>
                  <w:vMerge w:val="continue"/>
                  <w:tcBorders>
                    <w:tl2br w:val="nil"/>
                    <w:tr2bl w:val="nil"/>
                  </w:tcBorders>
                  <w:noWrap w:val="0"/>
                  <w:vAlign w:val="center"/>
                </w:tcPr>
                <w:p w14:paraId="5E7B8C0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14" w:type="dxa"/>
                  <w:tcBorders>
                    <w:tl2br w:val="nil"/>
                    <w:tr2bl w:val="nil"/>
                  </w:tcBorders>
                  <w:noWrap w:val="0"/>
                  <w:vAlign w:val="center"/>
                </w:tcPr>
                <w:p w14:paraId="7A6D576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8</w:t>
                  </w:r>
                </w:p>
              </w:tc>
            </w:tr>
            <w:tr w14:paraId="2F69DA2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525" w:hRule="atLeast"/>
                <w:jc w:val="center"/>
              </w:trPr>
              <w:tc>
                <w:tcPr>
                  <w:tcW w:w="500" w:type="dxa"/>
                  <w:vMerge w:val="continue"/>
                  <w:tcBorders>
                    <w:tl2br w:val="nil"/>
                    <w:tr2bl w:val="nil"/>
                  </w:tcBorders>
                  <w:noWrap w:val="0"/>
                  <w:vAlign w:val="center"/>
                </w:tcPr>
                <w:p w14:paraId="6D6D9229">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69" w:type="dxa"/>
                  <w:tcBorders>
                    <w:tl2br w:val="nil"/>
                    <w:tr2bl w:val="nil"/>
                  </w:tcBorders>
                  <w:noWrap w:val="0"/>
                  <w:vAlign w:val="center"/>
                </w:tcPr>
                <w:p w14:paraId="7B28E75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动植物油</w:t>
                  </w:r>
                </w:p>
              </w:tc>
              <w:tc>
                <w:tcPr>
                  <w:tcW w:w="690" w:type="dxa"/>
                  <w:tcBorders>
                    <w:tl2br w:val="nil"/>
                    <w:tr2bl w:val="nil"/>
                  </w:tcBorders>
                  <w:noWrap w:val="0"/>
                  <w:vAlign w:val="center"/>
                </w:tcPr>
                <w:p w14:paraId="18CA8AF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w:t>
                  </w:r>
                </w:p>
              </w:tc>
              <w:tc>
                <w:tcPr>
                  <w:tcW w:w="639" w:type="dxa"/>
                  <w:tcBorders>
                    <w:tl2br w:val="nil"/>
                    <w:tr2bl w:val="nil"/>
                  </w:tcBorders>
                  <w:noWrap w:val="0"/>
                  <w:vAlign w:val="center"/>
                </w:tcPr>
                <w:p w14:paraId="5F0A5123">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0.044 </w:t>
                  </w:r>
                </w:p>
              </w:tc>
              <w:tc>
                <w:tcPr>
                  <w:tcW w:w="591" w:type="dxa"/>
                  <w:vMerge w:val="continue"/>
                  <w:tcBorders>
                    <w:tl2br w:val="nil"/>
                    <w:tr2bl w:val="nil"/>
                  </w:tcBorders>
                  <w:noWrap w:val="0"/>
                  <w:vAlign w:val="center"/>
                </w:tcPr>
                <w:p w14:paraId="4802C83A">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70" w:type="dxa"/>
                  <w:vMerge w:val="continue"/>
                  <w:tcBorders>
                    <w:tl2br w:val="nil"/>
                    <w:tr2bl w:val="nil"/>
                  </w:tcBorders>
                  <w:noWrap w:val="0"/>
                  <w:vAlign w:val="center"/>
                </w:tcPr>
                <w:p w14:paraId="7AFA4CF3">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91" w:type="dxa"/>
                  <w:tcBorders>
                    <w:tl2br w:val="nil"/>
                    <w:tr2bl w:val="nil"/>
                  </w:tcBorders>
                  <w:noWrap w:val="0"/>
                  <w:vAlign w:val="center"/>
                </w:tcPr>
                <w:p w14:paraId="2C982965">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50</w:t>
                  </w:r>
                </w:p>
              </w:tc>
              <w:tc>
                <w:tcPr>
                  <w:tcW w:w="654" w:type="dxa"/>
                  <w:vMerge w:val="continue"/>
                  <w:tcBorders>
                    <w:tl2br w:val="nil"/>
                    <w:tr2bl w:val="nil"/>
                  </w:tcBorders>
                  <w:noWrap w:val="0"/>
                  <w:vAlign w:val="center"/>
                </w:tcPr>
                <w:p w14:paraId="20F62DDF">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0" w:type="dxa"/>
                  <w:vMerge w:val="continue"/>
                  <w:tcBorders>
                    <w:tl2br w:val="nil"/>
                    <w:tr2bl w:val="nil"/>
                  </w:tcBorders>
                  <w:noWrap w:val="0"/>
                  <w:vAlign w:val="center"/>
                </w:tcPr>
                <w:p w14:paraId="0AA479D9">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26" w:type="dxa"/>
                  <w:tcBorders>
                    <w:tl2br w:val="nil"/>
                    <w:tr2bl w:val="nil"/>
                  </w:tcBorders>
                  <w:noWrap w:val="0"/>
                  <w:vAlign w:val="center"/>
                </w:tcPr>
                <w:p w14:paraId="598D0FC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10</w:t>
                  </w:r>
                </w:p>
              </w:tc>
              <w:tc>
                <w:tcPr>
                  <w:tcW w:w="697" w:type="dxa"/>
                  <w:tcBorders>
                    <w:tl2br w:val="nil"/>
                    <w:tr2bl w:val="nil"/>
                  </w:tcBorders>
                  <w:noWrap w:val="0"/>
                  <w:vAlign w:val="center"/>
                </w:tcPr>
                <w:p w14:paraId="21116964">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 xml:space="preserve">0.022 </w:t>
                  </w:r>
                </w:p>
              </w:tc>
              <w:tc>
                <w:tcPr>
                  <w:tcW w:w="696" w:type="dxa"/>
                  <w:vMerge w:val="continue"/>
                  <w:tcBorders>
                    <w:tl2br w:val="nil"/>
                    <w:tr2bl w:val="nil"/>
                  </w:tcBorders>
                  <w:noWrap w:val="0"/>
                  <w:vAlign w:val="center"/>
                </w:tcPr>
                <w:p w14:paraId="45A8D431">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40B7C7A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96" w:type="dxa"/>
                  <w:vMerge w:val="continue"/>
                  <w:tcBorders>
                    <w:tl2br w:val="nil"/>
                    <w:tr2bl w:val="nil"/>
                  </w:tcBorders>
                  <w:noWrap w:val="0"/>
                  <w:vAlign w:val="center"/>
                </w:tcPr>
                <w:p w14:paraId="677FD4FB">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03" w:type="dxa"/>
                  <w:vMerge w:val="continue"/>
                  <w:tcBorders>
                    <w:tl2br w:val="nil"/>
                    <w:tr2bl w:val="nil"/>
                  </w:tcBorders>
                  <w:noWrap w:val="0"/>
                  <w:vAlign w:val="center"/>
                </w:tcPr>
                <w:p w14:paraId="2FF671E6">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4A7310E0">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482" w:type="dxa"/>
                  <w:vMerge w:val="continue"/>
                  <w:tcBorders>
                    <w:tl2br w:val="nil"/>
                    <w:tr2bl w:val="nil"/>
                  </w:tcBorders>
                  <w:noWrap w:val="0"/>
                  <w:vAlign w:val="center"/>
                </w:tcPr>
                <w:p w14:paraId="51E9759D">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10" w:type="dxa"/>
                  <w:vMerge w:val="continue"/>
                  <w:tcBorders>
                    <w:tl2br w:val="nil"/>
                    <w:tr2bl w:val="nil"/>
                  </w:tcBorders>
                  <w:noWrap w:val="0"/>
                  <w:vAlign w:val="center"/>
                </w:tcPr>
                <w:p w14:paraId="720DAF45">
                  <w:pPr>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714" w:type="dxa"/>
                  <w:tcBorders>
                    <w:tl2br w:val="nil"/>
                    <w:tr2bl w:val="nil"/>
                  </w:tcBorders>
                  <w:noWrap w:val="0"/>
                  <w:vAlign w:val="center"/>
                </w:tcPr>
                <w:p w14:paraId="6243EB9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100</w:t>
                  </w:r>
                </w:p>
              </w:tc>
            </w:tr>
          </w:tbl>
          <w:p w14:paraId="0C14FB89">
            <w:pPr>
              <w:keepNext w:val="0"/>
              <w:keepLines w:val="0"/>
              <w:pageBreakBefore w:val="0"/>
              <w:widowControl w:val="0"/>
              <w:kinsoku/>
              <w:wordWrap/>
              <w:overflowPunct/>
              <w:topLinePunct w:val="0"/>
              <w:autoSpaceDE/>
              <w:autoSpaceDN/>
              <w:bidi w:val="0"/>
              <w:adjustRightInd w:val="0"/>
              <w:snapToGrid w:val="0"/>
              <w:spacing w:before="157" w:beforeLines="50"/>
              <w:ind w:left="0" w:leftChars="0" w:firstLine="482" w:firstLineChars="200"/>
              <w:textAlignment w:val="auto"/>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2、废水监测计划</w:t>
            </w:r>
          </w:p>
          <w:p w14:paraId="1AB189C7">
            <w:pPr>
              <w:keepNext w:val="0"/>
              <w:keepLines w:val="0"/>
              <w:pageBreakBefore w:val="0"/>
              <w:widowControl w:val="0"/>
              <w:kinsoku/>
              <w:wordWrap/>
              <w:overflowPunct/>
              <w:topLinePunct w:val="0"/>
              <w:autoSpaceDE/>
              <w:autoSpaceDN/>
              <w:bidi w:val="0"/>
              <w:adjustRightInd/>
              <w:snapToGrid/>
              <w:spacing w:afterLines="0" w:line="360" w:lineRule="auto"/>
              <w:ind w:firstLine="444" w:firstLineChars="200"/>
              <w:textAlignment w:val="auto"/>
              <w:rPr>
                <w:rFonts w:hint="default" w:ascii="Times New Roman" w:hAnsi="Times New Roman" w:eastAsia="宋体" w:cs="宋体"/>
                <w:color w:val="000000" w:themeColor="text1"/>
                <w:spacing w:val="-9"/>
                <w:kern w:val="0"/>
                <w:sz w:val="24"/>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pacing w:val="-9"/>
                <w:kern w:val="0"/>
                <w:sz w:val="24"/>
                <w:szCs w:val="21"/>
                <w:highlight w:val="none"/>
                <w:lang w:val="en-US" w:eastAsia="zh-CN" w:bidi="ar-SA"/>
                <w14:textFill>
                  <w14:solidFill>
                    <w14:schemeClr w14:val="tx1"/>
                  </w14:solidFill>
                </w14:textFill>
              </w:rPr>
              <w:t>根据</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排污单位自行监测技术指南  橡胶和塑料制品</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TimesNewRomanPSMT" w:cs="Times New Roman"/>
                <w:color w:val="000000" w:themeColor="text1"/>
                <w:sz w:val="24"/>
                <w:szCs w:val="24"/>
                <w14:textFill>
                  <w14:solidFill>
                    <w14:schemeClr w14:val="tx1"/>
                  </w14:solidFill>
                </w14:textFill>
              </w:rPr>
              <w:t>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1</w:t>
            </w:r>
            <w:r>
              <w:rPr>
                <w:rFonts w:hint="default" w:ascii="Times New Roman" w:hAnsi="Times New Roman" w:cs="Times New Roman"/>
                <w:color w:val="000000" w:themeColor="text1"/>
                <w:sz w:val="24"/>
                <w:szCs w:val="24"/>
                <w:lang w:val="en-US" w:eastAsia="zh-CN"/>
                <w14:textFill>
                  <w14:solidFill>
                    <w14:schemeClr w14:val="tx1"/>
                  </w14:solidFill>
                </w14:textFill>
              </w:rPr>
              <w:t>207</w:t>
            </w:r>
            <w:r>
              <w:rPr>
                <w:rFonts w:hint="default" w:ascii="Times New Roman" w:hAnsi="Times New Roman" w:eastAsia="TimesNewRomanPSMT"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宋体" w:hAnsi="宋体"/>
                <w:color w:val="000000" w:themeColor="text1"/>
                <w:sz w:val="24"/>
                <w:szCs w:val="24"/>
                <w:lang w:val="en-US" w:eastAsia="zh-CN"/>
                <w14:textFill>
                  <w14:solidFill>
                    <w14:schemeClr w14:val="tx1"/>
                  </w14:solidFill>
                </w14:textFill>
              </w:rPr>
              <w:t>排污单位自行监测技术指南  涂装</w:t>
            </w:r>
            <w:r>
              <w:rPr>
                <w:rFonts w:hint="eastAsia" w:ascii="宋体" w:hAnsi="宋体"/>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HJ 1086-2020</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和《排污许可证申请与核发技术规范 橡胶和塑料制品工业》（HJ1122-2020）</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对单独排入公共污水处理系统的生活污水无需开展自行监测。因此，本项目废水不开展自行监测。</w:t>
            </w:r>
          </w:p>
          <w:p w14:paraId="2A286073">
            <w:pPr>
              <w:ind w:firstLine="482"/>
              <w:rPr>
                <w:color w:val="000000" w:themeColor="text1"/>
                <w14:textFill>
                  <w14:solidFill>
                    <w14:schemeClr w14:val="tx1"/>
                  </w14:solidFill>
                </w14:textFill>
              </w:rPr>
            </w:pPr>
            <w:r>
              <w:rPr>
                <w:rFonts w:hint="eastAsia"/>
                <w:b/>
                <w:color w:val="000000" w:themeColor="text1"/>
                <w:lang w:val="en-US" w:eastAsia="zh-CN"/>
                <w14:textFill>
                  <w14:solidFill>
                    <w14:schemeClr w14:val="tx1"/>
                  </w14:solidFill>
                </w14:textFill>
              </w:rPr>
              <w:t>3</w:t>
            </w:r>
            <w:r>
              <w:rPr>
                <w:b/>
                <w:color w:val="000000" w:themeColor="text1"/>
                <w14:textFill>
                  <w14:solidFill>
                    <w14:schemeClr w14:val="tx1"/>
                  </w14:solidFill>
                </w14:textFill>
              </w:rPr>
              <w:t>、废水治理设施技术可行性分析</w:t>
            </w:r>
          </w:p>
          <w:p w14:paraId="3BEC41B4">
            <w:pPr>
              <w:pStyle w:val="168"/>
              <w:numPr>
                <w:ilvl w:val="0"/>
                <w:numId w:val="0"/>
              </w:numPr>
              <w:spacing w:before="0" w:beforeLines="0" w:afterLines="0"/>
              <w:ind w:left="0" w:firstLine="480" w:firstLineChars="20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项目生活污水采取“化粪池”措施处理后由园区污水管网排入</w:t>
            </w:r>
            <w:r>
              <w:rPr>
                <w:rFonts w:hint="eastAsia"/>
                <w:bCs/>
                <w:color w:val="000000" w:themeColor="text1"/>
                <w:lang w:val="en-US" w:eastAsia="zh-CN"/>
                <w14:textFill>
                  <w14:solidFill>
                    <w14:schemeClr w14:val="tx1"/>
                  </w14:solidFill>
                </w14:textFill>
              </w:rPr>
              <w:t>高安市工业园污水处理厂（新世纪产业园污水处理厂）处理，尾水排入锦江</w:t>
            </w:r>
            <w:r>
              <w:rPr>
                <w:rFonts w:hint="eastAsia"/>
                <w:color w:val="000000" w:themeColor="text1"/>
                <w:highlight w:val="none"/>
                <w:lang w:val="en-US" w:eastAsia="zh-CN"/>
                <w14:textFill>
                  <w14:solidFill>
                    <w14:schemeClr w14:val="tx1"/>
                  </w14:solidFill>
                </w14:textFill>
              </w:rPr>
              <w:t>。项目厂区总排放口废水污染物浓度能够满足</w:t>
            </w:r>
            <w:r>
              <w:rPr>
                <w:rFonts w:hint="eastAsia"/>
                <w:bCs/>
                <w:color w:val="000000" w:themeColor="text1"/>
                <w:lang w:val="en-US" w:eastAsia="zh-CN"/>
                <w14:textFill>
                  <w14:solidFill>
                    <w14:schemeClr w14:val="tx1"/>
                  </w14:solidFill>
                </w14:textFill>
              </w:rPr>
              <w:t>高安市工业园污水处理厂</w:t>
            </w:r>
            <w:r>
              <w:rPr>
                <w:rFonts w:hint="eastAsia"/>
                <w:color w:val="000000" w:themeColor="text1"/>
                <w:highlight w:val="none"/>
                <w:lang w:val="en-US" w:eastAsia="zh-CN"/>
                <w14:textFill>
                  <w14:solidFill>
                    <w14:schemeClr w14:val="tx1"/>
                  </w14:solidFill>
                </w14:textFill>
              </w:rPr>
              <w:t>接管标准要求，对周边水环境影响较小。</w:t>
            </w:r>
          </w:p>
          <w:p w14:paraId="0F32CC49">
            <w:pPr>
              <w:spacing w:before="0" w:beforeLines="0" w:afterLines="0" w:line="360" w:lineRule="auto"/>
              <w:ind w:firstLine="480" w:firstLineChars="200"/>
              <w:jc w:val="both"/>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项目采取的“化粪池”废水治理措施属于</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排污单位自行监测技术指南  橡胶和塑料制品</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TimesNewRomanPSMT" w:cs="Times New Roman"/>
                <w:color w:val="000000" w:themeColor="text1"/>
                <w:sz w:val="24"/>
                <w:szCs w:val="24"/>
                <w14:textFill>
                  <w14:solidFill>
                    <w14:schemeClr w14:val="tx1"/>
                  </w14:solidFill>
                </w14:textFill>
              </w:rPr>
              <w:t>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1</w:t>
            </w:r>
            <w:r>
              <w:rPr>
                <w:rFonts w:hint="default" w:ascii="Times New Roman" w:hAnsi="Times New Roman" w:cs="Times New Roman"/>
                <w:color w:val="000000" w:themeColor="text1"/>
                <w:sz w:val="24"/>
                <w:szCs w:val="24"/>
                <w:lang w:val="en-US" w:eastAsia="zh-CN"/>
                <w14:textFill>
                  <w14:solidFill>
                    <w14:schemeClr w14:val="tx1"/>
                  </w14:solidFill>
                </w14:textFill>
              </w:rPr>
              <w:t>207</w:t>
            </w:r>
            <w:r>
              <w:rPr>
                <w:rFonts w:hint="default" w:ascii="Times New Roman" w:hAnsi="Times New Roman" w:eastAsia="TimesNewRomanPSMT" w:cs="Times New Roman"/>
                <w:color w:val="000000" w:themeColor="text1"/>
                <w:sz w:val="24"/>
                <w:szCs w:val="24"/>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表</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中可行技术。项目化粪池为三级化粪池，</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三级化粪池厕所的地下部分结构由便器、进粪管、过粪管、三级化粪池、盖板五部分组成。新鲜粪便由进粪口进入第一池，池内粪便开始发酵分解、因比重不同粪液可自然分为三层，上层为糊状粪皮，下层为块状或颗状粪渣，中层为比较澄清的粪液。在上层粪皮和下层粪渣中含细菌和寄生虫卵最多，中层含虫卵最少，初步发酵的中层粪液经过粪管溢流至第二池，而将大部分未经充分发酵的粪皮和粪渣阻留在第一池内继续发酵。流入第二池的粪液进一步发酵分解，虫卵继续下沉，病原体逐渐死亡，粪液得到进一步无害化，产生的粪皮和粪厚度比第一池显著减少。流人第三池的粪液一般已经腐熟，其中病菌和寄生虫卵已基本杀灭。第三</w:t>
            </w:r>
            <w:r>
              <w:rPr>
                <w:rFonts w:hint="default" w:ascii="Times New Roman" w:hAnsi="Times New Roman" w:eastAsia="宋体" w:cs="Times New Roman"/>
                <w:color w:val="000000" w:themeColor="text1"/>
                <w:sz w:val="24"/>
                <w:szCs w:val="24"/>
                <w:highlight w:val="none"/>
                <w14:textFill>
                  <w14:solidFill>
                    <w14:schemeClr w14:val="tx1"/>
                  </w14:solidFill>
                </w14:textFill>
              </w:rPr>
              <w:t>池功能主要起储存已基本无害化的粪液作用</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60BD2AA7">
            <w:pPr>
              <w:ind w:firstLine="482"/>
              <w:rPr>
                <w:b/>
                <w:color w:val="000000" w:themeColor="text1"/>
                <w14:textFill>
                  <w14:solidFill>
                    <w14:schemeClr w14:val="tx1"/>
                  </w14:solidFill>
                </w14:textFill>
              </w:rPr>
            </w:pPr>
            <w:r>
              <w:rPr>
                <w:rFonts w:hint="eastAsia"/>
                <w:b/>
                <w:color w:val="000000" w:themeColor="text1"/>
                <w14:textFill>
                  <w14:solidFill>
                    <w14:schemeClr w14:val="tx1"/>
                  </w14:solidFill>
                </w14:textFill>
              </w:rPr>
              <w:t>4</w:t>
            </w:r>
            <w:r>
              <w:rPr>
                <w:b/>
                <w:color w:val="000000" w:themeColor="text1"/>
                <w14:textFill>
                  <w14:solidFill>
                    <w14:schemeClr w14:val="tx1"/>
                  </w14:solidFill>
                </w14:textFill>
              </w:rPr>
              <w:t>、依托</w:t>
            </w:r>
            <w:r>
              <w:rPr>
                <w:rFonts w:hint="eastAsia"/>
                <w:b/>
                <w:bCs w:val="0"/>
                <w:color w:val="000000" w:themeColor="text1"/>
                <w:lang w:val="en-US" w:eastAsia="zh-CN"/>
                <w14:textFill>
                  <w14:solidFill>
                    <w14:schemeClr w14:val="tx1"/>
                  </w14:solidFill>
                </w14:textFill>
              </w:rPr>
              <w:t>高安市工业园污水处理厂</w:t>
            </w:r>
            <w:r>
              <w:rPr>
                <w:b/>
                <w:color w:val="000000" w:themeColor="text1"/>
                <w14:textFill>
                  <w14:solidFill>
                    <w14:schemeClr w14:val="tx1"/>
                  </w14:solidFill>
                </w14:textFill>
              </w:rPr>
              <w:t>的可行性分析</w:t>
            </w:r>
          </w:p>
          <w:p w14:paraId="058B85B7">
            <w:pPr>
              <w:keepNext w:val="0"/>
              <w:keepLines w:val="0"/>
              <w:widowControl/>
              <w:suppressLineNumbers w:val="0"/>
              <w:jc w:val="both"/>
              <w:rPr>
                <w:rFonts w:hint="eastAsia" w:ascii="宋体" w:hAnsi="宋体" w:eastAsia="宋体" w:cs="宋体"/>
                <w:color w:val="000000" w:themeColor="text1"/>
                <w:kern w:val="0"/>
                <w:sz w:val="24"/>
                <w:szCs w:val="24"/>
                <w:lang w:val="en-US" w:eastAsia="zh-CN"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新世纪产业园污水处理厂（高安市工业园污水处理厂）位于高安市高安大道以南，设计规模为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eastAsia" w:ascii="宋体" w:hAnsi="宋体" w:eastAsia="宋体" w:cs="宋体"/>
                <w:color w:val="000000" w:themeColor="text1"/>
                <w:kern w:val="0"/>
                <w:sz w:val="24"/>
                <w:szCs w:val="24"/>
                <w:lang w:val="en-US" w:eastAsia="zh-CN" w:bidi="ar"/>
                <w14:textFill>
                  <w14:solidFill>
                    <w14:schemeClr w14:val="tx1"/>
                  </w14:solidFill>
                </w14:textFill>
              </w:rPr>
              <w:t>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w:t>
            </w:r>
            <w:r>
              <w:rPr>
                <w:rFonts w:hint="eastAsia" w:ascii="宋体" w:hAnsi="宋体" w:eastAsia="宋体" w:cs="宋体"/>
                <w:color w:val="000000" w:themeColor="text1"/>
                <w:kern w:val="0"/>
                <w:sz w:val="24"/>
                <w:szCs w:val="24"/>
                <w:lang w:val="en-US" w:eastAsia="zh-CN" w:bidi="ar"/>
                <w14:textFill>
                  <w14:solidFill>
                    <w14:schemeClr w14:val="tx1"/>
                  </w14:solidFill>
                </w14:textFill>
              </w:rPr>
              <w:t>，分两期建设，目前运行的一期工程建设规模为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w:t>
            </w:r>
            <w:r>
              <w:rPr>
                <w:rFonts w:hint="eastAsia" w:ascii="宋体" w:hAnsi="宋体" w:eastAsia="宋体" w:cs="宋体"/>
                <w:color w:val="000000" w:themeColor="text1"/>
                <w:kern w:val="0"/>
                <w:sz w:val="24"/>
                <w:szCs w:val="24"/>
                <w:lang w:val="en-US" w:eastAsia="zh-CN" w:bidi="ar"/>
                <w14:textFill>
                  <w14:solidFill>
                    <w14:schemeClr w14:val="tx1"/>
                  </w14:solidFill>
                </w14:textFill>
              </w:rPr>
              <w:t>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w:t>
            </w:r>
            <w:r>
              <w:rPr>
                <w:rFonts w:hint="eastAsia" w:ascii="宋体" w:hAnsi="宋体" w:eastAsia="宋体" w:cs="宋体"/>
                <w:color w:val="000000" w:themeColor="text1"/>
                <w:kern w:val="0"/>
                <w:sz w:val="24"/>
                <w:szCs w:val="24"/>
                <w:lang w:val="en-US" w:eastAsia="zh-CN" w:bidi="ar"/>
                <w14:textFill>
                  <w14:solidFill>
                    <w14:schemeClr w14:val="tx1"/>
                  </w14:solidFill>
                </w14:textFill>
              </w:rPr>
              <w:t>，提标改造工程于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2020</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8</w:t>
            </w:r>
            <w:r>
              <w:rPr>
                <w:rFonts w:hint="eastAsia" w:ascii="宋体" w:hAnsi="宋体" w:eastAsia="宋体" w:cs="宋体"/>
                <w:color w:val="000000" w:themeColor="text1"/>
                <w:kern w:val="0"/>
                <w:sz w:val="24"/>
                <w:szCs w:val="24"/>
                <w:lang w:val="en-US" w:eastAsia="zh-CN" w:bidi="ar"/>
                <w14:textFill>
                  <w14:solidFill>
                    <w14:schemeClr w14:val="tx1"/>
                  </w14:solidFill>
                </w14:textFill>
              </w:rPr>
              <w:t>月开工建设，</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2020</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12</w:t>
            </w:r>
            <w:r>
              <w:rPr>
                <w:rFonts w:hint="eastAsia" w:ascii="宋体" w:hAnsi="宋体" w:eastAsia="宋体" w:cs="宋体"/>
                <w:color w:val="000000" w:themeColor="text1"/>
                <w:kern w:val="0"/>
                <w:sz w:val="24"/>
                <w:szCs w:val="24"/>
                <w:lang w:val="en-US" w:eastAsia="zh-CN" w:bidi="ar"/>
                <w14:textFill>
                  <w14:solidFill>
                    <w14:schemeClr w14:val="tx1"/>
                  </w14:solidFill>
                </w14:textFill>
              </w:rPr>
              <w:t>月试运行，并于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2021 </w:t>
            </w:r>
            <w:r>
              <w:rPr>
                <w:rFonts w:hint="eastAsia" w:ascii="宋体" w:hAnsi="宋体" w:eastAsia="宋体" w:cs="宋体"/>
                <w:color w:val="000000" w:themeColor="text1"/>
                <w:kern w:val="0"/>
                <w:sz w:val="24"/>
                <w:szCs w:val="24"/>
                <w:lang w:val="en-US" w:eastAsia="zh-CN" w:bidi="ar"/>
                <w14:textFill>
                  <w14:solidFill>
                    <w14:schemeClr w14:val="tx1"/>
                  </w14:solidFill>
                </w14:textFill>
              </w:rPr>
              <w:t>年</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hint="eastAsia" w:ascii="宋体" w:hAnsi="宋体" w:eastAsia="宋体" w:cs="宋体"/>
                <w:color w:val="000000" w:themeColor="text1"/>
                <w:kern w:val="0"/>
                <w:sz w:val="24"/>
                <w:szCs w:val="24"/>
                <w:lang w:val="en-US" w:eastAsia="zh-CN" w:bidi="ar"/>
                <w14:textFill>
                  <w14:solidFill>
                    <w14:schemeClr w14:val="tx1"/>
                  </w14:solidFill>
                </w14:textFill>
              </w:rPr>
              <w:t>月</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7</w:t>
            </w:r>
            <w:r>
              <w:rPr>
                <w:rFonts w:hint="eastAsia" w:ascii="宋体" w:hAnsi="宋体" w:eastAsia="宋体" w:cs="宋体"/>
                <w:color w:val="000000" w:themeColor="text1"/>
                <w:kern w:val="0"/>
                <w:sz w:val="24"/>
                <w:szCs w:val="24"/>
                <w:lang w:val="en-US" w:eastAsia="zh-CN" w:bidi="ar"/>
                <w14:textFill>
                  <w14:solidFill>
                    <w14:schemeClr w14:val="tx1"/>
                  </w14:solidFill>
                </w14:textFill>
              </w:rPr>
              <w:t>日通过自主环保验收，达到《城镇污水处理厂污染物排放标准》（</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GB18918-2002</w:t>
            </w:r>
            <w:r>
              <w:rPr>
                <w:rFonts w:hint="eastAsia" w:ascii="宋体" w:hAnsi="宋体" w:eastAsia="宋体" w:cs="宋体"/>
                <w:color w:val="000000" w:themeColor="text1"/>
                <w:kern w:val="0"/>
                <w:sz w:val="24"/>
                <w:szCs w:val="24"/>
                <w:lang w:val="en-US" w:eastAsia="zh-CN" w:bidi="ar"/>
                <w14:textFill>
                  <w14:solidFill>
                    <w14:schemeClr w14:val="tx1"/>
                  </w14:solidFill>
                </w14:textFill>
              </w:rPr>
              <w:t>）一级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排放标准后排入锦江，排口地理坐标为东经 </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115</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25</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23.05</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″，北纬 </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28</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26</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50.92</w:t>
            </w:r>
            <w:r>
              <w:rPr>
                <w:rFonts w:hint="eastAsia" w:ascii="宋体" w:hAnsi="宋体" w:eastAsia="宋体" w:cs="宋体"/>
                <w:color w:val="000000" w:themeColor="text1"/>
                <w:kern w:val="0"/>
                <w:sz w:val="24"/>
                <w:szCs w:val="24"/>
                <w:lang w:val="en-US" w:eastAsia="zh-CN" w:bidi="ar"/>
                <w14:textFill>
                  <w14:solidFill>
                    <w14:schemeClr w14:val="tx1"/>
                  </w14:solidFill>
                </w14:textFill>
              </w:rPr>
              <w:t>″。远期新世纪产业园污水处理厂设计规模扩大到</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3</w:t>
            </w:r>
            <w:r>
              <w:rPr>
                <w:rFonts w:hint="eastAsia" w:ascii="宋体" w:hAnsi="宋体" w:eastAsia="宋体" w:cs="宋体"/>
                <w:color w:val="000000" w:themeColor="text1"/>
                <w:kern w:val="0"/>
                <w:sz w:val="24"/>
                <w:szCs w:val="24"/>
                <w:lang w:val="en-US" w:eastAsia="zh-CN" w:bidi="ar"/>
                <w14:textFill>
                  <w14:solidFill>
                    <w14:schemeClr w14:val="tx1"/>
                  </w14:solidFill>
                </w14:textFill>
              </w:rPr>
              <w:t>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p>
          <w:p w14:paraId="0B2EB571">
            <w:pPr>
              <w:pStyle w:val="92"/>
              <w:ind w:firstLine="480"/>
              <w:textAlignment w:val="baseline"/>
              <w:rPr>
                <w:color w:val="000000" w:themeColor="text1"/>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园区污水管网：</w:t>
            </w:r>
            <w:r>
              <w:rPr>
                <w:rFonts w:hint="eastAsia" w:ascii="宋体" w:hAnsi="宋体" w:eastAsia="宋体" w:cs="宋体"/>
                <w:color w:val="000000" w:themeColor="text1"/>
                <w:kern w:val="0"/>
                <w:sz w:val="24"/>
                <w:szCs w:val="24"/>
                <w:lang w:val="en-US" w:eastAsia="zh-CN" w:bidi="ar"/>
                <w14:textFill>
                  <w14:solidFill>
                    <w14:schemeClr w14:val="tx1"/>
                  </w14:solidFill>
                </w14:textFill>
              </w:rPr>
              <w:t xml:space="preserve">污水管管径为 </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DN400-DN800</w:t>
            </w:r>
            <w:r>
              <w:rPr>
                <w:rFonts w:hint="eastAsia" w:ascii="宋体" w:hAnsi="宋体" w:eastAsia="宋体" w:cs="宋体"/>
                <w:color w:val="000000" w:themeColor="text1"/>
                <w:kern w:val="0"/>
                <w:sz w:val="24"/>
                <w:szCs w:val="24"/>
                <w:lang w:val="en-US" w:eastAsia="zh-CN" w:bidi="ar"/>
                <w14:textFill>
                  <w14:solidFill>
                    <w14:schemeClr w14:val="tx1"/>
                  </w14:solidFill>
                </w14:textFill>
              </w:rPr>
              <w:t>，祥符收费站组团和杨家湖组团污水经污水管网收集后，整体自东向西，自南向北排至一体化污水提升泵站（在杨家湖组团设置一体化污水提升泵站，从杨家湖组团连接到高安工业园污水处理厂，在祥符收费站组团设置一体化污水提升泵站，从祥符收费站组团连接到杨家湖组团污水管网），后接入高安大道污水干管，最终排入高安工业园污水处理厂，经过处理达标后排放。项目位于</w:t>
            </w:r>
            <w:r>
              <w:rPr>
                <w:rFonts w:hint="eastAsia"/>
                <w:color w:val="000000" w:themeColor="text1"/>
                <w:lang w:val="en-US" w:eastAsia="zh-CN"/>
                <w14:textFill>
                  <w14:solidFill>
                    <w14:schemeClr w14:val="tx1"/>
                  </w14:solidFill>
                </w14:textFill>
              </w:rPr>
              <w:t>江西高安高新技术产业园区新世纪产业园杨家湖组团（见附图八），</w:t>
            </w:r>
            <w:r>
              <w:rPr>
                <w:rFonts w:hint="eastAsia" w:ascii="Times New Roman" w:hAnsi="Times New Roman" w:eastAsia="宋体" w:cs="Times New Roman"/>
                <w:caps w:val="0"/>
                <w:smallCaps w:val="0"/>
                <w:color w:val="000000" w:themeColor="text1"/>
                <w:kern w:val="0"/>
                <w:sz w:val="24"/>
                <w:szCs w:val="24"/>
                <w:highlight w:val="none"/>
                <w14:textFill>
                  <w14:solidFill>
                    <w14:schemeClr w14:val="tx1"/>
                  </w14:solidFill>
                </w14:textFill>
              </w:rPr>
              <w:t>项目厂界临路污水管网已完成，从接管范围上看，</w:t>
            </w:r>
            <w:r>
              <w:rPr>
                <w:rFonts w:hint="eastAsia" w:cs="Times New Roman"/>
                <w:caps w:val="0"/>
                <w:smallCaps w:val="0"/>
                <w:color w:val="000000" w:themeColor="text1"/>
                <w:kern w:val="0"/>
                <w:sz w:val="24"/>
                <w:szCs w:val="24"/>
                <w:highlight w:val="none"/>
                <w:lang w:val="en-US" w:eastAsia="zh-CN"/>
                <w14:textFill>
                  <w14:solidFill>
                    <w14:schemeClr w14:val="tx1"/>
                  </w14:solidFill>
                </w14:textFill>
              </w:rPr>
              <w:t>项目位于</w:t>
            </w:r>
            <w:r>
              <w:rPr>
                <w:rFonts w:hint="eastAsia" w:ascii="宋体" w:hAnsi="宋体" w:eastAsia="宋体" w:cs="宋体"/>
                <w:color w:val="000000" w:themeColor="text1"/>
                <w:kern w:val="0"/>
                <w:sz w:val="24"/>
                <w:szCs w:val="24"/>
                <w:lang w:val="en-US" w:eastAsia="zh-CN" w:bidi="ar"/>
                <w14:textFill>
                  <w14:solidFill>
                    <w14:schemeClr w14:val="tx1"/>
                  </w14:solidFill>
                </w14:textFill>
              </w:rPr>
              <w:t>高安市工业园污水处理厂</w:t>
            </w:r>
            <w:r>
              <w:rPr>
                <w:rFonts w:hint="eastAsia" w:ascii="宋体" w:hAnsi="宋体" w:cs="宋体"/>
                <w:color w:val="000000" w:themeColor="text1"/>
                <w:kern w:val="0"/>
                <w:sz w:val="24"/>
                <w:szCs w:val="24"/>
                <w:lang w:val="en-US" w:eastAsia="zh-CN" w:bidi="ar"/>
                <w14:textFill>
                  <w14:solidFill>
                    <w14:schemeClr w14:val="tx1"/>
                  </w14:solidFill>
                </w14:textFill>
              </w:rPr>
              <w:t>接管范围内</w:t>
            </w:r>
            <w:r>
              <w:rPr>
                <w:rFonts w:hint="eastAsia" w:cs="Times New Roman"/>
                <w:caps w:val="0"/>
                <w:smallCaps w:val="0"/>
                <w:color w:val="000000" w:themeColor="text1"/>
                <w:kern w:val="0"/>
                <w:sz w:val="24"/>
                <w:szCs w:val="24"/>
                <w:highlight w:val="none"/>
                <w:lang w:eastAsia="zh-CN"/>
                <w14:textFill>
                  <w14:solidFill>
                    <w14:schemeClr w14:val="tx1"/>
                  </w14:solidFill>
                </w14:textFill>
              </w:rPr>
              <w:t>（</w:t>
            </w:r>
            <w:r>
              <w:rPr>
                <w:rFonts w:hint="eastAsia" w:cs="Times New Roman"/>
                <w:caps w:val="0"/>
                <w:smallCaps w:val="0"/>
                <w:color w:val="000000" w:themeColor="text1"/>
                <w:kern w:val="0"/>
                <w:sz w:val="24"/>
                <w:szCs w:val="24"/>
                <w:highlight w:val="none"/>
                <w:lang w:val="en-US" w:eastAsia="zh-CN"/>
                <w14:textFill>
                  <w14:solidFill>
                    <w14:schemeClr w14:val="tx1"/>
                  </w14:solidFill>
                </w14:textFill>
              </w:rPr>
              <w:t>见附图十一</w:t>
            </w:r>
            <w:r>
              <w:rPr>
                <w:rFonts w:hint="eastAsia" w:cs="Times New Roman"/>
                <w:caps w:val="0"/>
                <w:smallCaps w:val="0"/>
                <w:color w:val="000000" w:themeColor="text1"/>
                <w:kern w:val="0"/>
                <w:sz w:val="24"/>
                <w:szCs w:val="24"/>
                <w:highlight w:val="none"/>
                <w:lang w:eastAsia="zh-CN"/>
                <w14:textFill>
                  <w14:solidFill>
                    <w14:schemeClr w14:val="tx1"/>
                  </w14:solidFill>
                </w14:textFill>
              </w:rPr>
              <w:t>）</w:t>
            </w:r>
            <w:r>
              <w:rPr>
                <w:rFonts w:hint="eastAsia" w:ascii="宋体" w:hAnsi="宋体" w:cs="宋体"/>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caps w:val="0"/>
                <w:smallCaps w:val="0"/>
                <w:color w:val="000000" w:themeColor="text1"/>
                <w:kern w:val="0"/>
                <w:sz w:val="24"/>
                <w:szCs w:val="24"/>
                <w:highlight w:val="none"/>
                <w14:textFill>
                  <w14:solidFill>
                    <w14:schemeClr w14:val="tx1"/>
                  </w14:solidFill>
                </w14:textFill>
              </w:rPr>
              <w:t>本项目接管可行。</w:t>
            </w:r>
            <w:r>
              <w:rPr>
                <w:rFonts w:hint="eastAsia"/>
                <w:color w:val="000000" w:themeColor="text1"/>
                <w:highlight w:val="none"/>
                <w:lang w:val="en-US" w:eastAsia="zh-CN"/>
                <w14:textFill>
                  <w14:solidFill>
                    <w14:schemeClr w14:val="tx1"/>
                  </w14:solidFill>
                </w14:textFill>
              </w:rPr>
              <w:t>项目生活污水采取“化粪池”措施处理后由园区污水管网排入</w:t>
            </w:r>
            <w:r>
              <w:rPr>
                <w:rFonts w:hint="eastAsia"/>
                <w:bCs/>
                <w:color w:val="000000" w:themeColor="text1"/>
                <w:lang w:val="en-US" w:eastAsia="zh-CN"/>
                <w14:textFill>
                  <w14:solidFill>
                    <w14:schemeClr w14:val="tx1"/>
                  </w14:solidFill>
                </w14:textFill>
              </w:rPr>
              <w:t>高安市工业园污水处理厂（新世纪产业园污水处理厂）处理，尾水排入锦江</w:t>
            </w:r>
            <w:r>
              <w:rPr>
                <w:rFonts w:hint="eastAsia"/>
                <w:color w:val="000000" w:themeColor="text1"/>
                <w:highlight w:val="none"/>
                <w:lang w:val="en-US" w:eastAsia="zh-CN"/>
                <w14:textFill>
                  <w14:solidFill>
                    <w14:schemeClr w14:val="tx1"/>
                  </w14:solidFill>
                </w14:textFill>
              </w:rPr>
              <w:t>。项目厂区总排放口废水污染物浓度能够满足</w:t>
            </w:r>
            <w:r>
              <w:rPr>
                <w:rFonts w:hint="eastAsia"/>
                <w:bCs/>
                <w:color w:val="000000" w:themeColor="text1"/>
                <w:lang w:val="en-US" w:eastAsia="zh-CN"/>
                <w14:textFill>
                  <w14:solidFill>
                    <w14:schemeClr w14:val="tx1"/>
                  </w14:solidFill>
                </w14:textFill>
              </w:rPr>
              <w:t>高安市工业园污水处理厂</w:t>
            </w:r>
            <w:r>
              <w:rPr>
                <w:rFonts w:hint="eastAsia"/>
                <w:color w:val="000000" w:themeColor="text1"/>
                <w:highlight w:val="none"/>
                <w:lang w:val="en-US" w:eastAsia="zh-CN"/>
                <w14:textFill>
                  <w14:solidFill>
                    <w14:schemeClr w14:val="tx1"/>
                  </w14:solidFill>
                </w14:textFill>
              </w:rPr>
              <w:t>接管标准要求。</w:t>
            </w:r>
            <w:r>
              <w:rPr>
                <w:rFonts w:hint="eastAsia"/>
                <w:color w:val="000000" w:themeColor="text1"/>
                <w14:textFill>
                  <w14:solidFill>
                    <w14:schemeClr w14:val="tx1"/>
                  </w14:solidFill>
                </w14:textFill>
              </w:rPr>
              <w:t>项目废水排放量</w:t>
            </w:r>
            <w:r>
              <w:rPr>
                <w:rFonts w:hint="eastAsia"/>
                <w:color w:val="000000" w:themeColor="text1"/>
                <w:lang w:val="en-US" w:eastAsia="zh-CN"/>
                <w14:textFill>
                  <w14:solidFill>
                    <w14:schemeClr w14:val="tx1"/>
                  </w14:solidFill>
                </w14:textFill>
              </w:rPr>
              <w:t>7.28</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/d，占比较小，</w:t>
            </w:r>
            <w:r>
              <w:rPr>
                <w:rFonts w:hint="eastAsia" w:ascii="Times New Roman" w:hAnsi="Times New Roman" w:eastAsia="宋体" w:cs="Times New Roman"/>
                <w:caps w:val="0"/>
                <w:smallCaps w:val="0"/>
                <w:color w:val="000000" w:themeColor="text1"/>
                <w:kern w:val="0"/>
                <w:sz w:val="24"/>
                <w:szCs w:val="24"/>
                <w:highlight w:val="none"/>
                <w14:textFill>
                  <w14:solidFill>
                    <w14:schemeClr w14:val="tx1"/>
                  </w14:solidFill>
                </w14:textFill>
              </w:rPr>
              <w:t>因此从处理规模上</w:t>
            </w:r>
            <w:r>
              <w:rPr>
                <w:rFonts w:hint="eastAsia"/>
                <w:color w:val="000000" w:themeColor="text1"/>
                <w14:textFill>
                  <w14:solidFill>
                    <w14:schemeClr w14:val="tx1"/>
                  </w14:solidFill>
                </w14:textFill>
              </w:rPr>
              <w:t>高安市工业园污水处理厂</w:t>
            </w:r>
            <w:r>
              <w:rPr>
                <w:rFonts w:hint="eastAsia" w:ascii="Times New Roman" w:hAnsi="Times New Roman" w:eastAsia="宋体" w:cs="Times New Roman"/>
                <w:caps w:val="0"/>
                <w:smallCaps w:val="0"/>
                <w:color w:val="000000" w:themeColor="text1"/>
                <w:kern w:val="0"/>
                <w:sz w:val="24"/>
                <w:szCs w:val="24"/>
                <w:highlight w:val="none"/>
                <w14:textFill>
                  <w14:solidFill>
                    <w14:schemeClr w14:val="tx1"/>
                  </w14:solidFill>
                </w14:textFill>
              </w:rPr>
              <w:t>可以满足本项目需求</w:t>
            </w:r>
            <w:r>
              <w:rPr>
                <w:rFonts w:hint="eastAsia" w:cs="Times New Roman"/>
                <w:caps w:val="0"/>
                <w:smallCaps w:val="0"/>
                <w:color w:val="000000" w:themeColor="text1"/>
                <w:kern w:val="0"/>
                <w:sz w:val="24"/>
                <w:szCs w:val="24"/>
                <w:highlight w:val="none"/>
                <w:lang w:eastAsia="zh-CN"/>
                <w14:textFill>
                  <w14:solidFill>
                    <w14:schemeClr w14:val="tx1"/>
                  </w14:solidFill>
                </w14:textFill>
              </w:rPr>
              <w:t>。</w:t>
            </w:r>
            <w:r>
              <w:rPr>
                <w:rFonts w:hint="eastAsia"/>
                <w:color w:val="000000" w:themeColor="text1"/>
                <w14:textFill>
                  <w14:solidFill>
                    <w14:schemeClr w14:val="tx1"/>
                  </w14:solidFill>
                </w14:textFill>
              </w:rPr>
              <w:t>因此</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项目</w:t>
            </w:r>
            <w:r>
              <w:rPr>
                <w:rFonts w:hint="eastAsia"/>
                <w:color w:val="000000" w:themeColor="text1"/>
                <w14:textFill>
                  <w14:solidFill>
                    <w14:schemeClr w14:val="tx1"/>
                  </w14:solidFill>
                </w14:textFill>
              </w:rPr>
              <w:t>生活污水</w:t>
            </w:r>
            <w:r>
              <w:rPr>
                <w:rFonts w:hint="eastAsia"/>
                <w:color w:val="000000" w:themeColor="text1"/>
                <w:lang w:val="en-US" w:eastAsia="zh-CN"/>
                <w14:textFill>
                  <w14:solidFill>
                    <w14:schemeClr w14:val="tx1"/>
                  </w14:solidFill>
                </w14:textFill>
              </w:rPr>
              <w:t>排入</w:t>
            </w:r>
            <w:r>
              <w:rPr>
                <w:rFonts w:hint="eastAsia"/>
                <w:color w:val="000000" w:themeColor="text1"/>
                <w14:textFill>
                  <w14:solidFill>
                    <w14:schemeClr w14:val="tx1"/>
                  </w14:solidFill>
                </w14:textFill>
              </w:rPr>
              <w:t>高安市工业园污水处理厂</w:t>
            </w:r>
            <w:r>
              <w:rPr>
                <w:rFonts w:hint="eastAsia"/>
                <w:color w:val="000000" w:themeColor="text1"/>
                <w:lang w:val="en-US" w:eastAsia="zh-CN"/>
                <w14:textFill>
                  <w14:solidFill>
                    <w14:schemeClr w14:val="tx1"/>
                  </w14:solidFill>
                </w14:textFill>
              </w:rPr>
              <w:t>处理是</w:t>
            </w:r>
            <w:r>
              <w:rPr>
                <w:rFonts w:hint="eastAsia"/>
                <w:color w:val="000000" w:themeColor="text1"/>
                <w14:textFill>
                  <w14:solidFill>
                    <w14:schemeClr w14:val="tx1"/>
                  </w14:solidFill>
                </w14:textFill>
              </w:rPr>
              <w:t>可行</w:t>
            </w:r>
            <w:r>
              <w:rPr>
                <w:rFonts w:hint="eastAsia"/>
                <w:color w:val="000000" w:themeColor="text1"/>
                <w:lang w:val="en-US" w:eastAsia="zh-CN"/>
                <w14:textFill>
                  <w14:solidFill>
                    <w14:schemeClr w14:val="tx1"/>
                  </w14:solidFill>
                </w14:textFill>
              </w:rPr>
              <w:t>的</w:t>
            </w:r>
            <w:r>
              <w:rPr>
                <w:rFonts w:hint="eastAsia"/>
                <w:color w:val="000000" w:themeColor="text1"/>
                <w14:textFill>
                  <w14:solidFill>
                    <w14:schemeClr w14:val="tx1"/>
                  </w14:solidFill>
                </w14:textFill>
              </w:rPr>
              <w:t>。</w:t>
            </w:r>
          </w:p>
          <w:p w14:paraId="2DF403C4">
            <w:pPr>
              <w:ind w:firstLine="482"/>
              <w:rPr>
                <w:b/>
                <w:bCs/>
                <w:color w:val="000000" w:themeColor="text1"/>
                <w14:textFill>
                  <w14:solidFill>
                    <w14:schemeClr w14:val="tx1"/>
                  </w14:solidFill>
                </w14:textFill>
              </w:rPr>
            </w:pPr>
            <w:r>
              <w:rPr>
                <w:b/>
                <w:bCs/>
                <w:color w:val="000000" w:themeColor="text1"/>
                <w14:textFill>
                  <w14:solidFill>
                    <w14:schemeClr w14:val="tx1"/>
                  </w14:solidFill>
                </w14:textFill>
              </w:rPr>
              <w:t>三、噪声</w:t>
            </w:r>
          </w:p>
          <w:p w14:paraId="21C3C7E8">
            <w:pPr>
              <w:ind w:firstLine="482"/>
              <w:rPr>
                <w:rFonts w:hint="eastAsia" w:eastAsia="宋体"/>
                <w:b/>
                <w:bCs/>
                <w:color w:val="000000" w:themeColor="text1"/>
                <w:lang w:val="en-US" w:eastAsia="zh-CN"/>
                <w14:textFill>
                  <w14:solidFill>
                    <w14:schemeClr w14:val="tx1"/>
                  </w14:solidFill>
                </w14:textFill>
              </w:rPr>
            </w:pPr>
            <w:r>
              <w:rPr>
                <w:b/>
                <w:bCs/>
                <w:color w:val="000000" w:themeColor="text1"/>
                <w14:textFill>
                  <w14:solidFill>
                    <w14:schemeClr w14:val="tx1"/>
                  </w14:solidFill>
                </w14:textFill>
              </w:rPr>
              <w:t>1、</w:t>
            </w:r>
            <w:r>
              <w:rPr>
                <w:rFonts w:hint="eastAsia"/>
                <w:b/>
                <w:bCs/>
                <w:color w:val="000000" w:themeColor="text1"/>
                <w14:textFill>
                  <w14:solidFill>
                    <w14:schemeClr w14:val="tx1"/>
                  </w14:solidFill>
                </w14:textFill>
              </w:rPr>
              <w:t>噪声污染源</w:t>
            </w:r>
            <w:r>
              <w:rPr>
                <w:rFonts w:hint="eastAsia"/>
                <w:b/>
                <w:bCs/>
                <w:color w:val="000000" w:themeColor="text1"/>
                <w:lang w:val="en-US" w:eastAsia="zh-CN"/>
                <w14:textFill>
                  <w14:solidFill>
                    <w14:schemeClr w14:val="tx1"/>
                  </w14:solidFill>
                </w14:textFill>
              </w:rPr>
              <w:t>强</w:t>
            </w:r>
          </w:p>
          <w:p w14:paraId="15F8FE54">
            <w:pPr>
              <w:ind w:firstLine="480"/>
              <w:rPr>
                <w:rFonts w:hint="eastAsia"/>
                <w:color w:val="000000" w:themeColor="text1"/>
                <w14:textFill>
                  <w14:solidFill>
                    <w14:schemeClr w14:val="tx1"/>
                  </w14:solidFill>
                </w14:textFill>
              </w:rPr>
            </w:pPr>
            <w:r>
              <w:rPr>
                <w:bCs/>
                <w:color w:val="000000" w:themeColor="text1"/>
                <w14:textFill>
                  <w14:solidFill>
                    <w14:schemeClr w14:val="tx1"/>
                  </w14:solidFill>
                </w14:textFill>
              </w:rPr>
              <w:t>营运期主要噪声污染源为各类生产设备运行时产生的噪声</w:t>
            </w:r>
            <w:r>
              <w:rPr>
                <w:rFonts w:hint="eastAsia"/>
                <w:bCs/>
                <w:color w:val="000000" w:themeColor="text1"/>
                <w:lang w:eastAsia="zh-CN"/>
                <w14:textFill>
                  <w14:solidFill>
                    <w14:schemeClr w14:val="tx1"/>
                  </w14:solidFill>
                </w14:textFill>
              </w:rPr>
              <w:t>，</w:t>
            </w:r>
            <w:r>
              <w:rPr>
                <w:rFonts w:hint="eastAsia"/>
                <w:bCs/>
                <w:color w:val="000000" w:themeColor="text1"/>
                <w:lang w:val="en-US" w:eastAsia="zh-CN"/>
                <w14:textFill>
                  <w14:solidFill>
                    <w14:schemeClr w14:val="tx1"/>
                  </w14:solidFill>
                </w14:textFill>
              </w:rPr>
              <w:t>主要包括</w:t>
            </w:r>
            <w:r>
              <w:rPr>
                <w:rFonts w:hint="eastAsia"/>
                <w:color w:val="000000" w:themeColor="text1"/>
                <w:kern w:val="0"/>
                <w:szCs w:val="20"/>
                <w14:textFill>
                  <w14:solidFill>
                    <w14:schemeClr w14:val="tx1"/>
                  </w14:solidFill>
                </w14:textFill>
              </w:rPr>
              <w:t>搅浆机、真空泵、真空机、空压机等，根据同类设备的资料调查可知，噪声源强在</w:t>
            </w:r>
            <w:r>
              <w:rPr>
                <w:rFonts w:hint="eastAsia"/>
                <w:color w:val="000000" w:themeColor="text1"/>
                <w:kern w:val="0"/>
                <w:szCs w:val="20"/>
                <w:lang w:val="en-US" w:eastAsia="zh-CN"/>
                <w14:textFill>
                  <w14:solidFill>
                    <w14:schemeClr w14:val="tx1"/>
                  </w14:solidFill>
                </w14:textFill>
              </w:rPr>
              <w:t>75</w:t>
            </w:r>
            <w:r>
              <w:rPr>
                <w:rFonts w:hint="eastAsia"/>
                <w:color w:val="000000" w:themeColor="text1"/>
                <w:kern w:val="0"/>
                <w:szCs w:val="20"/>
                <w14:textFill>
                  <w14:solidFill>
                    <w14:schemeClr w14:val="tx1"/>
                  </w14:solidFill>
                </w14:textFill>
              </w:rPr>
              <w:t>dB（A）~</w:t>
            </w:r>
            <w:r>
              <w:rPr>
                <w:rFonts w:hint="eastAsia"/>
                <w:color w:val="000000" w:themeColor="text1"/>
                <w:kern w:val="0"/>
                <w:szCs w:val="20"/>
                <w:lang w:val="en-US" w:eastAsia="zh-CN"/>
                <w14:textFill>
                  <w14:solidFill>
                    <w14:schemeClr w14:val="tx1"/>
                  </w14:solidFill>
                </w14:textFill>
              </w:rPr>
              <w:t>85</w:t>
            </w:r>
            <w:r>
              <w:rPr>
                <w:rFonts w:hint="eastAsia"/>
                <w:color w:val="000000" w:themeColor="text1"/>
                <w:kern w:val="0"/>
                <w:szCs w:val="20"/>
                <w14:textFill>
                  <w14:solidFill>
                    <w14:schemeClr w14:val="tx1"/>
                  </w14:solidFill>
                </w14:textFill>
              </w:rPr>
              <w:t>dB（A），项目主要设备噪声源强、防治措施见表</w:t>
            </w:r>
            <w:r>
              <w:rPr>
                <w:rFonts w:hint="eastAsia"/>
                <w:color w:val="000000" w:themeColor="text1"/>
                <w14:textFill>
                  <w14:solidFill>
                    <w14:schemeClr w14:val="tx1"/>
                  </w14:solidFill>
                </w14:textFill>
              </w:rPr>
              <w:t>如下：</w:t>
            </w:r>
          </w:p>
          <w:p w14:paraId="3F1029BE">
            <w:pPr>
              <w:pStyle w:val="57"/>
              <w:numPr>
                <w:ilvl w:val="3"/>
                <w:numId w:val="19"/>
              </w:numPr>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项目噪声源一览</w:t>
            </w:r>
            <w:r>
              <w:rPr>
                <w:color w:val="000000" w:themeColor="text1"/>
                <w:lang w:eastAsia="zh-CN"/>
                <w14:textFill>
                  <w14:solidFill>
                    <w14:schemeClr w14:val="tx1"/>
                  </w14:solidFill>
                </w14:textFill>
              </w:rPr>
              <w:t>表</w:t>
            </w:r>
          </w:p>
          <w:tbl>
            <w:tblPr>
              <w:tblStyle w:val="37"/>
              <w:tblW w:w="495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59"/>
              <w:gridCol w:w="1544"/>
              <w:gridCol w:w="1544"/>
              <w:gridCol w:w="1544"/>
              <w:gridCol w:w="1544"/>
              <w:gridCol w:w="1210"/>
              <w:gridCol w:w="1274"/>
              <w:gridCol w:w="1198"/>
              <w:gridCol w:w="1416"/>
            </w:tblGrid>
            <w:tr w14:paraId="450A5B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1" w:hRule="atLeast"/>
                <w:jc w:val="center"/>
              </w:trPr>
              <w:tc>
                <w:tcPr>
                  <w:tcW w:w="429" w:type="pct"/>
                  <w:noWrap w:val="0"/>
                  <w:vAlign w:val="center"/>
                </w:tcPr>
                <w:p w14:paraId="0C1B3BD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cs="Times New Roman"/>
                      <w:b/>
                      <w:color w:val="000000" w:themeColor="text1"/>
                      <w:kern w:val="0"/>
                      <w:sz w:val="21"/>
                      <w:szCs w:val="21"/>
                      <w:highlight w:val="none"/>
                      <w:lang w:val="en-US" w:eastAsia="zh-CN"/>
                      <w14:textFill>
                        <w14:solidFill>
                          <w14:schemeClr w14:val="tx1"/>
                        </w14:solidFill>
                      </w14:textFill>
                    </w:rPr>
                  </w:pPr>
                  <w:r>
                    <w:rPr>
                      <w:rFonts w:hint="eastAsia" w:cs="Times New Roman"/>
                      <w:b/>
                      <w:color w:val="000000" w:themeColor="text1"/>
                      <w:kern w:val="0"/>
                      <w:sz w:val="21"/>
                      <w:szCs w:val="21"/>
                      <w:highlight w:val="none"/>
                      <w:lang w:val="en-US" w:eastAsia="zh-CN"/>
                      <w14:textFill>
                        <w14:solidFill>
                          <w14:schemeClr w14:val="tx1"/>
                        </w14:solidFill>
                      </w14:textFill>
                    </w:rPr>
                    <w:t>声源</w:t>
                  </w:r>
                </w:p>
                <w:p w14:paraId="660E93C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cs="Times New Roman"/>
                      <w:b/>
                      <w:color w:val="000000" w:themeColor="text1"/>
                      <w:kern w:val="0"/>
                      <w:sz w:val="21"/>
                      <w:szCs w:val="21"/>
                      <w:highlight w:val="none"/>
                      <w:lang w:val="en-US" w:eastAsia="zh-CN"/>
                      <w14:textFill>
                        <w14:solidFill>
                          <w14:schemeClr w14:val="tx1"/>
                        </w14:solidFill>
                      </w14:textFill>
                    </w:rPr>
                    <w:t>位置</w:t>
                  </w:r>
                </w:p>
              </w:tc>
              <w:tc>
                <w:tcPr>
                  <w:tcW w:w="625" w:type="pct"/>
                  <w:noWrap w:val="0"/>
                  <w:vAlign w:val="center"/>
                </w:tcPr>
                <w:p w14:paraId="09EC607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cs="Times New Roman"/>
                      <w:b/>
                      <w:color w:val="000000" w:themeColor="text1"/>
                      <w:kern w:val="0"/>
                      <w:sz w:val="21"/>
                      <w:szCs w:val="21"/>
                      <w:highlight w:val="none"/>
                      <w:lang w:val="en-US" w:eastAsia="zh-CN"/>
                      <w14:textFill>
                        <w14:solidFill>
                          <w14:schemeClr w14:val="tx1"/>
                        </w14:solidFill>
                      </w14:textFill>
                    </w:rPr>
                    <w:t>设备名称</w:t>
                  </w:r>
                </w:p>
              </w:tc>
              <w:tc>
                <w:tcPr>
                  <w:tcW w:w="625" w:type="pct"/>
                  <w:tcBorders>
                    <w:right w:val="single" w:color="auto" w:sz="4" w:space="0"/>
                  </w:tcBorders>
                  <w:noWrap w:val="0"/>
                  <w:vAlign w:val="center"/>
                </w:tcPr>
                <w:p w14:paraId="6B7D4BB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b/>
                      <w:color w:val="000000" w:themeColor="text1"/>
                      <w:kern w:val="0"/>
                      <w:sz w:val="21"/>
                      <w:szCs w:val="21"/>
                      <w:highlight w:val="none"/>
                      <w:lang w:val="en-US" w:eastAsia="zh-CN"/>
                      <w14:textFill>
                        <w14:solidFill>
                          <w14:schemeClr w14:val="tx1"/>
                        </w14:solidFill>
                      </w14:textFill>
                    </w:rPr>
                  </w:pPr>
                  <w:r>
                    <w:rPr>
                      <w:rFonts w:hint="eastAsia" w:cs="Times New Roman"/>
                      <w:b/>
                      <w:color w:val="000000" w:themeColor="text1"/>
                      <w:kern w:val="0"/>
                      <w:sz w:val="21"/>
                      <w:szCs w:val="21"/>
                      <w:highlight w:val="none"/>
                      <w:lang w:val="en-US" w:eastAsia="zh-CN"/>
                      <w14:textFill>
                        <w14:solidFill>
                          <w14:schemeClr w14:val="tx1"/>
                        </w14:solidFill>
                      </w14:textFill>
                    </w:rPr>
                    <w:t>型号</w:t>
                  </w:r>
                </w:p>
              </w:tc>
              <w:tc>
                <w:tcPr>
                  <w:tcW w:w="625" w:type="pct"/>
                  <w:tcBorders>
                    <w:left w:val="single" w:color="auto" w:sz="4" w:space="0"/>
                  </w:tcBorders>
                  <w:noWrap w:val="0"/>
                  <w:vAlign w:val="center"/>
                </w:tcPr>
                <w:p w14:paraId="09CE704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eastAsia="宋体" w:cs="Times New Roman"/>
                      <w:b/>
                      <w:color w:val="000000" w:themeColor="text1"/>
                      <w:kern w:val="0"/>
                      <w:sz w:val="21"/>
                      <w:szCs w:val="21"/>
                      <w:highlight w:val="none"/>
                      <w:lang w:val="en-US" w:eastAsia="zh-CN"/>
                      <w14:textFill>
                        <w14:solidFill>
                          <w14:schemeClr w14:val="tx1"/>
                        </w14:solidFill>
                      </w14:textFill>
                    </w:rPr>
                    <w:t>数量（台/套）</w:t>
                  </w:r>
                </w:p>
              </w:tc>
              <w:tc>
                <w:tcPr>
                  <w:tcW w:w="625" w:type="pct"/>
                  <w:noWrap w:val="0"/>
                  <w:vAlign w:val="center"/>
                </w:tcPr>
                <w:p w14:paraId="35BD8E3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eastAsia="宋体" w:cs="Times New Roman"/>
                      <w:b/>
                      <w:color w:val="000000" w:themeColor="text1"/>
                      <w:kern w:val="0"/>
                      <w:sz w:val="21"/>
                      <w:szCs w:val="21"/>
                      <w:highlight w:val="none"/>
                      <w:lang w:val="en-US" w:eastAsia="zh-CN"/>
                      <w14:textFill>
                        <w14:solidFill>
                          <w14:schemeClr w14:val="tx1"/>
                        </w14:solidFill>
                      </w14:textFill>
                    </w:rPr>
                    <w:t>单台源强dB(A)</w:t>
                  </w:r>
                </w:p>
              </w:tc>
              <w:tc>
                <w:tcPr>
                  <w:tcW w:w="490" w:type="pct"/>
                  <w:noWrap w:val="0"/>
                  <w:vAlign w:val="center"/>
                </w:tcPr>
                <w:p w14:paraId="5BC600B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eastAsia="宋体" w:cs="Times New Roman"/>
                      <w:b/>
                      <w:color w:val="000000" w:themeColor="text1"/>
                      <w:kern w:val="0"/>
                      <w:sz w:val="21"/>
                      <w:szCs w:val="21"/>
                      <w:highlight w:val="none"/>
                      <w:lang w:val="en-US" w:eastAsia="zh-CN"/>
                      <w14:textFill>
                        <w14:solidFill>
                          <w14:schemeClr w14:val="tx1"/>
                        </w14:solidFill>
                      </w14:textFill>
                    </w:rPr>
                    <w:t>叠加源强dB(A)</w:t>
                  </w:r>
                </w:p>
              </w:tc>
              <w:tc>
                <w:tcPr>
                  <w:tcW w:w="516" w:type="pct"/>
                  <w:noWrap w:val="0"/>
                  <w:vAlign w:val="center"/>
                </w:tcPr>
                <w:p w14:paraId="63BA878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eastAsia="宋体" w:cs="Times New Roman"/>
                      <w:b/>
                      <w:color w:val="000000" w:themeColor="text1"/>
                      <w:kern w:val="0"/>
                      <w:sz w:val="21"/>
                      <w:szCs w:val="21"/>
                      <w:highlight w:val="none"/>
                      <w:lang w:val="en-US" w:eastAsia="zh-CN"/>
                      <w14:textFill>
                        <w14:solidFill>
                          <w14:schemeClr w14:val="tx1"/>
                        </w14:solidFill>
                      </w14:textFill>
                    </w:rPr>
                    <w:t>声源类型</w:t>
                  </w:r>
                </w:p>
              </w:tc>
              <w:tc>
                <w:tcPr>
                  <w:tcW w:w="485" w:type="pct"/>
                  <w:tcBorders>
                    <w:right w:val="single" w:color="auto" w:sz="4" w:space="0"/>
                  </w:tcBorders>
                  <w:noWrap w:val="0"/>
                  <w:vAlign w:val="center"/>
                </w:tcPr>
                <w:p w14:paraId="67E92FF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eastAsia="宋体" w:cs="Times New Roman"/>
                      <w:b/>
                      <w:color w:val="000000" w:themeColor="text1"/>
                      <w:kern w:val="0"/>
                      <w:sz w:val="21"/>
                      <w:szCs w:val="21"/>
                      <w:highlight w:val="none"/>
                      <w:lang w:val="en-US" w:eastAsia="zh-CN"/>
                      <w14:textFill>
                        <w14:solidFill>
                          <w14:schemeClr w14:val="tx1"/>
                        </w14:solidFill>
                      </w14:textFill>
                    </w:rPr>
                    <w:t>治理措施</w:t>
                  </w:r>
                </w:p>
              </w:tc>
              <w:tc>
                <w:tcPr>
                  <w:tcW w:w="574" w:type="pct"/>
                  <w:tcBorders>
                    <w:left w:val="single" w:color="auto" w:sz="4" w:space="0"/>
                  </w:tcBorders>
                  <w:noWrap w:val="0"/>
                  <w:vAlign w:val="center"/>
                </w:tcPr>
                <w:p w14:paraId="4001C0F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b/>
                      <w:color w:val="000000" w:themeColor="text1"/>
                      <w:kern w:val="0"/>
                      <w:sz w:val="21"/>
                      <w:szCs w:val="21"/>
                      <w:highlight w:val="none"/>
                      <w:lang w:val="en-US" w:eastAsia="zh-CN"/>
                      <w14:textFill>
                        <w14:solidFill>
                          <w14:schemeClr w14:val="tx1"/>
                        </w14:solidFill>
                      </w14:textFill>
                    </w:rPr>
                  </w:pPr>
                  <w:r>
                    <w:rPr>
                      <w:rFonts w:hint="eastAsia" w:cs="Times New Roman"/>
                      <w:b/>
                      <w:color w:val="000000" w:themeColor="text1"/>
                      <w:kern w:val="0"/>
                      <w:sz w:val="21"/>
                      <w:szCs w:val="21"/>
                      <w:highlight w:val="none"/>
                      <w:lang w:val="en-US" w:eastAsia="zh-CN"/>
                      <w14:textFill>
                        <w14:solidFill>
                          <w14:schemeClr w14:val="tx1"/>
                        </w14:solidFill>
                      </w14:textFill>
                    </w:rPr>
                    <w:t>经治理后源强</w:t>
                  </w:r>
                  <w:r>
                    <w:rPr>
                      <w:rFonts w:hint="eastAsia" w:eastAsia="宋体" w:cs="Times New Roman"/>
                      <w:b/>
                      <w:color w:val="000000" w:themeColor="text1"/>
                      <w:kern w:val="0"/>
                      <w:sz w:val="21"/>
                      <w:szCs w:val="21"/>
                      <w:highlight w:val="none"/>
                      <w:lang w:val="en-US" w:eastAsia="zh-CN"/>
                      <w14:textFill>
                        <w14:solidFill>
                          <w14:schemeClr w14:val="tx1"/>
                        </w14:solidFill>
                      </w14:textFill>
                    </w:rPr>
                    <w:t>dB(A)</w:t>
                  </w:r>
                </w:p>
              </w:tc>
            </w:tr>
            <w:tr w14:paraId="3B18BA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1" w:hRule="atLeast"/>
                <w:jc w:val="center"/>
              </w:trPr>
              <w:tc>
                <w:tcPr>
                  <w:tcW w:w="429" w:type="pct"/>
                  <w:vMerge w:val="restart"/>
                  <w:noWrap w:val="0"/>
                  <w:vAlign w:val="center"/>
                </w:tcPr>
                <w:p w14:paraId="5A1E45F0">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标准厂房</w:t>
                  </w:r>
                </w:p>
              </w:tc>
              <w:tc>
                <w:tcPr>
                  <w:tcW w:w="625" w:type="pct"/>
                  <w:shd w:val="clear" w:color="auto" w:fill="auto"/>
                  <w:noWrap w:val="0"/>
                  <w:vAlign w:val="center"/>
                </w:tcPr>
                <w:p w14:paraId="0347B9D7">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搅浆机</w:t>
                  </w:r>
                </w:p>
              </w:tc>
              <w:tc>
                <w:tcPr>
                  <w:tcW w:w="625" w:type="pct"/>
                  <w:tcBorders>
                    <w:right w:val="single" w:color="auto" w:sz="4" w:space="0"/>
                  </w:tcBorders>
                  <w:shd w:val="clear" w:color="auto" w:fill="auto"/>
                  <w:noWrap w:val="0"/>
                  <w:vAlign w:val="center"/>
                </w:tcPr>
                <w:p w14:paraId="20E207D6">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JZM100</w:t>
                  </w:r>
                </w:p>
              </w:tc>
              <w:tc>
                <w:tcPr>
                  <w:tcW w:w="625" w:type="pct"/>
                  <w:tcBorders>
                    <w:left w:val="single" w:color="auto" w:sz="4" w:space="0"/>
                  </w:tcBorders>
                  <w:shd w:val="clear" w:color="auto" w:fill="auto"/>
                  <w:noWrap w:val="0"/>
                  <w:vAlign w:val="center"/>
                </w:tcPr>
                <w:p w14:paraId="71C10BC5">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2</w:t>
                  </w:r>
                </w:p>
              </w:tc>
              <w:tc>
                <w:tcPr>
                  <w:tcW w:w="625" w:type="pct"/>
                  <w:noWrap w:val="0"/>
                  <w:vAlign w:val="center"/>
                </w:tcPr>
                <w:p w14:paraId="3C9ED8F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w:t>
                  </w:r>
                </w:p>
              </w:tc>
              <w:tc>
                <w:tcPr>
                  <w:tcW w:w="490" w:type="pct"/>
                  <w:noWrap w:val="0"/>
                  <w:vAlign w:val="center"/>
                </w:tcPr>
                <w:p w14:paraId="3ABB22C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78</w:t>
                  </w:r>
                </w:p>
              </w:tc>
              <w:tc>
                <w:tcPr>
                  <w:tcW w:w="516" w:type="pct"/>
                  <w:vMerge w:val="restart"/>
                  <w:noWrap w:val="0"/>
                  <w:vAlign w:val="center"/>
                </w:tcPr>
                <w:p w14:paraId="66422A4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室内声源</w:t>
                  </w:r>
                </w:p>
              </w:tc>
              <w:tc>
                <w:tcPr>
                  <w:tcW w:w="485" w:type="pct"/>
                  <w:vMerge w:val="restart"/>
                  <w:tcBorders>
                    <w:right w:val="single" w:color="auto" w:sz="4" w:space="0"/>
                  </w:tcBorders>
                  <w:noWrap w:val="0"/>
                  <w:vAlign w:val="center"/>
                </w:tcPr>
                <w:p w14:paraId="1E25EA3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隔声、减振、吸声等措施</w:t>
                  </w:r>
                </w:p>
              </w:tc>
              <w:tc>
                <w:tcPr>
                  <w:tcW w:w="574" w:type="pct"/>
                  <w:tcBorders>
                    <w:left w:val="single" w:color="auto" w:sz="4" w:space="0"/>
                  </w:tcBorders>
                  <w:noWrap w:val="0"/>
                  <w:vAlign w:val="center"/>
                </w:tcPr>
                <w:p w14:paraId="4C0B589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53</w:t>
                  </w:r>
                </w:p>
              </w:tc>
            </w:tr>
            <w:tr w14:paraId="5621D4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1" w:hRule="atLeast"/>
                <w:jc w:val="center"/>
              </w:trPr>
              <w:tc>
                <w:tcPr>
                  <w:tcW w:w="429" w:type="pct"/>
                  <w:vMerge w:val="continue"/>
                  <w:noWrap w:val="0"/>
                  <w:vAlign w:val="center"/>
                </w:tcPr>
                <w:p w14:paraId="5D78AD3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color w:val="000000" w:themeColor="text1"/>
                      <w:kern w:val="0"/>
                      <w:sz w:val="21"/>
                      <w:szCs w:val="21"/>
                      <w:highlight w:val="none"/>
                      <w:lang w:val="en-US" w:eastAsia="zh-CN"/>
                      <w14:textFill>
                        <w14:solidFill>
                          <w14:schemeClr w14:val="tx1"/>
                        </w14:solidFill>
                      </w14:textFill>
                    </w:rPr>
                  </w:pPr>
                </w:p>
              </w:tc>
              <w:tc>
                <w:tcPr>
                  <w:tcW w:w="625" w:type="pct"/>
                  <w:shd w:val="clear" w:color="auto" w:fill="auto"/>
                  <w:noWrap w:val="0"/>
                  <w:vAlign w:val="center"/>
                </w:tcPr>
                <w:p w14:paraId="1D66D232">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空压机</w:t>
                  </w:r>
                </w:p>
              </w:tc>
              <w:tc>
                <w:tcPr>
                  <w:tcW w:w="625" w:type="pct"/>
                  <w:tcBorders>
                    <w:right w:val="single" w:color="auto" w:sz="4" w:space="0"/>
                  </w:tcBorders>
                  <w:shd w:val="clear" w:color="auto" w:fill="auto"/>
                  <w:noWrap w:val="0"/>
                  <w:vAlign w:val="center"/>
                </w:tcPr>
                <w:p w14:paraId="5BA1BFF1">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LS37L</w:t>
                  </w:r>
                </w:p>
              </w:tc>
              <w:tc>
                <w:tcPr>
                  <w:tcW w:w="625" w:type="pct"/>
                  <w:tcBorders>
                    <w:left w:val="single" w:color="auto" w:sz="4" w:space="0"/>
                  </w:tcBorders>
                  <w:shd w:val="clear" w:color="auto" w:fill="auto"/>
                  <w:noWrap w:val="0"/>
                  <w:vAlign w:val="center"/>
                </w:tcPr>
                <w:p w14:paraId="11E6C05B">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2</w:t>
                  </w:r>
                </w:p>
              </w:tc>
              <w:tc>
                <w:tcPr>
                  <w:tcW w:w="625" w:type="pct"/>
                  <w:noWrap w:val="0"/>
                  <w:vAlign w:val="center"/>
                </w:tcPr>
                <w:p w14:paraId="4740420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85</w:t>
                  </w:r>
                </w:p>
              </w:tc>
              <w:tc>
                <w:tcPr>
                  <w:tcW w:w="490" w:type="pct"/>
                  <w:noWrap w:val="0"/>
                  <w:vAlign w:val="center"/>
                </w:tcPr>
                <w:p w14:paraId="52D7B2E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88</w:t>
                  </w:r>
                </w:p>
              </w:tc>
              <w:tc>
                <w:tcPr>
                  <w:tcW w:w="516" w:type="pct"/>
                  <w:vMerge w:val="continue"/>
                  <w:noWrap w:val="0"/>
                  <w:vAlign w:val="center"/>
                </w:tcPr>
                <w:p w14:paraId="5C7FE41A">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6B27BF1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17C37EC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63</w:t>
                  </w:r>
                </w:p>
              </w:tc>
            </w:tr>
            <w:tr w14:paraId="52A487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1" w:hRule="atLeast"/>
                <w:jc w:val="center"/>
              </w:trPr>
              <w:tc>
                <w:tcPr>
                  <w:tcW w:w="429" w:type="pct"/>
                  <w:vMerge w:val="continue"/>
                  <w:noWrap w:val="0"/>
                  <w:vAlign w:val="center"/>
                </w:tcPr>
                <w:p w14:paraId="34AAA61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color w:val="000000" w:themeColor="text1"/>
                      <w:kern w:val="0"/>
                      <w:sz w:val="21"/>
                      <w:szCs w:val="21"/>
                      <w:highlight w:val="none"/>
                      <w:lang w:val="en-US" w:eastAsia="zh-CN"/>
                      <w14:textFill>
                        <w14:solidFill>
                          <w14:schemeClr w14:val="tx1"/>
                        </w14:solidFill>
                      </w14:textFill>
                    </w:rPr>
                  </w:pPr>
                </w:p>
              </w:tc>
              <w:tc>
                <w:tcPr>
                  <w:tcW w:w="625" w:type="pct"/>
                  <w:shd w:val="clear" w:color="auto" w:fill="auto"/>
                  <w:noWrap w:val="0"/>
                  <w:vAlign w:val="center"/>
                </w:tcPr>
                <w:p w14:paraId="794FEFBA">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真空泵</w:t>
                  </w:r>
                </w:p>
              </w:tc>
              <w:tc>
                <w:tcPr>
                  <w:tcW w:w="625" w:type="pct"/>
                  <w:tcBorders>
                    <w:right w:val="single" w:color="auto" w:sz="4" w:space="0"/>
                  </w:tcBorders>
                  <w:shd w:val="clear" w:color="auto" w:fill="auto"/>
                  <w:noWrap w:val="0"/>
                  <w:vAlign w:val="center"/>
                </w:tcPr>
                <w:p w14:paraId="1D9A4B3C">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PM900</w:t>
                  </w:r>
                </w:p>
              </w:tc>
              <w:tc>
                <w:tcPr>
                  <w:tcW w:w="625" w:type="pct"/>
                  <w:tcBorders>
                    <w:left w:val="single" w:color="auto" w:sz="4" w:space="0"/>
                  </w:tcBorders>
                  <w:shd w:val="clear" w:color="auto" w:fill="auto"/>
                  <w:noWrap w:val="0"/>
                  <w:vAlign w:val="center"/>
                </w:tcPr>
                <w:p w14:paraId="0870A157">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4</w:t>
                  </w:r>
                </w:p>
              </w:tc>
              <w:tc>
                <w:tcPr>
                  <w:tcW w:w="625" w:type="pct"/>
                  <w:noWrap w:val="0"/>
                  <w:vAlign w:val="center"/>
                </w:tcPr>
                <w:p w14:paraId="76528FDC">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w:t>
                  </w:r>
                </w:p>
              </w:tc>
              <w:tc>
                <w:tcPr>
                  <w:tcW w:w="490" w:type="pct"/>
                  <w:noWrap w:val="0"/>
                  <w:vAlign w:val="center"/>
                </w:tcPr>
                <w:p w14:paraId="125B40C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81</w:t>
                  </w:r>
                </w:p>
              </w:tc>
              <w:tc>
                <w:tcPr>
                  <w:tcW w:w="516" w:type="pct"/>
                  <w:vMerge w:val="continue"/>
                  <w:noWrap w:val="0"/>
                  <w:vAlign w:val="center"/>
                </w:tcPr>
                <w:p w14:paraId="6434CFB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26B8510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7A3F5F5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56</w:t>
                  </w:r>
                </w:p>
              </w:tc>
            </w:tr>
            <w:tr w14:paraId="344E93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1" w:hRule="atLeast"/>
                <w:jc w:val="center"/>
              </w:trPr>
              <w:tc>
                <w:tcPr>
                  <w:tcW w:w="429" w:type="pct"/>
                  <w:vMerge w:val="continue"/>
                  <w:noWrap w:val="0"/>
                  <w:vAlign w:val="center"/>
                </w:tcPr>
                <w:p w14:paraId="5F4E5B6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color w:val="000000" w:themeColor="text1"/>
                      <w:kern w:val="0"/>
                      <w:sz w:val="21"/>
                      <w:szCs w:val="21"/>
                      <w:highlight w:val="none"/>
                      <w:lang w:val="en-US" w:eastAsia="zh-CN"/>
                      <w14:textFill>
                        <w14:solidFill>
                          <w14:schemeClr w14:val="tx1"/>
                        </w14:solidFill>
                      </w14:textFill>
                    </w:rPr>
                  </w:pPr>
                </w:p>
              </w:tc>
              <w:tc>
                <w:tcPr>
                  <w:tcW w:w="625" w:type="pct"/>
                  <w:shd w:val="clear" w:color="auto" w:fill="auto"/>
                  <w:noWrap w:val="0"/>
                  <w:vAlign w:val="center"/>
                </w:tcPr>
                <w:p w14:paraId="4A1E9F03">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打磨机</w:t>
                  </w:r>
                </w:p>
              </w:tc>
              <w:tc>
                <w:tcPr>
                  <w:tcW w:w="625" w:type="pct"/>
                  <w:tcBorders>
                    <w:right w:val="single" w:color="auto" w:sz="4" w:space="0"/>
                  </w:tcBorders>
                  <w:shd w:val="clear" w:color="auto" w:fill="auto"/>
                  <w:noWrap w:val="0"/>
                  <w:vAlign w:val="center"/>
                </w:tcPr>
                <w:p w14:paraId="45922ED1">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val="en-US" w:eastAsia="zh-CN" w:bidi="en-US"/>
                      <w14:textFill>
                        <w14:solidFill>
                          <w14:schemeClr w14:val="tx1"/>
                        </w14:solidFill>
                      </w14:textFill>
                    </w:rPr>
                    <w:t>GW700</w:t>
                  </w:r>
                </w:p>
              </w:tc>
              <w:tc>
                <w:tcPr>
                  <w:tcW w:w="625" w:type="pct"/>
                  <w:tcBorders>
                    <w:left w:val="single" w:color="auto" w:sz="4" w:space="0"/>
                  </w:tcBorders>
                  <w:shd w:val="clear" w:color="auto" w:fill="auto"/>
                  <w:noWrap w:val="0"/>
                  <w:vAlign w:val="center"/>
                </w:tcPr>
                <w:p w14:paraId="164262EF">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p>
              </w:tc>
              <w:tc>
                <w:tcPr>
                  <w:tcW w:w="625" w:type="pct"/>
                  <w:noWrap w:val="0"/>
                  <w:vAlign w:val="center"/>
                </w:tcPr>
                <w:p w14:paraId="5A0E182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w:t>
                  </w:r>
                </w:p>
              </w:tc>
              <w:tc>
                <w:tcPr>
                  <w:tcW w:w="490" w:type="pct"/>
                  <w:noWrap w:val="0"/>
                  <w:vAlign w:val="center"/>
                </w:tcPr>
                <w:p w14:paraId="62E5EEB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w:t>
                  </w:r>
                </w:p>
              </w:tc>
              <w:tc>
                <w:tcPr>
                  <w:tcW w:w="516" w:type="pct"/>
                  <w:vMerge w:val="continue"/>
                  <w:noWrap w:val="0"/>
                  <w:vAlign w:val="center"/>
                </w:tcPr>
                <w:p w14:paraId="463AB33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0F91730C">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170F11F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55</w:t>
                  </w:r>
                </w:p>
              </w:tc>
            </w:tr>
            <w:tr w14:paraId="565AE4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1" w:hRule="atLeast"/>
                <w:jc w:val="center"/>
              </w:trPr>
              <w:tc>
                <w:tcPr>
                  <w:tcW w:w="429" w:type="pct"/>
                  <w:vMerge w:val="continue"/>
                  <w:noWrap w:val="0"/>
                  <w:vAlign w:val="center"/>
                </w:tcPr>
                <w:p w14:paraId="6B89313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color w:val="000000" w:themeColor="text1"/>
                      <w:kern w:val="0"/>
                      <w:sz w:val="21"/>
                      <w:szCs w:val="21"/>
                      <w:highlight w:val="none"/>
                      <w:lang w:val="en-US" w:eastAsia="zh-CN"/>
                      <w14:textFill>
                        <w14:solidFill>
                          <w14:schemeClr w14:val="tx1"/>
                        </w14:solidFill>
                      </w14:textFill>
                    </w:rPr>
                  </w:pPr>
                </w:p>
              </w:tc>
              <w:tc>
                <w:tcPr>
                  <w:tcW w:w="625" w:type="pct"/>
                  <w:shd w:val="clear" w:color="auto" w:fill="auto"/>
                  <w:noWrap w:val="0"/>
                  <w:vAlign w:val="center"/>
                </w:tcPr>
                <w:p w14:paraId="5AC74049">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修边刀</w:t>
                  </w:r>
                </w:p>
              </w:tc>
              <w:tc>
                <w:tcPr>
                  <w:tcW w:w="625" w:type="pct"/>
                  <w:tcBorders>
                    <w:right w:val="single" w:color="auto" w:sz="4" w:space="0"/>
                  </w:tcBorders>
                  <w:shd w:val="clear" w:color="auto" w:fill="auto"/>
                  <w:noWrap w:val="0"/>
                  <w:vAlign w:val="center"/>
                </w:tcPr>
                <w:p w14:paraId="58F1A72F">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625" w:type="pct"/>
                  <w:tcBorders>
                    <w:left w:val="single" w:color="auto" w:sz="4" w:space="0"/>
                  </w:tcBorders>
                  <w:shd w:val="clear" w:color="auto" w:fill="auto"/>
                  <w:noWrap w:val="0"/>
                  <w:vAlign w:val="center"/>
                </w:tcPr>
                <w:p w14:paraId="478C3656">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6</w:t>
                  </w:r>
                </w:p>
              </w:tc>
              <w:tc>
                <w:tcPr>
                  <w:tcW w:w="625" w:type="pct"/>
                  <w:noWrap w:val="0"/>
                  <w:vAlign w:val="center"/>
                </w:tcPr>
                <w:p w14:paraId="780234C0">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w:t>
                  </w:r>
                </w:p>
              </w:tc>
              <w:tc>
                <w:tcPr>
                  <w:tcW w:w="490" w:type="pct"/>
                  <w:noWrap w:val="0"/>
                  <w:vAlign w:val="center"/>
                </w:tcPr>
                <w:p w14:paraId="3932607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82.8</w:t>
                  </w:r>
                </w:p>
              </w:tc>
              <w:tc>
                <w:tcPr>
                  <w:tcW w:w="516" w:type="pct"/>
                  <w:vMerge w:val="continue"/>
                  <w:noWrap w:val="0"/>
                  <w:vAlign w:val="center"/>
                </w:tcPr>
                <w:p w14:paraId="31A6279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39DC3D26">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1BA80C7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57.8</w:t>
                  </w:r>
                </w:p>
              </w:tc>
            </w:tr>
            <w:tr w14:paraId="6AE306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1" w:hRule="atLeast"/>
                <w:jc w:val="center"/>
              </w:trPr>
              <w:tc>
                <w:tcPr>
                  <w:tcW w:w="429" w:type="pct"/>
                  <w:vMerge w:val="continue"/>
                  <w:noWrap w:val="0"/>
                  <w:vAlign w:val="center"/>
                </w:tcPr>
                <w:p w14:paraId="156893F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color w:val="000000" w:themeColor="text1"/>
                      <w:kern w:val="0"/>
                      <w:sz w:val="21"/>
                      <w:szCs w:val="21"/>
                      <w:highlight w:val="none"/>
                      <w:lang w:val="en-US" w:eastAsia="zh-CN"/>
                      <w14:textFill>
                        <w14:solidFill>
                          <w14:schemeClr w14:val="tx1"/>
                        </w14:solidFill>
                      </w14:textFill>
                    </w:rPr>
                  </w:pPr>
                </w:p>
              </w:tc>
              <w:tc>
                <w:tcPr>
                  <w:tcW w:w="625" w:type="pct"/>
                  <w:shd w:val="clear" w:color="auto" w:fill="auto"/>
                  <w:noWrap w:val="0"/>
                  <w:vAlign w:val="center"/>
                </w:tcPr>
                <w:p w14:paraId="51F0E2B3">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真空机</w:t>
                  </w:r>
                </w:p>
              </w:tc>
              <w:tc>
                <w:tcPr>
                  <w:tcW w:w="625" w:type="pct"/>
                  <w:tcBorders>
                    <w:right w:val="single" w:color="auto" w:sz="4" w:space="0"/>
                  </w:tcBorders>
                  <w:shd w:val="clear" w:color="auto" w:fill="auto"/>
                  <w:noWrap w:val="0"/>
                  <w:vAlign w:val="center"/>
                </w:tcPr>
                <w:p w14:paraId="4FB865D1">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625" w:type="pct"/>
                  <w:tcBorders>
                    <w:left w:val="single" w:color="auto" w:sz="4" w:space="0"/>
                  </w:tcBorders>
                  <w:shd w:val="clear" w:color="auto" w:fill="auto"/>
                  <w:noWrap w:val="0"/>
                  <w:vAlign w:val="center"/>
                </w:tcPr>
                <w:p w14:paraId="02EADFAC">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p>
              </w:tc>
              <w:tc>
                <w:tcPr>
                  <w:tcW w:w="625" w:type="pct"/>
                  <w:noWrap w:val="0"/>
                  <w:vAlign w:val="center"/>
                </w:tcPr>
                <w:p w14:paraId="079428CA">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w:t>
                  </w:r>
                </w:p>
              </w:tc>
              <w:tc>
                <w:tcPr>
                  <w:tcW w:w="490" w:type="pct"/>
                  <w:noWrap w:val="0"/>
                  <w:vAlign w:val="center"/>
                </w:tcPr>
                <w:p w14:paraId="3C06132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w:t>
                  </w:r>
                </w:p>
              </w:tc>
              <w:tc>
                <w:tcPr>
                  <w:tcW w:w="516" w:type="pct"/>
                  <w:vMerge w:val="continue"/>
                  <w:noWrap w:val="0"/>
                  <w:vAlign w:val="center"/>
                </w:tcPr>
                <w:p w14:paraId="7525BC7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1EABE49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4EBED35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55</w:t>
                  </w:r>
                </w:p>
              </w:tc>
            </w:tr>
            <w:tr w14:paraId="4DDDEF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1" w:hRule="atLeast"/>
                <w:jc w:val="center"/>
              </w:trPr>
              <w:tc>
                <w:tcPr>
                  <w:tcW w:w="429" w:type="pct"/>
                  <w:vMerge w:val="continue"/>
                  <w:noWrap w:val="0"/>
                  <w:vAlign w:val="center"/>
                </w:tcPr>
                <w:p w14:paraId="28C22EA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cs="Times New Roman"/>
                      <w:color w:val="000000" w:themeColor="text1"/>
                      <w:kern w:val="0"/>
                      <w:sz w:val="21"/>
                      <w:szCs w:val="21"/>
                      <w:highlight w:val="none"/>
                      <w14:textFill>
                        <w14:solidFill>
                          <w14:schemeClr w14:val="tx1"/>
                        </w14:solidFill>
                      </w14:textFill>
                    </w:rPr>
                  </w:pPr>
                </w:p>
              </w:tc>
              <w:tc>
                <w:tcPr>
                  <w:tcW w:w="625" w:type="pct"/>
                  <w:shd w:val="clear" w:color="auto" w:fill="auto"/>
                  <w:noWrap w:val="0"/>
                  <w:vAlign w:val="center"/>
                </w:tcPr>
                <w:p w14:paraId="2779D0C2">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磨底机</w:t>
                  </w:r>
                </w:p>
              </w:tc>
              <w:tc>
                <w:tcPr>
                  <w:tcW w:w="625" w:type="pct"/>
                  <w:tcBorders>
                    <w:right w:val="single" w:color="auto" w:sz="4" w:space="0"/>
                  </w:tcBorders>
                  <w:shd w:val="clear" w:color="auto" w:fill="auto"/>
                  <w:noWrap w:val="0"/>
                  <w:vAlign w:val="center"/>
                </w:tcPr>
                <w:p w14:paraId="71CEB0F3">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w:t>
                  </w:r>
                </w:p>
              </w:tc>
              <w:tc>
                <w:tcPr>
                  <w:tcW w:w="625" w:type="pct"/>
                  <w:tcBorders>
                    <w:left w:val="single" w:color="auto" w:sz="4" w:space="0"/>
                  </w:tcBorders>
                  <w:shd w:val="clear" w:color="auto" w:fill="auto"/>
                  <w:noWrap w:val="0"/>
                  <w:vAlign w:val="center"/>
                </w:tcPr>
                <w:p w14:paraId="426345F1">
                  <w:pPr>
                    <w:widowControl/>
                    <w:adjustRightInd/>
                    <w:snapToGrid/>
                    <w:spacing w:line="240" w:lineRule="auto"/>
                    <w:ind w:firstLine="0" w:firstLineChars="0"/>
                    <w:jc w:val="center"/>
                    <w:rPr>
                      <w:rFonts w:hint="default" w:ascii="Times New Roman" w:hAnsi="Times New Roman" w:eastAsia="宋体" w:cs="Times New Roman"/>
                      <w:color w:val="000000" w:themeColor="text1"/>
                      <w:kern w:val="0"/>
                      <w:sz w:val="21"/>
                      <w:szCs w:val="21"/>
                      <w:lang w:val="en-US" w:eastAsia="zh-CN" w:bidi="en-US"/>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1</w:t>
                  </w:r>
                </w:p>
              </w:tc>
              <w:tc>
                <w:tcPr>
                  <w:tcW w:w="625" w:type="pct"/>
                  <w:noWrap w:val="0"/>
                  <w:vAlign w:val="center"/>
                </w:tcPr>
                <w:p w14:paraId="5DF79B2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w:t>
                  </w:r>
                </w:p>
              </w:tc>
              <w:tc>
                <w:tcPr>
                  <w:tcW w:w="490" w:type="pct"/>
                  <w:noWrap w:val="0"/>
                  <w:vAlign w:val="center"/>
                </w:tcPr>
                <w:p w14:paraId="384B9E1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w:t>
                  </w:r>
                </w:p>
              </w:tc>
              <w:tc>
                <w:tcPr>
                  <w:tcW w:w="516" w:type="pct"/>
                  <w:vMerge w:val="continue"/>
                  <w:noWrap w:val="0"/>
                  <w:vAlign w:val="center"/>
                </w:tcPr>
                <w:p w14:paraId="18388DA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06ABC57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278C641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55</w:t>
                  </w:r>
                </w:p>
              </w:tc>
            </w:tr>
            <w:tr w14:paraId="3A15B4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429" w:type="pct"/>
                  <w:vMerge w:val="restart"/>
                  <w:noWrap w:val="0"/>
                  <w:vAlign w:val="center"/>
                </w:tcPr>
                <w:p w14:paraId="5549FD5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标准厂房外</w:t>
                  </w:r>
                </w:p>
              </w:tc>
              <w:tc>
                <w:tcPr>
                  <w:tcW w:w="625" w:type="pct"/>
                  <w:noWrap w:val="0"/>
                  <w:vAlign w:val="center"/>
                </w:tcPr>
                <w:p w14:paraId="7D775956">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eastAsia="宋体" w:cs="Times New Roman"/>
                      <w:color w:val="000000" w:themeColor="text1"/>
                      <w:kern w:val="0"/>
                      <w:sz w:val="21"/>
                      <w:szCs w:val="21"/>
                      <w:highlight w:val="none"/>
                      <w:lang w:val="en-US" w:eastAsia="zh-CN"/>
                      <w14:textFill>
                        <w14:solidFill>
                          <w14:schemeClr w14:val="tx1"/>
                        </w14:solidFill>
                      </w14:textFill>
                    </w:rPr>
                    <w:t>1#风机</w:t>
                  </w:r>
                </w:p>
              </w:tc>
              <w:tc>
                <w:tcPr>
                  <w:tcW w:w="625" w:type="pct"/>
                  <w:tcBorders>
                    <w:right w:val="single" w:color="auto" w:sz="4" w:space="0"/>
                  </w:tcBorders>
                  <w:noWrap w:val="0"/>
                  <w:vAlign w:val="center"/>
                </w:tcPr>
                <w:p w14:paraId="7255258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w:t>
                  </w:r>
                </w:p>
              </w:tc>
              <w:tc>
                <w:tcPr>
                  <w:tcW w:w="625" w:type="pct"/>
                  <w:tcBorders>
                    <w:left w:val="single" w:color="auto" w:sz="4" w:space="0"/>
                  </w:tcBorders>
                  <w:noWrap w:val="0"/>
                  <w:vAlign w:val="center"/>
                </w:tcPr>
                <w:p w14:paraId="42F5CEB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1</w:t>
                  </w:r>
                </w:p>
              </w:tc>
              <w:tc>
                <w:tcPr>
                  <w:tcW w:w="625" w:type="pct"/>
                  <w:noWrap w:val="0"/>
                  <w:vAlign w:val="center"/>
                </w:tcPr>
                <w:p w14:paraId="4534775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75</w:t>
                  </w:r>
                </w:p>
              </w:tc>
              <w:tc>
                <w:tcPr>
                  <w:tcW w:w="490" w:type="pct"/>
                  <w:noWrap w:val="0"/>
                  <w:vAlign w:val="center"/>
                </w:tcPr>
                <w:p w14:paraId="5ECCD8A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75</w:t>
                  </w:r>
                </w:p>
              </w:tc>
              <w:tc>
                <w:tcPr>
                  <w:tcW w:w="516" w:type="pct"/>
                  <w:vMerge w:val="restart"/>
                  <w:noWrap w:val="0"/>
                  <w:vAlign w:val="center"/>
                </w:tcPr>
                <w:p w14:paraId="5B674D7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室外声源</w:t>
                  </w:r>
                </w:p>
              </w:tc>
              <w:tc>
                <w:tcPr>
                  <w:tcW w:w="485" w:type="pct"/>
                  <w:vMerge w:val="continue"/>
                  <w:tcBorders>
                    <w:right w:val="single" w:color="auto" w:sz="4" w:space="0"/>
                  </w:tcBorders>
                  <w:noWrap w:val="0"/>
                  <w:vAlign w:val="center"/>
                </w:tcPr>
                <w:p w14:paraId="0DC1206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3C59364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w:t>
                  </w:r>
                </w:p>
              </w:tc>
            </w:tr>
            <w:tr w14:paraId="579803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429" w:type="pct"/>
                  <w:vMerge w:val="continue"/>
                  <w:noWrap w:val="0"/>
                  <w:vAlign w:val="center"/>
                </w:tcPr>
                <w:p w14:paraId="559880F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s="Times New Roman"/>
                      <w:color w:val="000000" w:themeColor="text1"/>
                      <w:kern w:val="0"/>
                      <w:sz w:val="21"/>
                      <w:szCs w:val="21"/>
                      <w:highlight w:val="none"/>
                      <w:lang w:val="en-US" w:eastAsia="zh-CN"/>
                      <w14:textFill>
                        <w14:solidFill>
                          <w14:schemeClr w14:val="tx1"/>
                        </w14:solidFill>
                      </w14:textFill>
                    </w:rPr>
                  </w:pPr>
                </w:p>
              </w:tc>
              <w:tc>
                <w:tcPr>
                  <w:tcW w:w="625" w:type="pct"/>
                  <w:noWrap w:val="0"/>
                  <w:vAlign w:val="center"/>
                </w:tcPr>
                <w:p w14:paraId="388F176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eastAsia="宋体" w:cs="Times New Roman"/>
                      <w:color w:val="000000" w:themeColor="text1"/>
                      <w:kern w:val="0"/>
                      <w:sz w:val="21"/>
                      <w:szCs w:val="21"/>
                      <w:highlight w:val="none"/>
                      <w:lang w:val="en-US" w:eastAsia="zh-CN"/>
                      <w14:textFill>
                        <w14:solidFill>
                          <w14:schemeClr w14:val="tx1"/>
                        </w14:solidFill>
                      </w14:textFill>
                    </w:rPr>
                    <w:t>2#风机</w:t>
                  </w:r>
                </w:p>
              </w:tc>
              <w:tc>
                <w:tcPr>
                  <w:tcW w:w="625" w:type="pct"/>
                  <w:tcBorders>
                    <w:right w:val="single" w:color="auto" w:sz="4" w:space="0"/>
                  </w:tcBorders>
                  <w:noWrap w:val="0"/>
                  <w:vAlign w:val="center"/>
                </w:tcPr>
                <w:p w14:paraId="4C297F9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w:t>
                  </w:r>
                </w:p>
              </w:tc>
              <w:tc>
                <w:tcPr>
                  <w:tcW w:w="625" w:type="pct"/>
                  <w:tcBorders>
                    <w:left w:val="single" w:color="auto" w:sz="4" w:space="0"/>
                  </w:tcBorders>
                  <w:noWrap w:val="0"/>
                  <w:vAlign w:val="center"/>
                </w:tcPr>
                <w:p w14:paraId="505D7C3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1</w:t>
                  </w:r>
                </w:p>
              </w:tc>
              <w:tc>
                <w:tcPr>
                  <w:tcW w:w="625" w:type="pct"/>
                  <w:noWrap w:val="0"/>
                  <w:vAlign w:val="center"/>
                </w:tcPr>
                <w:p w14:paraId="7D81653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75</w:t>
                  </w:r>
                </w:p>
              </w:tc>
              <w:tc>
                <w:tcPr>
                  <w:tcW w:w="490" w:type="pct"/>
                  <w:noWrap w:val="0"/>
                  <w:vAlign w:val="center"/>
                </w:tcPr>
                <w:p w14:paraId="4D3D4C8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75</w:t>
                  </w:r>
                </w:p>
              </w:tc>
              <w:tc>
                <w:tcPr>
                  <w:tcW w:w="516" w:type="pct"/>
                  <w:vMerge w:val="continue"/>
                  <w:noWrap w:val="0"/>
                  <w:vAlign w:val="center"/>
                </w:tcPr>
                <w:p w14:paraId="0D1F143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2FB7BEF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76002B3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w:t>
                  </w:r>
                </w:p>
              </w:tc>
            </w:tr>
            <w:tr w14:paraId="11C9D5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429" w:type="pct"/>
                  <w:vMerge w:val="continue"/>
                  <w:noWrap w:val="0"/>
                  <w:vAlign w:val="center"/>
                </w:tcPr>
                <w:p w14:paraId="052833E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s="Times New Roman"/>
                      <w:color w:val="000000" w:themeColor="text1"/>
                      <w:kern w:val="0"/>
                      <w:sz w:val="21"/>
                      <w:szCs w:val="21"/>
                      <w:highlight w:val="none"/>
                      <w:lang w:val="en-US" w:eastAsia="zh-CN"/>
                      <w14:textFill>
                        <w14:solidFill>
                          <w14:schemeClr w14:val="tx1"/>
                        </w14:solidFill>
                      </w14:textFill>
                    </w:rPr>
                  </w:pPr>
                </w:p>
              </w:tc>
              <w:tc>
                <w:tcPr>
                  <w:tcW w:w="625" w:type="pct"/>
                  <w:noWrap w:val="0"/>
                  <w:vAlign w:val="center"/>
                </w:tcPr>
                <w:p w14:paraId="135E5FE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3#风机</w:t>
                  </w:r>
                </w:p>
              </w:tc>
              <w:tc>
                <w:tcPr>
                  <w:tcW w:w="625" w:type="pct"/>
                  <w:tcBorders>
                    <w:right w:val="single" w:color="auto" w:sz="4" w:space="0"/>
                  </w:tcBorders>
                  <w:noWrap w:val="0"/>
                  <w:vAlign w:val="center"/>
                </w:tcPr>
                <w:p w14:paraId="02228D2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w:t>
                  </w:r>
                </w:p>
              </w:tc>
              <w:tc>
                <w:tcPr>
                  <w:tcW w:w="625" w:type="pct"/>
                  <w:tcBorders>
                    <w:left w:val="single" w:color="auto" w:sz="4" w:space="0"/>
                  </w:tcBorders>
                  <w:noWrap w:val="0"/>
                  <w:vAlign w:val="center"/>
                </w:tcPr>
                <w:p w14:paraId="52BAD69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625" w:type="pct"/>
                  <w:noWrap w:val="0"/>
                  <w:vAlign w:val="center"/>
                </w:tcPr>
                <w:p w14:paraId="330976E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w:t>
                  </w:r>
                </w:p>
              </w:tc>
              <w:tc>
                <w:tcPr>
                  <w:tcW w:w="490" w:type="pct"/>
                  <w:noWrap w:val="0"/>
                  <w:vAlign w:val="center"/>
                </w:tcPr>
                <w:p w14:paraId="7C910A0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w:t>
                  </w:r>
                </w:p>
              </w:tc>
              <w:tc>
                <w:tcPr>
                  <w:tcW w:w="516" w:type="pct"/>
                  <w:vMerge w:val="continue"/>
                  <w:noWrap w:val="0"/>
                  <w:vAlign w:val="center"/>
                </w:tcPr>
                <w:p w14:paraId="26129FD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11607FF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08673B8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w:t>
                  </w:r>
                </w:p>
              </w:tc>
            </w:tr>
            <w:tr w14:paraId="68B8FB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429" w:type="pct"/>
                  <w:vMerge w:val="continue"/>
                  <w:noWrap w:val="0"/>
                  <w:vAlign w:val="center"/>
                </w:tcPr>
                <w:p w14:paraId="7C51556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s="Times New Roman"/>
                      <w:color w:val="000000" w:themeColor="text1"/>
                      <w:kern w:val="0"/>
                      <w:sz w:val="21"/>
                      <w:szCs w:val="21"/>
                      <w:highlight w:val="none"/>
                      <w:lang w:val="en-US" w:eastAsia="zh-CN"/>
                      <w14:textFill>
                        <w14:solidFill>
                          <w14:schemeClr w14:val="tx1"/>
                        </w14:solidFill>
                      </w14:textFill>
                    </w:rPr>
                  </w:pPr>
                </w:p>
              </w:tc>
              <w:tc>
                <w:tcPr>
                  <w:tcW w:w="625" w:type="pct"/>
                  <w:noWrap w:val="0"/>
                  <w:vAlign w:val="center"/>
                </w:tcPr>
                <w:p w14:paraId="3DABED80">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4#风机</w:t>
                  </w:r>
                </w:p>
              </w:tc>
              <w:tc>
                <w:tcPr>
                  <w:tcW w:w="625" w:type="pct"/>
                  <w:tcBorders>
                    <w:right w:val="single" w:color="auto" w:sz="4" w:space="0"/>
                  </w:tcBorders>
                  <w:noWrap w:val="0"/>
                  <w:vAlign w:val="center"/>
                </w:tcPr>
                <w:p w14:paraId="1A875B70">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w:t>
                  </w:r>
                </w:p>
              </w:tc>
              <w:tc>
                <w:tcPr>
                  <w:tcW w:w="625" w:type="pct"/>
                  <w:tcBorders>
                    <w:left w:val="single" w:color="auto" w:sz="4" w:space="0"/>
                  </w:tcBorders>
                  <w:noWrap w:val="0"/>
                  <w:vAlign w:val="center"/>
                </w:tcPr>
                <w:p w14:paraId="4D61F69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625" w:type="pct"/>
                  <w:noWrap w:val="0"/>
                  <w:vAlign w:val="center"/>
                </w:tcPr>
                <w:p w14:paraId="363D6E1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w:t>
                  </w:r>
                </w:p>
              </w:tc>
              <w:tc>
                <w:tcPr>
                  <w:tcW w:w="490" w:type="pct"/>
                  <w:noWrap w:val="0"/>
                  <w:vAlign w:val="center"/>
                </w:tcPr>
                <w:p w14:paraId="6DBE2E6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75</w:t>
                  </w:r>
                </w:p>
              </w:tc>
              <w:tc>
                <w:tcPr>
                  <w:tcW w:w="516" w:type="pct"/>
                  <w:vMerge w:val="continue"/>
                  <w:noWrap w:val="0"/>
                  <w:vAlign w:val="center"/>
                </w:tcPr>
                <w:p w14:paraId="2BE6913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p>
              </w:tc>
              <w:tc>
                <w:tcPr>
                  <w:tcW w:w="485" w:type="pct"/>
                  <w:vMerge w:val="continue"/>
                  <w:tcBorders>
                    <w:right w:val="single" w:color="auto" w:sz="4" w:space="0"/>
                  </w:tcBorders>
                  <w:noWrap w:val="0"/>
                  <w:vAlign w:val="center"/>
                </w:tcPr>
                <w:p w14:paraId="4FE1948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p>
              </w:tc>
              <w:tc>
                <w:tcPr>
                  <w:tcW w:w="574" w:type="pct"/>
                  <w:tcBorders>
                    <w:left w:val="single" w:color="auto" w:sz="4" w:space="0"/>
                  </w:tcBorders>
                  <w:noWrap w:val="0"/>
                  <w:vAlign w:val="center"/>
                </w:tcPr>
                <w:p w14:paraId="121A922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w:t>
                  </w:r>
                </w:p>
              </w:tc>
            </w:tr>
          </w:tbl>
          <w:p w14:paraId="3CE00644">
            <w:pPr>
              <w:numPr>
                <w:ilvl w:val="3"/>
                <w:numId w:val="19"/>
              </w:numPr>
              <w:tabs>
                <w:tab w:val="left" w:pos="420"/>
              </w:tabs>
              <w:spacing w:line="240" w:lineRule="auto"/>
              <w:ind w:firstLine="422"/>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工业企业噪声源强调查清单（室内声源）</w:t>
            </w:r>
          </w:p>
          <w:tbl>
            <w:tblPr>
              <w:tblStyle w:val="172"/>
              <w:tblW w:w="4983"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75"/>
              <w:gridCol w:w="1466"/>
              <w:gridCol w:w="1280"/>
              <w:gridCol w:w="861"/>
              <w:gridCol w:w="862"/>
              <w:gridCol w:w="745"/>
              <w:gridCol w:w="758"/>
              <w:gridCol w:w="647"/>
              <w:gridCol w:w="865"/>
              <w:gridCol w:w="865"/>
              <w:gridCol w:w="847"/>
              <w:gridCol w:w="886"/>
              <w:gridCol w:w="865"/>
              <w:gridCol w:w="874"/>
            </w:tblGrid>
            <w:tr w14:paraId="1AB27D72">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231" w:type="pct"/>
                  <w:vMerge w:val="restart"/>
                  <w:noWrap w:val="0"/>
                  <w:vAlign w:val="center"/>
                </w:tcPr>
                <w:p w14:paraId="5A2C170E">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建筑物名称</w:t>
                  </w:r>
                </w:p>
              </w:tc>
              <w:tc>
                <w:tcPr>
                  <w:tcW w:w="591" w:type="pct"/>
                  <w:vMerge w:val="restart"/>
                  <w:noWrap w:val="0"/>
                  <w:vAlign w:val="center"/>
                </w:tcPr>
                <w:p w14:paraId="13C25750">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b w:val="0"/>
                      <w:color w:val="000000" w:themeColor="text1"/>
                      <w:sz w:val="21"/>
                      <w:szCs w:val="21"/>
                      <w:highlight w:val="none"/>
                      <w:lang w:val="en-US" w:eastAsia="zh-CN"/>
                      <w14:textFill>
                        <w14:solidFill>
                          <w14:schemeClr w14:val="tx1"/>
                        </w14:solidFill>
                      </w14:textFill>
                    </w:rPr>
                  </w:pPr>
                  <w:r>
                    <w:rPr>
                      <w:rFonts w:hint="eastAsia"/>
                      <w:b/>
                      <w:color w:val="000000" w:themeColor="text1"/>
                      <w:sz w:val="21"/>
                      <w:szCs w:val="21"/>
                      <w:highlight w:val="none"/>
                      <w14:textFill>
                        <w14:solidFill>
                          <w14:schemeClr w14:val="tx1"/>
                        </w14:solidFill>
                      </w14:textFill>
                    </w:rPr>
                    <w:t>声源名称</w:t>
                  </w:r>
                  <w:r>
                    <w:rPr>
                      <w:rFonts w:hint="eastAsia"/>
                      <w:b/>
                      <w:color w:val="000000" w:themeColor="text1"/>
                      <w:sz w:val="21"/>
                      <w:szCs w:val="21"/>
                      <w:highlight w:val="none"/>
                      <w:vertAlign w:val="superscript"/>
                      <w:lang w:val="en-US" w:eastAsia="zh-CN"/>
                      <w14:textFill>
                        <w14:solidFill>
                          <w14:schemeClr w14:val="tx1"/>
                        </w14:solidFill>
                      </w14:textFill>
                    </w:rPr>
                    <w:t>[1]</w:t>
                  </w:r>
                </w:p>
              </w:tc>
              <w:tc>
                <w:tcPr>
                  <w:tcW w:w="1211" w:type="pct"/>
                  <w:gridSpan w:val="3"/>
                  <w:noWrap w:val="0"/>
                  <w:vAlign w:val="center"/>
                </w:tcPr>
                <w:p w14:paraId="1D3AACB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声源源强</w:t>
                  </w:r>
                </w:p>
              </w:tc>
              <w:tc>
                <w:tcPr>
                  <w:tcW w:w="867" w:type="pct"/>
                  <w:gridSpan w:val="3"/>
                  <w:noWrap w:val="0"/>
                  <w:vAlign w:val="center"/>
                </w:tcPr>
                <w:p w14:paraId="7AE0A38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空间相对位置</w:t>
                  </w:r>
                  <w:r>
                    <w:rPr>
                      <w:rFonts w:hint="eastAsia"/>
                      <w:b/>
                      <w:color w:val="000000" w:themeColor="text1"/>
                      <w:sz w:val="21"/>
                      <w:szCs w:val="21"/>
                      <w:highlight w:val="none"/>
                      <w:vertAlign w:val="superscript"/>
                      <w14:textFill>
                        <w14:solidFill>
                          <w14:schemeClr w14:val="tx1"/>
                        </w14:solidFill>
                      </w14:textFill>
                    </w:rPr>
                    <w:t>[</w:t>
                  </w:r>
                  <w:r>
                    <w:rPr>
                      <w:rFonts w:hint="eastAsia"/>
                      <w:b/>
                      <w:color w:val="000000" w:themeColor="text1"/>
                      <w:sz w:val="21"/>
                      <w:szCs w:val="21"/>
                      <w:highlight w:val="none"/>
                      <w:vertAlign w:val="superscript"/>
                      <w:lang w:val="en-US" w:eastAsia="zh-CN"/>
                      <w14:textFill>
                        <w14:solidFill>
                          <w14:schemeClr w14:val="tx1"/>
                        </w14:solidFill>
                      </w14:textFill>
                    </w:rPr>
                    <w:t>2</w:t>
                  </w:r>
                  <w:r>
                    <w:rPr>
                      <w:rFonts w:hint="eastAsia"/>
                      <w:b/>
                      <w:color w:val="000000" w:themeColor="text1"/>
                      <w:sz w:val="21"/>
                      <w:szCs w:val="21"/>
                      <w:highlight w:val="none"/>
                      <w:vertAlign w:val="superscript"/>
                      <w14:textFill>
                        <w14:solidFill>
                          <w14:schemeClr w14:val="tx1"/>
                        </w14:solidFill>
                      </w14:textFill>
                    </w:rPr>
                    <w:t>]</w:t>
                  </w:r>
                </w:p>
              </w:tc>
              <w:tc>
                <w:tcPr>
                  <w:tcW w:w="348" w:type="pct"/>
                  <w:vMerge w:val="restart"/>
                  <w:noWrap w:val="0"/>
                  <w:vAlign w:val="center"/>
                </w:tcPr>
                <w:p w14:paraId="2EB9A96D">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距室内边界距离</w:t>
                  </w:r>
                  <w:r>
                    <w:rPr>
                      <w:rFonts w:hint="eastAsia"/>
                      <w:b/>
                      <w:color w:val="000000" w:themeColor="text1"/>
                      <w:sz w:val="21"/>
                      <w:szCs w:val="21"/>
                      <w:highlight w:val="none"/>
                      <w:vertAlign w:val="superscript"/>
                      <w14:textFill>
                        <w14:solidFill>
                          <w14:schemeClr w14:val="tx1"/>
                        </w14:solidFill>
                      </w14:textFill>
                    </w:rPr>
                    <w:t>[</w:t>
                  </w:r>
                  <w:r>
                    <w:rPr>
                      <w:rFonts w:hint="eastAsia"/>
                      <w:b/>
                      <w:color w:val="000000" w:themeColor="text1"/>
                      <w:sz w:val="21"/>
                      <w:szCs w:val="21"/>
                      <w:highlight w:val="none"/>
                      <w:vertAlign w:val="superscript"/>
                      <w:lang w:val="en-US" w:eastAsia="zh-CN"/>
                      <w14:textFill>
                        <w14:solidFill>
                          <w14:schemeClr w14:val="tx1"/>
                        </w14:solidFill>
                      </w14:textFill>
                    </w:rPr>
                    <w:t>3</w:t>
                  </w:r>
                  <w:r>
                    <w:rPr>
                      <w:rFonts w:hint="eastAsia"/>
                      <w:b/>
                      <w:color w:val="000000" w:themeColor="text1"/>
                      <w:sz w:val="21"/>
                      <w:szCs w:val="21"/>
                      <w:highlight w:val="none"/>
                      <w:vertAlign w:val="superscript"/>
                      <w14:textFill>
                        <w14:solidFill>
                          <w14:schemeClr w14:val="tx1"/>
                        </w14:solidFill>
                      </w14:textFill>
                    </w:rPr>
                    <w:t>]</w:t>
                  </w:r>
                  <w:r>
                    <w:rPr>
                      <w:rFonts w:hint="eastAsia"/>
                      <w:b/>
                      <w:color w:val="000000" w:themeColor="text1"/>
                      <w:sz w:val="21"/>
                      <w:szCs w:val="21"/>
                      <w:highlight w:val="none"/>
                      <w14:textFill>
                        <w14:solidFill>
                          <w14:schemeClr w14:val="tx1"/>
                        </w14:solidFill>
                      </w14:textFill>
                    </w:rPr>
                    <w:t>/</w:t>
                  </w:r>
                  <w:r>
                    <w:rPr>
                      <w:b/>
                      <w:color w:val="000000" w:themeColor="text1"/>
                      <w:sz w:val="21"/>
                      <w:szCs w:val="21"/>
                      <w:highlight w:val="none"/>
                      <w14:textFill>
                        <w14:solidFill>
                          <w14:schemeClr w14:val="tx1"/>
                        </w14:solidFill>
                      </w14:textFill>
                    </w:rPr>
                    <w:t>m</w:t>
                  </w:r>
                </w:p>
              </w:tc>
              <w:tc>
                <w:tcPr>
                  <w:tcW w:w="348" w:type="pct"/>
                  <w:vMerge w:val="restart"/>
                  <w:noWrap w:val="0"/>
                  <w:vAlign w:val="center"/>
                </w:tcPr>
                <w:p w14:paraId="6997EE6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室内边界声级/</w:t>
                  </w:r>
                  <w:r>
                    <w:rPr>
                      <w:b/>
                      <w:color w:val="000000" w:themeColor="text1"/>
                      <w:sz w:val="21"/>
                      <w:szCs w:val="21"/>
                      <w:highlight w:val="none"/>
                      <w14:textFill>
                        <w14:solidFill>
                          <w14:schemeClr w14:val="tx1"/>
                        </w14:solidFill>
                      </w14:textFill>
                    </w:rPr>
                    <w:t>dB(A)</w:t>
                  </w:r>
                </w:p>
              </w:tc>
              <w:tc>
                <w:tcPr>
                  <w:tcW w:w="341" w:type="pct"/>
                  <w:vMerge w:val="restart"/>
                  <w:noWrap w:val="0"/>
                  <w:vAlign w:val="center"/>
                </w:tcPr>
                <w:p w14:paraId="675A540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运行时段</w:t>
                  </w:r>
                </w:p>
              </w:tc>
              <w:tc>
                <w:tcPr>
                  <w:tcW w:w="357" w:type="pct"/>
                  <w:vMerge w:val="restart"/>
                  <w:noWrap w:val="0"/>
                  <w:vAlign w:val="center"/>
                </w:tcPr>
                <w:p w14:paraId="4724C53B">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建筑物插入损失/d</w:t>
                  </w:r>
                  <w:r>
                    <w:rPr>
                      <w:b/>
                      <w:color w:val="000000" w:themeColor="text1"/>
                      <w:sz w:val="21"/>
                      <w:szCs w:val="21"/>
                      <w:highlight w:val="none"/>
                      <w14:textFill>
                        <w14:solidFill>
                          <w14:schemeClr w14:val="tx1"/>
                        </w14:solidFill>
                      </w14:textFill>
                    </w:rPr>
                    <w:t>B</w:t>
                  </w:r>
                  <w:r>
                    <w:rPr>
                      <w:rFonts w:hint="eastAsia"/>
                      <w:b/>
                      <w:color w:val="000000" w:themeColor="text1"/>
                      <w:sz w:val="21"/>
                      <w:szCs w:val="21"/>
                      <w:highlight w:val="none"/>
                      <w14:textFill>
                        <w14:solidFill>
                          <w14:schemeClr w14:val="tx1"/>
                        </w14:solidFill>
                      </w14:textFill>
                    </w:rPr>
                    <w:t>(</w:t>
                  </w:r>
                  <w:r>
                    <w:rPr>
                      <w:b/>
                      <w:color w:val="000000" w:themeColor="text1"/>
                      <w:sz w:val="21"/>
                      <w:szCs w:val="21"/>
                      <w:highlight w:val="none"/>
                      <w14:textFill>
                        <w14:solidFill>
                          <w14:schemeClr w14:val="tx1"/>
                        </w14:solidFill>
                      </w14:textFill>
                    </w:rPr>
                    <w:t>A)</w:t>
                  </w:r>
                </w:p>
              </w:tc>
              <w:tc>
                <w:tcPr>
                  <w:tcW w:w="701" w:type="pct"/>
                  <w:gridSpan w:val="2"/>
                  <w:noWrap w:val="0"/>
                  <w:vAlign w:val="center"/>
                </w:tcPr>
                <w:p w14:paraId="233B96B4">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val="0"/>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建筑物外噪声</w:t>
                  </w:r>
                </w:p>
              </w:tc>
            </w:tr>
            <w:tr w14:paraId="03D4BFE2">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5" w:hRule="atLeast"/>
              </w:trPr>
              <w:tc>
                <w:tcPr>
                  <w:tcW w:w="231" w:type="pct"/>
                  <w:vMerge w:val="continue"/>
                  <w:noWrap w:val="0"/>
                  <w:vAlign w:val="center"/>
                </w:tcPr>
                <w:p w14:paraId="049AABD4">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591" w:type="pct"/>
                  <w:vMerge w:val="continue"/>
                  <w:noWrap w:val="0"/>
                  <w:vAlign w:val="center"/>
                </w:tcPr>
                <w:p w14:paraId="567EE52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516" w:type="pct"/>
                  <w:noWrap w:val="0"/>
                  <w:vAlign w:val="center"/>
                </w:tcPr>
                <w:p w14:paraId="266FA06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(声压级/距声源离</w:t>
                  </w:r>
                  <w:r>
                    <w:rPr>
                      <w:b/>
                      <w:bCs/>
                      <w:color w:val="000000" w:themeColor="text1"/>
                      <w:sz w:val="21"/>
                      <w:szCs w:val="21"/>
                      <w:highlight w:val="none"/>
                      <w14:textFill>
                        <w14:solidFill>
                          <w14:schemeClr w14:val="tx1"/>
                        </w14:solidFill>
                      </w14:textFill>
                    </w:rPr>
                    <w:t>)/(dB(A)/m)</w:t>
                  </w:r>
                </w:p>
              </w:tc>
              <w:tc>
                <w:tcPr>
                  <w:tcW w:w="347" w:type="pct"/>
                  <w:noWrap w:val="0"/>
                  <w:vAlign w:val="center"/>
                </w:tcPr>
                <w:p w14:paraId="6E2E5B1F">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声功率级/</w:t>
                  </w:r>
                  <w:r>
                    <w:rPr>
                      <w:b/>
                      <w:bCs/>
                      <w:color w:val="000000" w:themeColor="text1"/>
                      <w:sz w:val="21"/>
                      <w:szCs w:val="21"/>
                      <w:highlight w:val="none"/>
                      <w14:textFill>
                        <w14:solidFill>
                          <w14:schemeClr w14:val="tx1"/>
                        </w14:solidFill>
                      </w14:textFill>
                    </w:rPr>
                    <w:t>dB(A)</w:t>
                  </w:r>
                </w:p>
              </w:tc>
              <w:tc>
                <w:tcPr>
                  <w:tcW w:w="347" w:type="pct"/>
                  <w:noWrap w:val="0"/>
                  <w:vAlign w:val="center"/>
                </w:tcPr>
                <w:p w14:paraId="4BFD950D">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声源</w:t>
                  </w:r>
                </w:p>
                <w:p w14:paraId="53F5C95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措施</w:t>
                  </w:r>
                </w:p>
              </w:tc>
              <w:tc>
                <w:tcPr>
                  <w:tcW w:w="300" w:type="pct"/>
                  <w:noWrap w:val="0"/>
                  <w:vAlign w:val="center"/>
                </w:tcPr>
                <w:p w14:paraId="39D50D8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X</w:t>
                  </w:r>
                </w:p>
              </w:tc>
              <w:tc>
                <w:tcPr>
                  <w:tcW w:w="305" w:type="pct"/>
                  <w:noWrap w:val="0"/>
                  <w:vAlign w:val="center"/>
                </w:tcPr>
                <w:p w14:paraId="2DFD1E4B">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Y</w:t>
                  </w:r>
                </w:p>
              </w:tc>
              <w:tc>
                <w:tcPr>
                  <w:tcW w:w="260" w:type="pct"/>
                  <w:noWrap w:val="0"/>
                  <w:vAlign w:val="center"/>
                </w:tcPr>
                <w:p w14:paraId="13F1A7C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Z</w:t>
                  </w:r>
                </w:p>
              </w:tc>
              <w:tc>
                <w:tcPr>
                  <w:tcW w:w="348" w:type="pct"/>
                  <w:vMerge w:val="continue"/>
                  <w:noWrap w:val="0"/>
                  <w:vAlign w:val="center"/>
                </w:tcPr>
                <w:p w14:paraId="6658C6B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48" w:type="pct"/>
                  <w:vMerge w:val="continue"/>
                  <w:noWrap w:val="0"/>
                  <w:vAlign w:val="center"/>
                </w:tcPr>
                <w:p w14:paraId="031224B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41" w:type="pct"/>
                  <w:vMerge w:val="continue"/>
                  <w:noWrap w:val="0"/>
                  <w:vAlign w:val="center"/>
                </w:tcPr>
                <w:p w14:paraId="1A752C16">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57" w:type="pct"/>
                  <w:vMerge w:val="continue"/>
                  <w:noWrap w:val="0"/>
                  <w:vAlign w:val="center"/>
                </w:tcPr>
                <w:p w14:paraId="7E47832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48" w:type="pct"/>
                  <w:noWrap w:val="0"/>
                  <w:vAlign w:val="center"/>
                </w:tcPr>
                <w:p w14:paraId="4C7C7E0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声压级/</w:t>
                  </w:r>
                  <w:r>
                    <w:rPr>
                      <w:b/>
                      <w:bCs/>
                      <w:color w:val="000000" w:themeColor="text1"/>
                      <w:sz w:val="21"/>
                      <w:szCs w:val="21"/>
                      <w:highlight w:val="none"/>
                      <w14:textFill>
                        <w14:solidFill>
                          <w14:schemeClr w14:val="tx1"/>
                        </w14:solidFill>
                      </w14:textFill>
                    </w:rPr>
                    <w:t>dB(A)</w:t>
                  </w:r>
                </w:p>
              </w:tc>
              <w:tc>
                <w:tcPr>
                  <w:tcW w:w="352" w:type="pct"/>
                  <w:noWrap w:val="0"/>
                  <w:vAlign w:val="center"/>
                </w:tcPr>
                <w:p w14:paraId="6C3BA2B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建筑物外距离</w:t>
                  </w:r>
                </w:p>
              </w:tc>
            </w:tr>
            <w:tr w14:paraId="3FAC07F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231" w:type="pct"/>
                  <w:vMerge w:val="restart"/>
                  <w:noWrap w:val="0"/>
                  <w:vAlign w:val="center"/>
                </w:tcPr>
                <w:p w14:paraId="19CDF830">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标准厂房</w:t>
                  </w:r>
                </w:p>
              </w:tc>
              <w:tc>
                <w:tcPr>
                  <w:tcW w:w="1466" w:type="dxa"/>
                  <w:noWrap w:val="0"/>
                  <w:vAlign w:val="center"/>
                </w:tcPr>
                <w:p w14:paraId="60BD83E5">
                  <w:pPr>
                    <w:widowControl/>
                    <w:adjustRightInd/>
                    <w:snapToGrid/>
                    <w:spacing w:line="240" w:lineRule="auto"/>
                    <w:ind w:firstLine="0" w:firstLineChars="0"/>
                    <w:jc w:val="cente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搅浆机</w:t>
                  </w:r>
                  <w:r>
                    <w:rPr>
                      <w:rFonts w:hint="eastAsia"/>
                      <w:color w:val="000000" w:themeColor="text1"/>
                      <w:kern w:val="0"/>
                      <w:sz w:val="21"/>
                      <w:szCs w:val="21"/>
                      <w:lang w:val="en-US" w:eastAsia="zh-CN" w:bidi="en-US"/>
                      <w14:textFill>
                        <w14:solidFill>
                          <w14:schemeClr w14:val="tx1"/>
                        </w14:solidFill>
                      </w14:textFill>
                    </w:rPr>
                    <w:t>组</w:t>
                  </w:r>
                </w:p>
              </w:tc>
              <w:tc>
                <w:tcPr>
                  <w:tcW w:w="516" w:type="pct"/>
                  <w:noWrap w:val="0"/>
                  <w:vAlign w:val="center"/>
                </w:tcPr>
                <w:p w14:paraId="510EAA3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78</w:t>
                  </w:r>
                  <w:r>
                    <w:rPr>
                      <w:rFonts w:hint="eastAsia"/>
                      <w:color w:val="000000" w:themeColor="text1"/>
                      <w:sz w:val="21"/>
                      <w:szCs w:val="21"/>
                      <w:highlight w:val="none"/>
                      <w14:textFill>
                        <w14:solidFill>
                          <w14:schemeClr w14:val="tx1"/>
                        </w14:solidFill>
                      </w14:textFill>
                    </w:rPr>
                    <w:t>/1</w:t>
                  </w:r>
                </w:p>
              </w:tc>
              <w:tc>
                <w:tcPr>
                  <w:tcW w:w="347" w:type="pct"/>
                  <w:noWrap w:val="0"/>
                  <w:vAlign w:val="center"/>
                </w:tcPr>
                <w:p w14:paraId="64F110DB">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47" w:type="pct"/>
                  <w:vMerge w:val="restart"/>
                  <w:noWrap w:val="0"/>
                  <w:vAlign w:val="center"/>
                </w:tcPr>
                <w:p w14:paraId="4669518F">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s="Times New Roman"/>
                      <w:color w:val="000000" w:themeColor="text1"/>
                      <w:spacing w:val="6"/>
                      <w:sz w:val="21"/>
                      <w:szCs w:val="21"/>
                      <w:highlight w:val="none"/>
                      <w14:textFill>
                        <w14:solidFill>
                          <w14:schemeClr w14:val="tx1"/>
                        </w14:solidFill>
                      </w14:textFill>
                    </w:rPr>
                    <w:t>隔声、吸声、减振等措施</w:t>
                  </w:r>
                </w:p>
              </w:tc>
              <w:tc>
                <w:tcPr>
                  <w:tcW w:w="300" w:type="pct"/>
                  <w:noWrap w:val="0"/>
                  <w:vAlign w:val="center"/>
                </w:tcPr>
                <w:p w14:paraId="52CE0330">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13</w:t>
                  </w:r>
                </w:p>
              </w:tc>
              <w:tc>
                <w:tcPr>
                  <w:tcW w:w="305" w:type="pct"/>
                  <w:noWrap w:val="0"/>
                  <w:vAlign w:val="center"/>
                </w:tcPr>
                <w:p w14:paraId="52EEF51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c>
                <w:tcPr>
                  <w:tcW w:w="260" w:type="pct"/>
                  <w:noWrap w:val="0"/>
                  <w:vAlign w:val="center"/>
                </w:tcPr>
                <w:p w14:paraId="7163AD8E">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348" w:type="pct"/>
                  <w:noWrap w:val="0"/>
                  <w:vAlign w:val="center"/>
                </w:tcPr>
                <w:p w14:paraId="2E1B710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348" w:type="pct"/>
                  <w:noWrap w:val="0"/>
                  <w:vAlign w:val="center"/>
                </w:tcPr>
                <w:p w14:paraId="19F23809">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47</w:t>
                  </w:r>
                </w:p>
              </w:tc>
              <w:tc>
                <w:tcPr>
                  <w:tcW w:w="341" w:type="pct"/>
                  <w:noWrap w:val="0"/>
                  <w:vAlign w:val="center"/>
                </w:tcPr>
                <w:p w14:paraId="4FC7683F">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连续</w:t>
                  </w:r>
                </w:p>
              </w:tc>
              <w:tc>
                <w:tcPr>
                  <w:tcW w:w="357" w:type="pct"/>
                  <w:noWrap w:val="0"/>
                  <w:vAlign w:val="center"/>
                </w:tcPr>
                <w:p w14:paraId="72B3155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r>
                    <w:rPr>
                      <w:rFonts w:hint="eastAsia"/>
                      <w:color w:val="000000" w:themeColor="text1"/>
                      <w:sz w:val="21"/>
                      <w:szCs w:val="21"/>
                      <w:highlight w:val="none"/>
                      <w:lang w:val="en-US" w:eastAsia="zh-CN"/>
                      <w14:textFill>
                        <w14:solidFill>
                          <w14:schemeClr w14:val="tx1"/>
                        </w14:solidFill>
                      </w14:textFill>
                    </w:rPr>
                    <w:t>20</w:t>
                  </w:r>
                </w:p>
              </w:tc>
              <w:tc>
                <w:tcPr>
                  <w:tcW w:w="348" w:type="pct"/>
                  <w:noWrap w:val="0"/>
                  <w:vAlign w:val="center"/>
                </w:tcPr>
                <w:p w14:paraId="1B34F5F5">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37</w:t>
                  </w:r>
                </w:p>
              </w:tc>
              <w:tc>
                <w:tcPr>
                  <w:tcW w:w="352" w:type="pct"/>
                  <w:noWrap w:val="0"/>
                  <w:vAlign w:val="center"/>
                </w:tcPr>
                <w:p w14:paraId="097055C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r>
            <w:tr w14:paraId="67905902">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231" w:type="pct"/>
                  <w:vMerge w:val="continue"/>
                  <w:noWrap w:val="0"/>
                  <w:vAlign w:val="center"/>
                </w:tcPr>
                <w:p w14:paraId="52D7609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1466" w:type="dxa"/>
                  <w:noWrap w:val="0"/>
                  <w:vAlign w:val="center"/>
                </w:tcPr>
                <w:p w14:paraId="5DA2BE24">
                  <w:pPr>
                    <w:widowControl/>
                    <w:adjustRightInd/>
                    <w:snapToGrid/>
                    <w:spacing w:line="240" w:lineRule="auto"/>
                    <w:ind w:firstLine="0" w:firstLineChars="0"/>
                    <w:jc w:val="cente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空压机</w:t>
                  </w:r>
                  <w:r>
                    <w:rPr>
                      <w:rFonts w:hint="eastAsia"/>
                      <w:color w:val="000000" w:themeColor="text1"/>
                      <w:kern w:val="0"/>
                      <w:sz w:val="21"/>
                      <w:szCs w:val="21"/>
                      <w:lang w:val="en-US" w:eastAsia="zh-CN" w:bidi="en-US"/>
                      <w14:textFill>
                        <w14:solidFill>
                          <w14:schemeClr w14:val="tx1"/>
                        </w14:solidFill>
                      </w14:textFill>
                    </w:rPr>
                    <w:t>组</w:t>
                  </w:r>
                </w:p>
              </w:tc>
              <w:tc>
                <w:tcPr>
                  <w:tcW w:w="516" w:type="pct"/>
                  <w:noWrap w:val="0"/>
                  <w:vAlign w:val="center"/>
                </w:tcPr>
                <w:p w14:paraId="0D4B8166">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88</w:t>
                  </w:r>
                  <w:r>
                    <w:rPr>
                      <w:rFonts w:hint="eastAsia"/>
                      <w:color w:val="000000" w:themeColor="text1"/>
                      <w:sz w:val="21"/>
                      <w:szCs w:val="21"/>
                      <w:highlight w:val="none"/>
                      <w14:textFill>
                        <w14:solidFill>
                          <w14:schemeClr w14:val="tx1"/>
                        </w14:solidFill>
                      </w14:textFill>
                    </w:rPr>
                    <w:t>/1</w:t>
                  </w:r>
                </w:p>
              </w:tc>
              <w:tc>
                <w:tcPr>
                  <w:tcW w:w="347" w:type="pct"/>
                  <w:noWrap w:val="0"/>
                  <w:vAlign w:val="center"/>
                </w:tcPr>
                <w:p w14:paraId="6AE03C2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47" w:type="pct"/>
                  <w:vMerge w:val="continue"/>
                  <w:noWrap w:val="0"/>
                  <w:vAlign w:val="center"/>
                </w:tcPr>
                <w:p w14:paraId="2BCC39A3">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00" w:type="pct"/>
                  <w:noWrap w:val="0"/>
                  <w:vAlign w:val="center"/>
                </w:tcPr>
                <w:p w14:paraId="641FF6A0">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-33</w:t>
                  </w:r>
                </w:p>
              </w:tc>
              <w:tc>
                <w:tcPr>
                  <w:tcW w:w="305" w:type="pct"/>
                  <w:noWrap w:val="0"/>
                  <w:vAlign w:val="center"/>
                </w:tcPr>
                <w:p w14:paraId="5919CB10">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260" w:type="pct"/>
                  <w:noWrap w:val="0"/>
                  <w:vAlign w:val="center"/>
                </w:tcPr>
                <w:p w14:paraId="5E88FA4E">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348" w:type="pct"/>
                  <w:noWrap w:val="0"/>
                  <w:vAlign w:val="center"/>
                </w:tcPr>
                <w:p w14:paraId="32DBD3A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w:t>
                  </w:r>
                </w:p>
              </w:tc>
              <w:tc>
                <w:tcPr>
                  <w:tcW w:w="348" w:type="pct"/>
                  <w:noWrap w:val="0"/>
                  <w:vAlign w:val="center"/>
                </w:tcPr>
                <w:p w14:paraId="2643A596">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51</w:t>
                  </w:r>
                </w:p>
              </w:tc>
              <w:tc>
                <w:tcPr>
                  <w:tcW w:w="341" w:type="pct"/>
                  <w:noWrap w:val="0"/>
                  <w:vAlign w:val="center"/>
                </w:tcPr>
                <w:p w14:paraId="049C2B98">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连续</w:t>
                  </w:r>
                </w:p>
              </w:tc>
              <w:tc>
                <w:tcPr>
                  <w:tcW w:w="357" w:type="pct"/>
                  <w:noWrap w:val="0"/>
                  <w:vAlign w:val="center"/>
                </w:tcPr>
                <w:p w14:paraId="363F6B8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r>
                    <w:rPr>
                      <w:rFonts w:hint="eastAsia"/>
                      <w:color w:val="000000" w:themeColor="text1"/>
                      <w:sz w:val="21"/>
                      <w:szCs w:val="21"/>
                      <w:highlight w:val="none"/>
                      <w:lang w:val="en-US" w:eastAsia="zh-CN"/>
                      <w14:textFill>
                        <w14:solidFill>
                          <w14:schemeClr w14:val="tx1"/>
                        </w14:solidFill>
                      </w14:textFill>
                    </w:rPr>
                    <w:t>20</w:t>
                  </w:r>
                </w:p>
              </w:tc>
              <w:tc>
                <w:tcPr>
                  <w:tcW w:w="348" w:type="pct"/>
                  <w:noWrap w:val="0"/>
                  <w:vAlign w:val="center"/>
                </w:tcPr>
                <w:p w14:paraId="7DDC27F9">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41</w:t>
                  </w:r>
                </w:p>
              </w:tc>
              <w:tc>
                <w:tcPr>
                  <w:tcW w:w="352" w:type="pct"/>
                  <w:noWrap w:val="0"/>
                  <w:vAlign w:val="center"/>
                </w:tcPr>
                <w:p w14:paraId="37A586F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r>
            <w:tr w14:paraId="2878E02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231" w:type="pct"/>
                  <w:vMerge w:val="continue"/>
                  <w:noWrap w:val="0"/>
                  <w:vAlign w:val="center"/>
                </w:tcPr>
                <w:p w14:paraId="252BA486">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1466" w:type="dxa"/>
                  <w:noWrap w:val="0"/>
                  <w:vAlign w:val="center"/>
                </w:tcPr>
                <w:p w14:paraId="56322FAE">
                  <w:pPr>
                    <w:widowControl/>
                    <w:adjustRightInd/>
                    <w:snapToGrid/>
                    <w:spacing w:line="240" w:lineRule="auto"/>
                    <w:ind w:firstLine="0" w:firstLineChars="0"/>
                    <w:jc w:val="cente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真空泵</w:t>
                  </w:r>
                  <w:r>
                    <w:rPr>
                      <w:rFonts w:hint="eastAsia"/>
                      <w:color w:val="000000" w:themeColor="text1"/>
                      <w:kern w:val="0"/>
                      <w:sz w:val="21"/>
                      <w:szCs w:val="21"/>
                      <w:lang w:val="en-US" w:eastAsia="zh-CN" w:bidi="en-US"/>
                      <w14:textFill>
                        <w14:solidFill>
                          <w14:schemeClr w14:val="tx1"/>
                        </w14:solidFill>
                      </w14:textFill>
                    </w:rPr>
                    <w:t>组</w:t>
                  </w:r>
                </w:p>
              </w:tc>
              <w:tc>
                <w:tcPr>
                  <w:tcW w:w="516" w:type="pct"/>
                  <w:noWrap w:val="0"/>
                  <w:vAlign w:val="center"/>
                </w:tcPr>
                <w:p w14:paraId="50330F8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81</w:t>
                  </w:r>
                  <w:r>
                    <w:rPr>
                      <w:rFonts w:hint="eastAsia"/>
                      <w:color w:val="000000" w:themeColor="text1"/>
                      <w:sz w:val="21"/>
                      <w:szCs w:val="21"/>
                      <w:highlight w:val="none"/>
                      <w14:textFill>
                        <w14:solidFill>
                          <w14:schemeClr w14:val="tx1"/>
                        </w14:solidFill>
                      </w14:textFill>
                    </w:rPr>
                    <w:t>/1</w:t>
                  </w:r>
                </w:p>
              </w:tc>
              <w:tc>
                <w:tcPr>
                  <w:tcW w:w="347" w:type="pct"/>
                  <w:noWrap w:val="0"/>
                  <w:vAlign w:val="center"/>
                </w:tcPr>
                <w:p w14:paraId="3E03172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47" w:type="pct"/>
                  <w:vMerge w:val="continue"/>
                  <w:noWrap w:val="0"/>
                  <w:vAlign w:val="center"/>
                </w:tcPr>
                <w:p w14:paraId="1F046B3B">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00" w:type="pct"/>
                  <w:noWrap w:val="0"/>
                  <w:vAlign w:val="center"/>
                </w:tcPr>
                <w:p w14:paraId="0AD4740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w:t>
                  </w:r>
                </w:p>
              </w:tc>
              <w:tc>
                <w:tcPr>
                  <w:tcW w:w="305" w:type="pct"/>
                  <w:noWrap w:val="0"/>
                  <w:vAlign w:val="center"/>
                </w:tcPr>
                <w:p w14:paraId="5FA47BF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260" w:type="pct"/>
                  <w:noWrap w:val="0"/>
                  <w:vAlign w:val="center"/>
                </w:tcPr>
                <w:p w14:paraId="7285B868">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348" w:type="pct"/>
                  <w:noWrap w:val="0"/>
                  <w:vAlign w:val="center"/>
                </w:tcPr>
                <w:p w14:paraId="4E74421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348" w:type="pct"/>
                  <w:noWrap w:val="0"/>
                  <w:vAlign w:val="center"/>
                </w:tcPr>
                <w:p w14:paraId="44DA122F">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w:t>
                  </w:r>
                </w:p>
              </w:tc>
              <w:tc>
                <w:tcPr>
                  <w:tcW w:w="341" w:type="pct"/>
                  <w:noWrap w:val="0"/>
                  <w:vAlign w:val="center"/>
                </w:tcPr>
                <w:p w14:paraId="4AAB89D4">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连续</w:t>
                  </w:r>
                </w:p>
              </w:tc>
              <w:tc>
                <w:tcPr>
                  <w:tcW w:w="357" w:type="pct"/>
                  <w:noWrap w:val="0"/>
                  <w:vAlign w:val="center"/>
                </w:tcPr>
                <w:p w14:paraId="73ACD78D">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r>
                    <w:rPr>
                      <w:rFonts w:hint="eastAsia"/>
                      <w:color w:val="000000" w:themeColor="text1"/>
                      <w:sz w:val="21"/>
                      <w:szCs w:val="21"/>
                      <w:highlight w:val="none"/>
                      <w:lang w:val="en-US" w:eastAsia="zh-CN"/>
                      <w14:textFill>
                        <w14:solidFill>
                          <w14:schemeClr w14:val="tx1"/>
                        </w14:solidFill>
                      </w14:textFill>
                    </w:rPr>
                    <w:t>20</w:t>
                  </w:r>
                </w:p>
              </w:tc>
              <w:tc>
                <w:tcPr>
                  <w:tcW w:w="348" w:type="pct"/>
                  <w:noWrap w:val="0"/>
                  <w:vAlign w:val="center"/>
                </w:tcPr>
                <w:p w14:paraId="4003EA19">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40</w:t>
                  </w:r>
                </w:p>
              </w:tc>
              <w:tc>
                <w:tcPr>
                  <w:tcW w:w="352" w:type="pct"/>
                  <w:noWrap w:val="0"/>
                  <w:vAlign w:val="center"/>
                </w:tcPr>
                <w:p w14:paraId="38F5988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r>
            <w:tr w14:paraId="141D3CA9">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231" w:type="pct"/>
                  <w:vMerge w:val="continue"/>
                  <w:noWrap w:val="0"/>
                  <w:vAlign w:val="center"/>
                </w:tcPr>
                <w:p w14:paraId="4402667B">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p>
              </w:tc>
              <w:tc>
                <w:tcPr>
                  <w:tcW w:w="1466" w:type="dxa"/>
                  <w:noWrap w:val="0"/>
                  <w:vAlign w:val="center"/>
                </w:tcPr>
                <w:p w14:paraId="6ACBA2DD">
                  <w:pPr>
                    <w:widowControl/>
                    <w:adjustRightInd/>
                    <w:snapToGrid/>
                    <w:spacing w:line="240" w:lineRule="auto"/>
                    <w:ind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打磨机</w:t>
                  </w:r>
                </w:p>
              </w:tc>
              <w:tc>
                <w:tcPr>
                  <w:tcW w:w="516" w:type="pct"/>
                  <w:noWrap w:val="0"/>
                  <w:vAlign w:val="center"/>
                </w:tcPr>
                <w:p w14:paraId="4A65F48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w:t>
                  </w:r>
                  <w:r>
                    <w:rPr>
                      <w:rFonts w:hint="eastAsia"/>
                      <w:color w:val="000000" w:themeColor="text1"/>
                      <w:sz w:val="21"/>
                      <w:szCs w:val="21"/>
                      <w:highlight w:val="none"/>
                      <w14:textFill>
                        <w14:solidFill>
                          <w14:schemeClr w14:val="tx1"/>
                        </w14:solidFill>
                      </w14:textFill>
                    </w:rPr>
                    <w:t>1</w:t>
                  </w:r>
                </w:p>
              </w:tc>
              <w:tc>
                <w:tcPr>
                  <w:tcW w:w="347" w:type="pct"/>
                  <w:noWrap w:val="0"/>
                  <w:vAlign w:val="center"/>
                </w:tcPr>
                <w:p w14:paraId="32B1A2B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347" w:type="pct"/>
                  <w:vMerge w:val="continue"/>
                  <w:noWrap w:val="0"/>
                  <w:vAlign w:val="center"/>
                </w:tcPr>
                <w:p w14:paraId="5E2A2335">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00" w:type="pct"/>
                  <w:noWrap w:val="0"/>
                  <w:vAlign w:val="center"/>
                </w:tcPr>
                <w:p w14:paraId="488E672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13</w:t>
                  </w:r>
                </w:p>
              </w:tc>
              <w:tc>
                <w:tcPr>
                  <w:tcW w:w="305" w:type="pct"/>
                  <w:noWrap w:val="0"/>
                  <w:vAlign w:val="center"/>
                </w:tcPr>
                <w:p w14:paraId="2024B24E">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w:t>
                  </w:r>
                </w:p>
              </w:tc>
              <w:tc>
                <w:tcPr>
                  <w:tcW w:w="260" w:type="pct"/>
                  <w:noWrap w:val="0"/>
                  <w:vAlign w:val="center"/>
                </w:tcPr>
                <w:p w14:paraId="53CFD32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348" w:type="pct"/>
                  <w:noWrap w:val="0"/>
                  <w:vAlign w:val="center"/>
                </w:tcPr>
                <w:p w14:paraId="67142CA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348" w:type="pct"/>
                  <w:noWrap w:val="0"/>
                  <w:vAlign w:val="center"/>
                </w:tcPr>
                <w:p w14:paraId="69766A39">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51.8</w:t>
                  </w:r>
                </w:p>
              </w:tc>
              <w:tc>
                <w:tcPr>
                  <w:tcW w:w="341" w:type="pct"/>
                  <w:noWrap w:val="0"/>
                  <w:vAlign w:val="center"/>
                </w:tcPr>
                <w:p w14:paraId="6EAA2FD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连续</w:t>
                  </w:r>
                </w:p>
              </w:tc>
              <w:tc>
                <w:tcPr>
                  <w:tcW w:w="357" w:type="pct"/>
                  <w:noWrap w:val="0"/>
                  <w:vAlign w:val="center"/>
                </w:tcPr>
                <w:p w14:paraId="13222C5B">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r>
                    <w:rPr>
                      <w:rFonts w:hint="eastAsia"/>
                      <w:color w:val="000000" w:themeColor="text1"/>
                      <w:sz w:val="21"/>
                      <w:szCs w:val="21"/>
                      <w:highlight w:val="none"/>
                      <w:lang w:val="en-US" w:eastAsia="zh-CN"/>
                      <w14:textFill>
                        <w14:solidFill>
                          <w14:schemeClr w14:val="tx1"/>
                        </w14:solidFill>
                      </w14:textFill>
                    </w:rPr>
                    <w:t>20</w:t>
                  </w:r>
                </w:p>
              </w:tc>
              <w:tc>
                <w:tcPr>
                  <w:tcW w:w="348" w:type="pct"/>
                  <w:noWrap w:val="0"/>
                  <w:vAlign w:val="center"/>
                </w:tcPr>
                <w:p w14:paraId="4CCD4EE2">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41.8</w:t>
                  </w:r>
                </w:p>
              </w:tc>
              <w:tc>
                <w:tcPr>
                  <w:tcW w:w="352" w:type="pct"/>
                  <w:noWrap w:val="0"/>
                  <w:vAlign w:val="center"/>
                </w:tcPr>
                <w:p w14:paraId="5BA5D6E4">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r>
            <w:tr w14:paraId="45A4FC52">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231" w:type="pct"/>
                  <w:vMerge w:val="continue"/>
                  <w:noWrap w:val="0"/>
                  <w:vAlign w:val="center"/>
                </w:tcPr>
                <w:p w14:paraId="4BF6976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1466" w:type="dxa"/>
                  <w:noWrap w:val="0"/>
                  <w:vAlign w:val="center"/>
                </w:tcPr>
                <w:p w14:paraId="13D04FDB">
                  <w:pPr>
                    <w:widowControl/>
                    <w:adjustRightInd/>
                    <w:snapToGrid/>
                    <w:spacing w:line="240" w:lineRule="auto"/>
                    <w:ind w:firstLine="0" w:firstLineChars="0"/>
                    <w:jc w:val="center"/>
                    <w:rPr>
                      <w:rFonts w:hint="eastAsia"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修边刀</w:t>
                  </w:r>
                  <w:r>
                    <w:rPr>
                      <w:rFonts w:hint="eastAsia"/>
                      <w:color w:val="000000" w:themeColor="text1"/>
                      <w:kern w:val="0"/>
                      <w:sz w:val="21"/>
                      <w:szCs w:val="21"/>
                      <w:lang w:val="en-US" w:eastAsia="zh-CN" w:bidi="en-US"/>
                      <w14:textFill>
                        <w14:solidFill>
                          <w14:schemeClr w14:val="tx1"/>
                        </w14:solidFill>
                      </w14:textFill>
                    </w:rPr>
                    <w:t>组</w:t>
                  </w:r>
                </w:p>
              </w:tc>
              <w:tc>
                <w:tcPr>
                  <w:tcW w:w="516" w:type="pct"/>
                  <w:noWrap w:val="0"/>
                  <w:vAlign w:val="center"/>
                </w:tcPr>
                <w:p w14:paraId="33A6222D">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82.8/1</w:t>
                  </w:r>
                </w:p>
              </w:tc>
              <w:tc>
                <w:tcPr>
                  <w:tcW w:w="347" w:type="pct"/>
                  <w:noWrap w:val="0"/>
                  <w:vAlign w:val="center"/>
                </w:tcPr>
                <w:p w14:paraId="4087687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w:t>
                  </w:r>
                </w:p>
              </w:tc>
              <w:tc>
                <w:tcPr>
                  <w:tcW w:w="347" w:type="pct"/>
                  <w:vMerge w:val="continue"/>
                  <w:noWrap w:val="0"/>
                  <w:vAlign w:val="center"/>
                </w:tcPr>
                <w:p w14:paraId="1D23A6D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00" w:type="pct"/>
                  <w:noWrap w:val="0"/>
                  <w:vAlign w:val="center"/>
                </w:tcPr>
                <w:p w14:paraId="7E216498">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w:t>
                  </w:r>
                </w:p>
              </w:tc>
              <w:tc>
                <w:tcPr>
                  <w:tcW w:w="305" w:type="pct"/>
                  <w:noWrap w:val="0"/>
                  <w:vAlign w:val="center"/>
                </w:tcPr>
                <w:p w14:paraId="569628A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9</w:t>
                  </w:r>
                </w:p>
              </w:tc>
              <w:tc>
                <w:tcPr>
                  <w:tcW w:w="260" w:type="pct"/>
                  <w:noWrap w:val="0"/>
                  <w:vAlign w:val="center"/>
                </w:tcPr>
                <w:p w14:paraId="0C8EF39D">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348" w:type="pct"/>
                  <w:noWrap w:val="0"/>
                  <w:vAlign w:val="center"/>
                </w:tcPr>
                <w:p w14:paraId="7CBAFC0D">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348" w:type="pct"/>
                  <w:noWrap w:val="0"/>
                  <w:vAlign w:val="center"/>
                </w:tcPr>
                <w:p w14:paraId="14028EE6">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49</w:t>
                  </w:r>
                </w:p>
              </w:tc>
              <w:tc>
                <w:tcPr>
                  <w:tcW w:w="341" w:type="pct"/>
                  <w:noWrap w:val="0"/>
                  <w:vAlign w:val="center"/>
                </w:tcPr>
                <w:p w14:paraId="79F3BF55">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连续</w:t>
                  </w:r>
                </w:p>
              </w:tc>
              <w:tc>
                <w:tcPr>
                  <w:tcW w:w="357" w:type="pct"/>
                  <w:noWrap w:val="0"/>
                  <w:vAlign w:val="center"/>
                </w:tcPr>
                <w:p w14:paraId="0682AD46">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r>
                    <w:rPr>
                      <w:rFonts w:hint="eastAsia"/>
                      <w:color w:val="000000" w:themeColor="text1"/>
                      <w:sz w:val="21"/>
                      <w:szCs w:val="21"/>
                      <w:highlight w:val="none"/>
                      <w:lang w:val="en-US" w:eastAsia="zh-CN"/>
                      <w14:textFill>
                        <w14:solidFill>
                          <w14:schemeClr w14:val="tx1"/>
                        </w14:solidFill>
                      </w14:textFill>
                    </w:rPr>
                    <w:t>20</w:t>
                  </w:r>
                </w:p>
              </w:tc>
              <w:tc>
                <w:tcPr>
                  <w:tcW w:w="348" w:type="pct"/>
                  <w:noWrap w:val="0"/>
                  <w:vAlign w:val="center"/>
                </w:tcPr>
                <w:p w14:paraId="535D3749">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39</w:t>
                  </w:r>
                </w:p>
              </w:tc>
              <w:tc>
                <w:tcPr>
                  <w:tcW w:w="352" w:type="pct"/>
                  <w:noWrap w:val="0"/>
                  <w:vAlign w:val="center"/>
                </w:tcPr>
                <w:p w14:paraId="01888CF6">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r>
            <w:tr w14:paraId="49D114C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231" w:type="pct"/>
                  <w:vMerge w:val="continue"/>
                  <w:noWrap w:val="0"/>
                  <w:vAlign w:val="center"/>
                </w:tcPr>
                <w:p w14:paraId="7259B64F">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1466" w:type="dxa"/>
                  <w:noWrap w:val="0"/>
                  <w:vAlign w:val="center"/>
                </w:tcPr>
                <w:p w14:paraId="0D92DB0B">
                  <w:pPr>
                    <w:widowControl/>
                    <w:adjustRightInd/>
                    <w:snapToGrid/>
                    <w:spacing w:line="240" w:lineRule="auto"/>
                    <w:ind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真空机</w:t>
                  </w:r>
                </w:p>
              </w:tc>
              <w:tc>
                <w:tcPr>
                  <w:tcW w:w="516" w:type="pct"/>
                  <w:noWrap w:val="0"/>
                  <w:vAlign w:val="center"/>
                </w:tcPr>
                <w:p w14:paraId="1552672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80/1</w:t>
                  </w:r>
                </w:p>
              </w:tc>
              <w:tc>
                <w:tcPr>
                  <w:tcW w:w="347" w:type="pct"/>
                  <w:noWrap w:val="0"/>
                  <w:vAlign w:val="center"/>
                </w:tcPr>
                <w:p w14:paraId="0CF8F30F">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w:t>
                  </w:r>
                </w:p>
              </w:tc>
              <w:tc>
                <w:tcPr>
                  <w:tcW w:w="347" w:type="pct"/>
                  <w:vMerge w:val="continue"/>
                  <w:noWrap w:val="0"/>
                  <w:vAlign w:val="center"/>
                </w:tcPr>
                <w:p w14:paraId="309EBC2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00" w:type="pct"/>
                  <w:noWrap w:val="0"/>
                  <w:vAlign w:val="center"/>
                </w:tcPr>
                <w:p w14:paraId="712F6045">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w:t>
                  </w:r>
                </w:p>
              </w:tc>
              <w:tc>
                <w:tcPr>
                  <w:tcW w:w="305" w:type="pct"/>
                  <w:noWrap w:val="0"/>
                  <w:vAlign w:val="center"/>
                </w:tcPr>
                <w:p w14:paraId="5955D8E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w:t>
                  </w:r>
                </w:p>
              </w:tc>
              <w:tc>
                <w:tcPr>
                  <w:tcW w:w="260" w:type="pct"/>
                  <w:noWrap w:val="0"/>
                  <w:vAlign w:val="center"/>
                </w:tcPr>
                <w:p w14:paraId="227715FD">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348" w:type="pct"/>
                  <w:noWrap w:val="0"/>
                  <w:vAlign w:val="center"/>
                </w:tcPr>
                <w:p w14:paraId="2B162663">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w:t>
                  </w:r>
                </w:p>
              </w:tc>
              <w:tc>
                <w:tcPr>
                  <w:tcW w:w="348" w:type="pct"/>
                  <w:noWrap w:val="0"/>
                  <w:vAlign w:val="center"/>
                </w:tcPr>
                <w:p w14:paraId="49945608">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39.4</w:t>
                  </w:r>
                </w:p>
              </w:tc>
              <w:tc>
                <w:tcPr>
                  <w:tcW w:w="341" w:type="pct"/>
                  <w:noWrap w:val="0"/>
                  <w:vAlign w:val="center"/>
                </w:tcPr>
                <w:p w14:paraId="29E538D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连续</w:t>
                  </w:r>
                </w:p>
              </w:tc>
              <w:tc>
                <w:tcPr>
                  <w:tcW w:w="357" w:type="pct"/>
                  <w:noWrap w:val="0"/>
                  <w:vAlign w:val="center"/>
                </w:tcPr>
                <w:p w14:paraId="6456C954">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r>
                    <w:rPr>
                      <w:rFonts w:hint="eastAsia"/>
                      <w:color w:val="000000" w:themeColor="text1"/>
                      <w:sz w:val="21"/>
                      <w:szCs w:val="21"/>
                      <w:highlight w:val="none"/>
                      <w:lang w:val="en-US" w:eastAsia="zh-CN"/>
                      <w14:textFill>
                        <w14:solidFill>
                          <w14:schemeClr w14:val="tx1"/>
                        </w14:solidFill>
                      </w14:textFill>
                    </w:rPr>
                    <w:t>20</w:t>
                  </w:r>
                </w:p>
              </w:tc>
              <w:tc>
                <w:tcPr>
                  <w:tcW w:w="348" w:type="pct"/>
                  <w:noWrap w:val="0"/>
                  <w:vAlign w:val="center"/>
                </w:tcPr>
                <w:p w14:paraId="7E953D86">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29.4</w:t>
                  </w:r>
                </w:p>
              </w:tc>
              <w:tc>
                <w:tcPr>
                  <w:tcW w:w="352" w:type="pct"/>
                  <w:noWrap w:val="0"/>
                  <w:vAlign w:val="center"/>
                </w:tcPr>
                <w:p w14:paraId="658ABEEE">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r>
            <w:tr w14:paraId="7E34885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231" w:type="pct"/>
                  <w:vMerge w:val="continue"/>
                  <w:noWrap w:val="0"/>
                  <w:vAlign w:val="center"/>
                </w:tcPr>
                <w:p w14:paraId="1C764F7B">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1466" w:type="dxa"/>
                  <w:noWrap w:val="0"/>
                  <w:vAlign w:val="center"/>
                </w:tcPr>
                <w:p w14:paraId="5653FB27">
                  <w:pPr>
                    <w:widowControl/>
                    <w:adjustRightInd/>
                    <w:snapToGrid/>
                    <w:spacing w:line="240" w:lineRule="auto"/>
                    <w:ind w:firstLine="0" w:firstLineChars="0"/>
                    <w:jc w:val="center"/>
                    <w:rPr>
                      <w:rFonts w:hint="default" w:ascii="Times New Roman" w:hAnsi="Times New Roman" w:eastAsia="宋体" w:cs="Times New Roman"/>
                      <w:b w:val="0"/>
                      <w:bCs/>
                      <w:color w:val="000000" w:themeColor="text1"/>
                      <w:kern w:val="0"/>
                      <w:sz w:val="21"/>
                      <w:szCs w:val="21"/>
                      <w:lang w:val="en-US" w:eastAsia="zh-CN" w:bidi="ar-SA"/>
                      <w14:textFill>
                        <w14:solidFill>
                          <w14:schemeClr w14:val="tx1"/>
                        </w14:solidFill>
                      </w14:textFill>
                    </w:rPr>
                  </w:pPr>
                  <w:r>
                    <w:rPr>
                      <w:rFonts w:hint="eastAsia"/>
                      <w:color w:val="000000" w:themeColor="text1"/>
                      <w:kern w:val="0"/>
                      <w:sz w:val="21"/>
                      <w:szCs w:val="21"/>
                      <w:lang w:bidi="en-US"/>
                      <w14:textFill>
                        <w14:solidFill>
                          <w14:schemeClr w14:val="tx1"/>
                        </w14:solidFill>
                      </w14:textFill>
                    </w:rPr>
                    <w:t>磨底机</w:t>
                  </w:r>
                </w:p>
              </w:tc>
              <w:tc>
                <w:tcPr>
                  <w:tcW w:w="516" w:type="pct"/>
                  <w:noWrap w:val="0"/>
                  <w:vAlign w:val="center"/>
                </w:tcPr>
                <w:p w14:paraId="71E100B3">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80/1</w:t>
                  </w:r>
                </w:p>
              </w:tc>
              <w:tc>
                <w:tcPr>
                  <w:tcW w:w="347" w:type="pct"/>
                  <w:noWrap w:val="0"/>
                  <w:vAlign w:val="center"/>
                </w:tcPr>
                <w:p w14:paraId="12CEA58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w:t>
                  </w:r>
                </w:p>
              </w:tc>
              <w:tc>
                <w:tcPr>
                  <w:tcW w:w="347" w:type="pct"/>
                  <w:vMerge w:val="continue"/>
                  <w:noWrap w:val="0"/>
                  <w:vAlign w:val="center"/>
                </w:tcPr>
                <w:p w14:paraId="7FDAF4FE">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color w:val="000000" w:themeColor="text1"/>
                      <w:sz w:val="21"/>
                      <w:szCs w:val="21"/>
                      <w:highlight w:val="none"/>
                      <w14:textFill>
                        <w14:solidFill>
                          <w14:schemeClr w14:val="tx1"/>
                        </w14:solidFill>
                      </w14:textFill>
                    </w:rPr>
                  </w:pPr>
                </w:p>
              </w:tc>
              <w:tc>
                <w:tcPr>
                  <w:tcW w:w="300" w:type="pct"/>
                  <w:noWrap w:val="0"/>
                  <w:vAlign w:val="center"/>
                </w:tcPr>
                <w:p w14:paraId="576B9FB1">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27</w:t>
                  </w:r>
                </w:p>
              </w:tc>
              <w:tc>
                <w:tcPr>
                  <w:tcW w:w="305" w:type="pct"/>
                  <w:noWrap w:val="0"/>
                  <w:vAlign w:val="center"/>
                </w:tcPr>
                <w:p w14:paraId="655BD40A">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w:t>
                  </w:r>
                </w:p>
              </w:tc>
              <w:tc>
                <w:tcPr>
                  <w:tcW w:w="260" w:type="pct"/>
                  <w:noWrap w:val="0"/>
                  <w:vAlign w:val="center"/>
                </w:tcPr>
                <w:p w14:paraId="73FE9359">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348" w:type="pct"/>
                  <w:noWrap w:val="0"/>
                  <w:vAlign w:val="center"/>
                </w:tcPr>
                <w:p w14:paraId="2E3513B8">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8</w:t>
                  </w:r>
                </w:p>
              </w:tc>
              <w:tc>
                <w:tcPr>
                  <w:tcW w:w="348" w:type="pct"/>
                  <w:noWrap w:val="0"/>
                  <w:vAlign w:val="center"/>
                </w:tcPr>
                <w:p w14:paraId="381BCC56">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36.9</w:t>
                  </w:r>
                </w:p>
              </w:tc>
              <w:tc>
                <w:tcPr>
                  <w:tcW w:w="341" w:type="pct"/>
                  <w:noWrap w:val="0"/>
                  <w:vAlign w:val="center"/>
                </w:tcPr>
                <w:p w14:paraId="515C322C">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连续</w:t>
                  </w:r>
                </w:p>
              </w:tc>
              <w:tc>
                <w:tcPr>
                  <w:tcW w:w="357" w:type="pct"/>
                  <w:noWrap w:val="0"/>
                  <w:vAlign w:val="center"/>
                </w:tcPr>
                <w:p w14:paraId="0BC87F38">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r>
                    <w:rPr>
                      <w:rFonts w:hint="eastAsia"/>
                      <w:color w:val="000000" w:themeColor="text1"/>
                      <w:sz w:val="21"/>
                      <w:szCs w:val="21"/>
                      <w:highlight w:val="none"/>
                      <w:lang w:val="en-US" w:eastAsia="zh-CN"/>
                      <w14:textFill>
                        <w14:solidFill>
                          <w14:schemeClr w14:val="tx1"/>
                        </w14:solidFill>
                      </w14:textFill>
                    </w:rPr>
                    <w:t>20</w:t>
                  </w:r>
                </w:p>
              </w:tc>
              <w:tc>
                <w:tcPr>
                  <w:tcW w:w="348" w:type="pct"/>
                  <w:noWrap w:val="0"/>
                  <w:vAlign w:val="center"/>
                </w:tcPr>
                <w:p w14:paraId="76CF0E5E">
                  <w:pPr>
                    <w:keepNext w:val="0"/>
                    <w:keepLines w:val="0"/>
                    <w:pageBreakBefore w:val="0"/>
                    <w:widowControl/>
                    <w:suppressLineNumbers w:val="0"/>
                    <w:kinsoku/>
                    <w:wordWrap/>
                    <w:overflowPunct/>
                    <w:topLinePunct w:val="0"/>
                    <w:autoSpaceDE/>
                    <w:autoSpaceDN/>
                    <w:bidi w:val="0"/>
                    <w:spacing w:line="240" w:lineRule="auto"/>
                    <w:ind w:left="0" w:leftChars="0" w:right="0" w:rightChars="0" w:firstLine="0" w:firstLineChars="0"/>
                    <w:jc w:val="center"/>
                    <w:textAlignment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26.9</w:t>
                  </w:r>
                </w:p>
              </w:tc>
              <w:tc>
                <w:tcPr>
                  <w:tcW w:w="352" w:type="pct"/>
                  <w:noWrap w:val="0"/>
                  <w:vAlign w:val="center"/>
                </w:tcPr>
                <w:p w14:paraId="622EC507">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r>
            <w:tr w14:paraId="5034AD49">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4" w:hRule="atLeast"/>
              </w:trPr>
              <w:tc>
                <w:tcPr>
                  <w:tcW w:w="5000" w:type="pct"/>
                  <w:gridSpan w:val="14"/>
                  <w:noWrap w:val="0"/>
                  <w:vAlign w:val="center"/>
                </w:tcPr>
                <w:p w14:paraId="26921EF2">
                  <w:pPr>
                    <w:pStyle w:val="16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b/>
                      <w:bCs/>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注：[1]</w:t>
                  </w:r>
                  <w:r>
                    <w:rPr>
                      <w:rFonts w:hint="eastAsia" w:cs="Times New Roman"/>
                      <w:b w:val="0"/>
                      <w:bCs w:val="0"/>
                      <w:color w:val="000000" w:themeColor="text1"/>
                      <w:spacing w:val="6"/>
                      <w:kern w:val="2"/>
                      <w:sz w:val="21"/>
                      <w:szCs w:val="21"/>
                      <w:highlight w:val="none"/>
                      <w:lang w:val="en-US" w:eastAsia="zh-CN" w:bidi="ar-SA"/>
                      <w14:textFill>
                        <w14:solidFill>
                          <w14:schemeClr w14:val="tx1"/>
                        </w14:solidFill>
                      </w14:textFill>
                    </w:rPr>
                    <w:t>将同一类型的设备看作声源组，下同；[2]</w:t>
                  </w:r>
                  <w:r>
                    <w:rPr>
                      <w:rFonts w:hint="eastAsia"/>
                      <w:b w:val="0"/>
                      <w:bCs w:val="0"/>
                      <w:color w:val="000000" w:themeColor="text1"/>
                      <w:sz w:val="21"/>
                      <w:szCs w:val="21"/>
                      <w:highlight w:val="none"/>
                      <w:lang w:val="en-US" w:eastAsia="zh-CN"/>
                      <w14:textFill>
                        <w14:solidFill>
                          <w14:schemeClr w14:val="tx1"/>
                        </w14:solidFill>
                      </w14:textFill>
                    </w:rPr>
                    <w:t>坐标原点（0，0）为项目中心，即东经115°27'17.164"，北纬28°28'0.290"；[3]距室内边界距离为设备距离室内边界最近距离。</w:t>
                  </w:r>
                </w:p>
              </w:tc>
            </w:tr>
          </w:tbl>
          <w:p w14:paraId="391FA254">
            <w:pPr>
              <w:numPr>
                <w:ilvl w:val="0"/>
                <w:numId w:val="0"/>
              </w:numPr>
              <w:spacing w:line="240" w:lineRule="auto"/>
              <w:jc w:val="center"/>
              <w:rPr>
                <w:b/>
                <w:color w:val="000000" w:themeColor="text1"/>
                <w:sz w:val="21"/>
                <w:szCs w:val="21"/>
                <w14:textFill>
                  <w14:solidFill>
                    <w14:schemeClr w14:val="tx1"/>
                  </w14:solidFill>
                </w14:textFill>
              </w:rPr>
            </w:pPr>
          </w:p>
          <w:p w14:paraId="4AE6C3BD">
            <w:pPr>
              <w:numPr>
                <w:ilvl w:val="3"/>
                <w:numId w:val="19"/>
              </w:numPr>
              <w:tabs>
                <w:tab w:val="left" w:pos="420"/>
              </w:tabs>
              <w:spacing w:line="240" w:lineRule="auto"/>
              <w:ind w:firstLine="422"/>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工业企业噪声源强调查清单（室外声源）</w:t>
            </w:r>
          </w:p>
          <w:tbl>
            <w:tblPr>
              <w:tblStyle w:val="36"/>
              <w:tblW w:w="4968"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783"/>
              <w:gridCol w:w="1575"/>
              <w:gridCol w:w="857"/>
              <w:gridCol w:w="2145"/>
              <w:gridCol w:w="1410"/>
              <w:gridCol w:w="1364"/>
              <w:gridCol w:w="969"/>
              <w:gridCol w:w="955"/>
              <w:gridCol w:w="1027"/>
              <w:gridCol w:w="1272"/>
            </w:tblGrid>
            <w:tr w14:paraId="3B0F39A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71" w:hRule="atLeast"/>
                <w:tblHeader/>
                <w:jc w:val="center"/>
              </w:trPr>
              <w:tc>
                <w:tcPr>
                  <w:tcW w:w="316" w:type="pct"/>
                  <w:vMerge w:val="restart"/>
                  <w:tcBorders>
                    <w:tl2br w:val="nil"/>
                    <w:tr2bl w:val="nil"/>
                  </w:tcBorders>
                  <w:shd w:val="clear" w:color="auto" w:fill="FFFFFF"/>
                  <w:noWrap w:val="0"/>
                  <w:vAlign w:val="center"/>
                </w:tcPr>
                <w:p w14:paraId="64DB5F1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序号</w:t>
                  </w:r>
                </w:p>
              </w:tc>
              <w:tc>
                <w:tcPr>
                  <w:tcW w:w="637" w:type="pct"/>
                  <w:vMerge w:val="restart"/>
                  <w:tcBorders>
                    <w:tl2br w:val="nil"/>
                    <w:tr2bl w:val="nil"/>
                  </w:tcBorders>
                  <w:shd w:val="clear" w:color="auto" w:fill="FFFFFF"/>
                  <w:noWrap w:val="0"/>
                  <w:vAlign w:val="center"/>
                </w:tcPr>
                <w:p w14:paraId="4F7EFC83">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声源名称</w:t>
                  </w:r>
                </w:p>
              </w:tc>
              <w:tc>
                <w:tcPr>
                  <w:tcW w:w="346" w:type="pct"/>
                  <w:vMerge w:val="restart"/>
                  <w:tcBorders>
                    <w:tl2br w:val="nil"/>
                    <w:tr2bl w:val="nil"/>
                  </w:tcBorders>
                  <w:shd w:val="clear" w:color="auto" w:fill="FFFFFF"/>
                  <w:noWrap w:val="0"/>
                  <w:vAlign w:val="center"/>
                </w:tcPr>
                <w:p w14:paraId="506C8E0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型号</w:t>
                  </w:r>
                </w:p>
              </w:tc>
              <w:tc>
                <w:tcPr>
                  <w:tcW w:w="1438" w:type="pct"/>
                  <w:gridSpan w:val="2"/>
                  <w:tcBorders>
                    <w:tl2br w:val="nil"/>
                    <w:tr2bl w:val="nil"/>
                  </w:tcBorders>
                  <w:shd w:val="clear" w:color="auto" w:fill="FFFFFF"/>
                  <w:noWrap w:val="0"/>
                  <w:vAlign w:val="center"/>
                </w:tcPr>
                <w:p w14:paraId="23F41D1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14:textFill>
                        <w14:solidFill>
                          <w14:schemeClr w14:val="tx1"/>
                        </w14:solidFill>
                      </w14:textFill>
                    </w:rPr>
                    <w:t>声源源强（任选一种）</w:t>
                  </w:r>
                </w:p>
              </w:tc>
              <w:tc>
                <w:tcPr>
                  <w:tcW w:w="551" w:type="pct"/>
                  <w:vMerge w:val="restart"/>
                  <w:tcBorders>
                    <w:tl2br w:val="nil"/>
                    <w:tr2bl w:val="nil"/>
                  </w:tcBorders>
                  <w:shd w:val="clear" w:color="auto" w:fill="FFFFFF"/>
                  <w:noWrap w:val="0"/>
                  <w:vAlign w:val="center"/>
                </w:tcPr>
                <w:p w14:paraId="1EDFFA8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声源控制</w:t>
                  </w:r>
                </w:p>
                <w:p w14:paraId="1CF0E54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措施</w:t>
                  </w:r>
                </w:p>
              </w:tc>
              <w:tc>
                <w:tcPr>
                  <w:tcW w:w="1194" w:type="pct"/>
                  <w:gridSpan w:val="3"/>
                  <w:tcBorders>
                    <w:tl2br w:val="nil"/>
                    <w:tr2bl w:val="nil"/>
                  </w:tcBorders>
                  <w:shd w:val="clear" w:color="auto" w:fill="FFFFFF"/>
                  <w:noWrap w:val="0"/>
                  <w:vAlign w:val="center"/>
                </w:tcPr>
                <w:p w14:paraId="3C887848">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14:textFill>
                        <w14:solidFill>
                          <w14:schemeClr w14:val="tx1"/>
                        </w14:solidFill>
                      </w14:textFill>
                    </w:rPr>
                    <w:t>空间相对位置</w:t>
                  </w:r>
                  <w:r>
                    <w:rPr>
                      <w:rFonts w:ascii="Times New Roman" w:hAnsi="Times New Roman" w:eastAsia="宋体" w:cs="Times New Roman"/>
                      <w:b/>
                      <w:color w:val="000000" w:themeColor="text1"/>
                      <w:kern w:val="0"/>
                      <w:sz w:val="21"/>
                      <w:szCs w:val="21"/>
                      <w:highlight w:val="none"/>
                      <w14:textFill>
                        <w14:solidFill>
                          <w14:schemeClr w14:val="tx1"/>
                        </w14:solidFill>
                      </w14:textFill>
                    </w:rPr>
                    <w:t>（以厂区中心为原点）</w:t>
                  </w:r>
                  <w:r>
                    <w:rPr>
                      <w:rFonts w:ascii="Times New Roman" w:hAnsi="Times New Roman" w:eastAsia="宋体" w:cs="Times New Roman"/>
                      <w:b/>
                      <w:bCs/>
                      <w:color w:val="000000" w:themeColor="text1"/>
                      <w:spacing w:val="6"/>
                      <w:sz w:val="21"/>
                      <w:szCs w:val="21"/>
                      <w:highlight w:val="none"/>
                      <w14:textFill>
                        <w14:solidFill>
                          <w14:schemeClr w14:val="tx1"/>
                        </w14:solidFill>
                      </w14:textFill>
                    </w:rPr>
                    <w:t>/m</w:t>
                  </w:r>
                </w:p>
              </w:tc>
              <w:tc>
                <w:tcPr>
                  <w:tcW w:w="514" w:type="pct"/>
                  <w:vMerge w:val="restart"/>
                  <w:tcBorders>
                    <w:tl2br w:val="nil"/>
                    <w:tr2bl w:val="nil"/>
                  </w:tcBorders>
                  <w:shd w:val="clear" w:color="auto" w:fill="FFFFFF"/>
                  <w:noWrap w:val="0"/>
                  <w:vAlign w:val="center"/>
                </w:tcPr>
                <w:p w14:paraId="5BFEE140">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运行时段</w:t>
                  </w:r>
                </w:p>
              </w:tc>
            </w:tr>
            <w:tr w14:paraId="2D77CC1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47" w:hRule="atLeast"/>
                <w:tblHeader/>
                <w:jc w:val="center"/>
              </w:trPr>
              <w:tc>
                <w:tcPr>
                  <w:tcW w:w="316" w:type="pct"/>
                  <w:vMerge w:val="continue"/>
                  <w:tcBorders>
                    <w:tl2br w:val="nil"/>
                    <w:tr2bl w:val="nil"/>
                  </w:tcBorders>
                  <w:shd w:val="clear" w:color="auto" w:fill="FFFFFF"/>
                  <w:noWrap w:val="0"/>
                  <w:vAlign w:val="center"/>
                </w:tcPr>
                <w:p w14:paraId="735E95E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p>
              </w:tc>
              <w:tc>
                <w:tcPr>
                  <w:tcW w:w="637" w:type="pct"/>
                  <w:vMerge w:val="continue"/>
                  <w:tcBorders>
                    <w:tl2br w:val="nil"/>
                    <w:tr2bl w:val="nil"/>
                  </w:tcBorders>
                  <w:shd w:val="clear" w:color="auto" w:fill="FFFFFF"/>
                  <w:noWrap w:val="0"/>
                  <w:vAlign w:val="center"/>
                </w:tcPr>
                <w:p w14:paraId="786959F3">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p>
              </w:tc>
              <w:tc>
                <w:tcPr>
                  <w:tcW w:w="346" w:type="pct"/>
                  <w:vMerge w:val="continue"/>
                  <w:tcBorders>
                    <w:tl2br w:val="nil"/>
                    <w:tr2bl w:val="nil"/>
                  </w:tcBorders>
                  <w:shd w:val="clear" w:color="auto" w:fill="FFFFFF"/>
                  <w:noWrap w:val="0"/>
                  <w:vAlign w:val="center"/>
                </w:tcPr>
                <w:p w14:paraId="6AF03BF4">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p>
              </w:tc>
              <w:tc>
                <w:tcPr>
                  <w:tcW w:w="867" w:type="pct"/>
                  <w:tcBorders>
                    <w:tl2br w:val="nil"/>
                    <w:tr2bl w:val="nil"/>
                  </w:tcBorders>
                  <w:shd w:val="clear" w:color="auto" w:fill="FFFFFF"/>
                  <w:noWrap w:val="0"/>
                  <w:vAlign w:val="center"/>
                </w:tcPr>
                <w:p w14:paraId="44DC43A5">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（声压级/距声源距离）/（dB(A)/m）</w:t>
                  </w:r>
                </w:p>
              </w:tc>
              <w:tc>
                <w:tcPr>
                  <w:tcW w:w="570" w:type="pct"/>
                  <w:tcBorders>
                    <w:tl2br w:val="nil"/>
                    <w:tr2bl w:val="nil"/>
                  </w:tcBorders>
                  <w:shd w:val="clear" w:color="auto" w:fill="FFFFFF"/>
                  <w:noWrap w:val="0"/>
                  <w:vAlign w:val="center"/>
                </w:tcPr>
                <w:p w14:paraId="2FF34C5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声功率级</w:t>
                  </w:r>
                </w:p>
                <w:p w14:paraId="7ECCE88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/dB(A)</w:t>
                  </w:r>
                </w:p>
              </w:tc>
              <w:tc>
                <w:tcPr>
                  <w:tcW w:w="551" w:type="pct"/>
                  <w:vMerge w:val="continue"/>
                  <w:tcBorders>
                    <w:tl2br w:val="nil"/>
                    <w:tr2bl w:val="nil"/>
                  </w:tcBorders>
                  <w:shd w:val="clear" w:color="auto" w:fill="FFFFFF"/>
                  <w:noWrap w:val="0"/>
                  <w:vAlign w:val="center"/>
                </w:tcPr>
                <w:p w14:paraId="71EEB7E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p>
              </w:tc>
              <w:tc>
                <w:tcPr>
                  <w:tcW w:w="392" w:type="pct"/>
                  <w:tcBorders>
                    <w:tl2br w:val="nil"/>
                    <w:tr2bl w:val="nil"/>
                  </w:tcBorders>
                  <w:shd w:val="clear" w:color="auto" w:fill="FFFFFF"/>
                  <w:noWrap w:val="0"/>
                  <w:vAlign w:val="center"/>
                </w:tcPr>
                <w:p w14:paraId="6758A31E">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X</w:t>
                  </w:r>
                </w:p>
              </w:tc>
              <w:tc>
                <w:tcPr>
                  <w:tcW w:w="386" w:type="pct"/>
                  <w:tcBorders>
                    <w:tl2br w:val="nil"/>
                    <w:tr2bl w:val="nil"/>
                  </w:tcBorders>
                  <w:shd w:val="clear" w:color="auto" w:fill="FFFFFF"/>
                  <w:noWrap w:val="0"/>
                  <w:vAlign w:val="center"/>
                </w:tcPr>
                <w:p w14:paraId="7098D71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t>Y</w:t>
                  </w:r>
                </w:p>
              </w:tc>
              <w:tc>
                <w:tcPr>
                  <w:tcW w:w="415" w:type="pct"/>
                  <w:tcBorders>
                    <w:tl2br w:val="nil"/>
                    <w:tr2bl w:val="nil"/>
                  </w:tcBorders>
                  <w:shd w:val="clear" w:color="auto" w:fill="FFFFFF"/>
                  <w:noWrap w:val="0"/>
                  <w:vAlign w:val="center"/>
                </w:tcPr>
                <w:p w14:paraId="45C1F1D1">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r>
                    <w:rPr>
                      <w:rFonts w:ascii="Times New Roman" w:hAnsi="Times New Roman" w:eastAsia="宋体" w:cs="Times New Roman"/>
                      <w:b/>
                      <w:bCs/>
                      <w:color w:val="000000" w:themeColor="text1"/>
                      <w:spacing w:val="6"/>
                      <w:sz w:val="21"/>
                      <w:szCs w:val="21"/>
                      <w:highlight w:val="none"/>
                      <w14:textFill>
                        <w14:solidFill>
                          <w14:schemeClr w14:val="tx1"/>
                        </w14:solidFill>
                      </w14:textFill>
                    </w:rPr>
                    <w:t>Z</w:t>
                  </w:r>
                </w:p>
              </w:tc>
              <w:tc>
                <w:tcPr>
                  <w:tcW w:w="514" w:type="pct"/>
                  <w:vMerge w:val="continue"/>
                  <w:tcBorders>
                    <w:tl2br w:val="nil"/>
                    <w:tr2bl w:val="nil"/>
                  </w:tcBorders>
                  <w:shd w:val="clear" w:color="auto" w:fill="FFFFFF"/>
                  <w:noWrap w:val="0"/>
                  <w:vAlign w:val="center"/>
                </w:tcPr>
                <w:p w14:paraId="2AE1382E">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b/>
                      <w:bCs/>
                      <w:color w:val="000000" w:themeColor="text1"/>
                      <w:spacing w:val="6"/>
                      <w:sz w:val="21"/>
                      <w:szCs w:val="21"/>
                      <w:highlight w:val="none"/>
                      <w:lang w:eastAsia="en-US"/>
                      <w14:textFill>
                        <w14:solidFill>
                          <w14:schemeClr w14:val="tx1"/>
                        </w14:solidFill>
                      </w14:textFill>
                    </w:rPr>
                  </w:pPr>
                </w:p>
              </w:tc>
            </w:tr>
            <w:tr w14:paraId="4B386A4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7" w:hRule="atLeast"/>
                <w:jc w:val="center"/>
              </w:trPr>
              <w:tc>
                <w:tcPr>
                  <w:tcW w:w="316" w:type="pct"/>
                  <w:tcBorders>
                    <w:tl2br w:val="nil"/>
                    <w:tr2bl w:val="nil"/>
                  </w:tcBorders>
                  <w:noWrap w:val="0"/>
                  <w:vAlign w:val="center"/>
                </w:tcPr>
                <w:p w14:paraId="61831CD8">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r>
                    <w:rPr>
                      <w:rFonts w:ascii="Times New Roman" w:hAnsi="Times New Roman" w:eastAsia="宋体" w:cs="Times New Roman"/>
                      <w:color w:val="000000" w:themeColor="text1"/>
                      <w:spacing w:val="6"/>
                      <w:sz w:val="21"/>
                      <w:szCs w:val="21"/>
                      <w:highlight w:val="none"/>
                      <w14:textFill>
                        <w14:solidFill>
                          <w14:schemeClr w14:val="tx1"/>
                        </w14:solidFill>
                      </w14:textFill>
                    </w:rPr>
                    <w:t>1</w:t>
                  </w:r>
                </w:p>
              </w:tc>
              <w:tc>
                <w:tcPr>
                  <w:tcW w:w="637" w:type="pct"/>
                  <w:tcBorders>
                    <w:tl2br w:val="nil"/>
                    <w:tr2bl w:val="nil"/>
                  </w:tcBorders>
                  <w:noWrap w:val="0"/>
                  <w:vAlign w:val="center"/>
                </w:tcPr>
                <w:p w14:paraId="640401F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eastAsia="宋体" w:cs="Times New Roman"/>
                      <w:color w:val="000000" w:themeColor="text1"/>
                      <w:kern w:val="0"/>
                      <w:sz w:val="21"/>
                      <w:szCs w:val="21"/>
                      <w:highlight w:val="none"/>
                      <w:lang w:val="en-US" w:eastAsia="zh-CN"/>
                      <w14:textFill>
                        <w14:solidFill>
                          <w14:schemeClr w14:val="tx1"/>
                        </w14:solidFill>
                      </w14:textFill>
                    </w:rPr>
                    <w:t>1#风机</w:t>
                  </w:r>
                </w:p>
              </w:tc>
              <w:tc>
                <w:tcPr>
                  <w:tcW w:w="346" w:type="pct"/>
                  <w:tcBorders>
                    <w:tl2br w:val="nil"/>
                    <w:tr2bl w:val="nil"/>
                  </w:tcBorders>
                  <w:noWrap w:val="0"/>
                  <w:vAlign w:val="center"/>
                </w:tcPr>
                <w:p w14:paraId="2307B3AE">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r>
                    <w:rPr>
                      <w:rFonts w:ascii="Times New Roman" w:hAnsi="Times New Roman" w:eastAsia="宋体" w:cs="Times New Roman"/>
                      <w:color w:val="000000" w:themeColor="text1"/>
                      <w:spacing w:val="6"/>
                      <w:sz w:val="21"/>
                      <w:szCs w:val="21"/>
                      <w:highlight w:val="none"/>
                      <w14:textFill>
                        <w14:solidFill>
                          <w14:schemeClr w14:val="tx1"/>
                        </w14:solidFill>
                      </w14:textFill>
                    </w:rPr>
                    <w:t>/</w:t>
                  </w:r>
                </w:p>
              </w:tc>
              <w:tc>
                <w:tcPr>
                  <w:tcW w:w="867" w:type="pct"/>
                  <w:tcBorders>
                    <w:tl2br w:val="nil"/>
                    <w:tr2bl w:val="nil"/>
                  </w:tcBorders>
                  <w:noWrap w:val="0"/>
                  <w:vAlign w:val="center"/>
                </w:tcPr>
                <w:p w14:paraId="2B126C5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75/</w:t>
                  </w:r>
                  <w:r>
                    <w:rPr>
                      <w:rFonts w:ascii="Times New Roman" w:hAnsi="Times New Roman" w:eastAsia="宋体" w:cs="Times New Roman"/>
                      <w:color w:val="000000" w:themeColor="text1"/>
                      <w:spacing w:val="6"/>
                      <w:sz w:val="21"/>
                      <w:szCs w:val="21"/>
                      <w:highlight w:val="none"/>
                      <w14:textFill>
                        <w14:solidFill>
                          <w14:schemeClr w14:val="tx1"/>
                        </w14:solidFill>
                      </w14:textFill>
                    </w:rPr>
                    <w:t>1</w:t>
                  </w:r>
                </w:p>
              </w:tc>
              <w:tc>
                <w:tcPr>
                  <w:tcW w:w="570" w:type="pct"/>
                  <w:tcBorders>
                    <w:tl2br w:val="nil"/>
                    <w:tr2bl w:val="nil"/>
                  </w:tcBorders>
                  <w:noWrap w:val="0"/>
                  <w:vAlign w:val="center"/>
                </w:tcPr>
                <w:p w14:paraId="2D75486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r>
                    <w:rPr>
                      <w:rFonts w:ascii="Times New Roman" w:hAnsi="Times New Roman" w:eastAsia="宋体" w:cs="Times New Roman"/>
                      <w:color w:val="000000" w:themeColor="text1"/>
                      <w:spacing w:val="6"/>
                      <w:sz w:val="21"/>
                      <w:szCs w:val="21"/>
                      <w:highlight w:val="none"/>
                      <w14:textFill>
                        <w14:solidFill>
                          <w14:schemeClr w14:val="tx1"/>
                        </w14:solidFill>
                      </w14:textFill>
                    </w:rPr>
                    <w:t>/</w:t>
                  </w:r>
                </w:p>
              </w:tc>
              <w:tc>
                <w:tcPr>
                  <w:tcW w:w="551" w:type="pct"/>
                  <w:vMerge w:val="restart"/>
                  <w:tcBorders>
                    <w:tl2br w:val="nil"/>
                    <w:tr2bl w:val="nil"/>
                  </w:tcBorders>
                  <w:noWrap w:val="0"/>
                  <w:vAlign w:val="center"/>
                </w:tcPr>
                <w:p w14:paraId="499629F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r>
                    <w:rPr>
                      <w:rFonts w:ascii="Times New Roman" w:hAnsi="Times New Roman" w:eastAsia="宋体" w:cs="Times New Roman"/>
                      <w:color w:val="000000" w:themeColor="text1"/>
                      <w:spacing w:val="6"/>
                      <w:sz w:val="21"/>
                      <w:szCs w:val="21"/>
                      <w:highlight w:val="none"/>
                      <w14:textFill>
                        <w14:solidFill>
                          <w14:schemeClr w14:val="tx1"/>
                        </w14:solidFill>
                      </w14:textFill>
                    </w:rPr>
                    <w:t>隔声、吸声、减振等措施</w:t>
                  </w:r>
                </w:p>
              </w:tc>
              <w:tc>
                <w:tcPr>
                  <w:tcW w:w="392" w:type="pct"/>
                  <w:tcBorders>
                    <w:tl2br w:val="nil"/>
                    <w:tr2bl w:val="nil"/>
                  </w:tcBorders>
                  <w:noWrap w:val="0"/>
                  <w:vAlign w:val="center"/>
                </w:tcPr>
                <w:p w14:paraId="1E6F16B7">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9</w:t>
                  </w:r>
                </w:p>
              </w:tc>
              <w:tc>
                <w:tcPr>
                  <w:tcW w:w="386" w:type="pct"/>
                  <w:tcBorders>
                    <w:tl2br w:val="nil"/>
                    <w:tr2bl w:val="nil"/>
                  </w:tcBorders>
                  <w:noWrap w:val="0"/>
                  <w:vAlign w:val="center"/>
                </w:tcPr>
                <w:p w14:paraId="735C7074">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11</w:t>
                  </w:r>
                </w:p>
              </w:tc>
              <w:tc>
                <w:tcPr>
                  <w:tcW w:w="415" w:type="pct"/>
                  <w:tcBorders>
                    <w:tl2br w:val="nil"/>
                    <w:tr2bl w:val="nil"/>
                  </w:tcBorders>
                  <w:noWrap w:val="0"/>
                  <w:vAlign w:val="center"/>
                </w:tcPr>
                <w:p w14:paraId="4084433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r>
                    <w:rPr>
                      <w:rFonts w:ascii="Times New Roman" w:hAnsi="Times New Roman" w:eastAsia="宋体" w:cs="Times New Roman"/>
                      <w:color w:val="000000" w:themeColor="text1"/>
                      <w:spacing w:val="6"/>
                      <w:sz w:val="21"/>
                      <w:szCs w:val="21"/>
                      <w:highlight w:val="none"/>
                      <w14:textFill>
                        <w14:solidFill>
                          <w14:schemeClr w14:val="tx1"/>
                        </w14:solidFill>
                      </w14:textFill>
                    </w:rPr>
                    <w:t>1</w:t>
                  </w:r>
                </w:p>
              </w:tc>
              <w:tc>
                <w:tcPr>
                  <w:tcW w:w="514" w:type="pct"/>
                  <w:vMerge w:val="restart"/>
                  <w:tcBorders>
                    <w:tl2br w:val="nil"/>
                    <w:tr2bl w:val="nil"/>
                  </w:tcBorders>
                  <w:noWrap w:val="0"/>
                  <w:vAlign w:val="center"/>
                </w:tcPr>
                <w:p w14:paraId="3F12063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昼间</w:t>
                  </w:r>
                </w:p>
              </w:tc>
            </w:tr>
            <w:tr w14:paraId="19B30B6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76" w:hRule="atLeast"/>
                <w:jc w:val="center"/>
              </w:trPr>
              <w:tc>
                <w:tcPr>
                  <w:tcW w:w="316" w:type="pct"/>
                  <w:tcBorders>
                    <w:tl2br w:val="nil"/>
                    <w:tr2bl w:val="nil"/>
                  </w:tcBorders>
                  <w:noWrap w:val="0"/>
                  <w:vAlign w:val="center"/>
                </w:tcPr>
                <w:p w14:paraId="4AB1A4E5">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2</w:t>
                  </w:r>
                </w:p>
              </w:tc>
              <w:tc>
                <w:tcPr>
                  <w:tcW w:w="637" w:type="pct"/>
                  <w:tcBorders>
                    <w:tl2br w:val="nil"/>
                    <w:tr2bl w:val="nil"/>
                  </w:tcBorders>
                  <w:noWrap w:val="0"/>
                  <w:vAlign w:val="center"/>
                </w:tcPr>
                <w:p w14:paraId="7C2F9E9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eastAsia="宋体" w:cs="Times New Roman"/>
                      <w:color w:val="000000" w:themeColor="text1"/>
                      <w:kern w:val="0"/>
                      <w:sz w:val="21"/>
                      <w:szCs w:val="21"/>
                      <w:highlight w:val="none"/>
                      <w:lang w:val="en-US" w:eastAsia="zh-CN"/>
                      <w14:textFill>
                        <w14:solidFill>
                          <w14:schemeClr w14:val="tx1"/>
                        </w14:solidFill>
                      </w14:textFill>
                    </w:rPr>
                    <w:t>2#风机</w:t>
                  </w:r>
                </w:p>
              </w:tc>
              <w:tc>
                <w:tcPr>
                  <w:tcW w:w="346" w:type="pct"/>
                  <w:tcBorders>
                    <w:tl2br w:val="nil"/>
                    <w:tr2bl w:val="nil"/>
                  </w:tcBorders>
                  <w:noWrap w:val="0"/>
                  <w:vAlign w:val="center"/>
                </w:tcPr>
                <w:p w14:paraId="48A487B4">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w:t>
                  </w:r>
                </w:p>
              </w:tc>
              <w:tc>
                <w:tcPr>
                  <w:tcW w:w="867" w:type="pct"/>
                  <w:tcBorders>
                    <w:tl2br w:val="nil"/>
                    <w:tr2bl w:val="nil"/>
                  </w:tcBorders>
                  <w:noWrap w:val="0"/>
                  <w:vAlign w:val="center"/>
                </w:tcPr>
                <w:p w14:paraId="48ED54A0">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7</w:t>
                  </w:r>
                  <w:r>
                    <w:rPr>
                      <w:rFonts w:hint="eastAsia" w:cs="Times New Roman"/>
                      <w:color w:val="000000" w:themeColor="text1"/>
                      <w:spacing w:val="6"/>
                      <w:sz w:val="21"/>
                      <w:szCs w:val="21"/>
                      <w:highlight w:val="none"/>
                      <w:lang w:val="en-US" w:eastAsia="zh-CN"/>
                      <w14:textFill>
                        <w14:solidFill>
                          <w14:schemeClr w14:val="tx1"/>
                        </w14:solidFill>
                      </w14:textFill>
                    </w:rPr>
                    <w:t>5</w:t>
                  </w:r>
                  <w:r>
                    <w:rPr>
                      <w:rFonts w:ascii="Times New Roman" w:hAnsi="Times New Roman" w:eastAsia="宋体" w:cs="Times New Roman"/>
                      <w:color w:val="000000" w:themeColor="text1"/>
                      <w:spacing w:val="6"/>
                      <w:sz w:val="21"/>
                      <w:szCs w:val="21"/>
                      <w:highlight w:val="none"/>
                      <w14:textFill>
                        <w14:solidFill>
                          <w14:schemeClr w14:val="tx1"/>
                        </w14:solidFill>
                      </w14:textFill>
                    </w:rPr>
                    <w:t>/1</w:t>
                  </w:r>
                </w:p>
              </w:tc>
              <w:tc>
                <w:tcPr>
                  <w:tcW w:w="570" w:type="pct"/>
                  <w:tcBorders>
                    <w:tl2br w:val="nil"/>
                    <w:tr2bl w:val="nil"/>
                  </w:tcBorders>
                  <w:noWrap w:val="0"/>
                  <w:vAlign w:val="center"/>
                </w:tcPr>
                <w:p w14:paraId="31CA1D3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w:t>
                  </w:r>
                </w:p>
              </w:tc>
              <w:tc>
                <w:tcPr>
                  <w:tcW w:w="551" w:type="pct"/>
                  <w:vMerge w:val="continue"/>
                  <w:tcBorders>
                    <w:tl2br w:val="nil"/>
                    <w:tr2bl w:val="nil"/>
                  </w:tcBorders>
                  <w:noWrap w:val="0"/>
                  <w:vAlign w:val="center"/>
                </w:tcPr>
                <w:p w14:paraId="7615989E">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p>
              </w:tc>
              <w:tc>
                <w:tcPr>
                  <w:tcW w:w="392" w:type="pct"/>
                  <w:tcBorders>
                    <w:tl2br w:val="nil"/>
                    <w:tr2bl w:val="nil"/>
                  </w:tcBorders>
                  <w:noWrap w:val="0"/>
                  <w:vAlign w:val="center"/>
                </w:tcPr>
                <w:p w14:paraId="0010EE1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20</w:t>
                  </w:r>
                </w:p>
              </w:tc>
              <w:tc>
                <w:tcPr>
                  <w:tcW w:w="386" w:type="pct"/>
                  <w:tcBorders>
                    <w:tl2br w:val="nil"/>
                    <w:tr2bl w:val="nil"/>
                  </w:tcBorders>
                  <w:noWrap w:val="0"/>
                  <w:vAlign w:val="center"/>
                </w:tcPr>
                <w:p w14:paraId="3E9C61F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10</w:t>
                  </w:r>
                </w:p>
              </w:tc>
              <w:tc>
                <w:tcPr>
                  <w:tcW w:w="415" w:type="pct"/>
                  <w:tcBorders>
                    <w:tl2br w:val="nil"/>
                    <w:tr2bl w:val="nil"/>
                  </w:tcBorders>
                  <w:noWrap w:val="0"/>
                  <w:vAlign w:val="center"/>
                </w:tcPr>
                <w:p w14:paraId="576CDEE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1</w:t>
                  </w:r>
                </w:p>
              </w:tc>
              <w:tc>
                <w:tcPr>
                  <w:tcW w:w="514" w:type="pct"/>
                  <w:vMerge w:val="continue"/>
                  <w:tcBorders>
                    <w:tl2br w:val="nil"/>
                    <w:tr2bl w:val="nil"/>
                  </w:tcBorders>
                  <w:noWrap w:val="0"/>
                  <w:vAlign w:val="center"/>
                </w:tcPr>
                <w:p w14:paraId="45B0E57F">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p>
              </w:tc>
            </w:tr>
            <w:tr w14:paraId="034C59E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45" w:hRule="atLeast"/>
                <w:jc w:val="center"/>
              </w:trPr>
              <w:tc>
                <w:tcPr>
                  <w:tcW w:w="316" w:type="pct"/>
                  <w:tcBorders>
                    <w:tl2br w:val="nil"/>
                    <w:tr2bl w:val="nil"/>
                  </w:tcBorders>
                  <w:noWrap w:val="0"/>
                  <w:vAlign w:val="center"/>
                </w:tcPr>
                <w:p w14:paraId="36A334D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3</w:t>
                  </w:r>
                </w:p>
              </w:tc>
              <w:tc>
                <w:tcPr>
                  <w:tcW w:w="637" w:type="pct"/>
                  <w:tcBorders>
                    <w:tl2br w:val="nil"/>
                    <w:tr2bl w:val="nil"/>
                  </w:tcBorders>
                  <w:noWrap w:val="0"/>
                  <w:vAlign w:val="center"/>
                </w:tcPr>
                <w:p w14:paraId="15A19216">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3#风机</w:t>
                  </w:r>
                </w:p>
              </w:tc>
              <w:tc>
                <w:tcPr>
                  <w:tcW w:w="346" w:type="pct"/>
                  <w:tcBorders>
                    <w:tl2br w:val="nil"/>
                    <w:tr2bl w:val="nil"/>
                  </w:tcBorders>
                  <w:noWrap w:val="0"/>
                  <w:vAlign w:val="center"/>
                </w:tcPr>
                <w:p w14:paraId="2746A459">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w:t>
                  </w:r>
                </w:p>
              </w:tc>
              <w:tc>
                <w:tcPr>
                  <w:tcW w:w="867" w:type="pct"/>
                  <w:tcBorders>
                    <w:tl2br w:val="nil"/>
                    <w:tr2bl w:val="nil"/>
                  </w:tcBorders>
                  <w:noWrap w:val="0"/>
                  <w:vAlign w:val="center"/>
                </w:tcPr>
                <w:p w14:paraId="5C13B80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75/</w:t>
                  </w:r>
                  <w:r>
                    <w:rPr>
                      <w:rFonts w:ascii="Times New Roman" w:hAnsi="Times New Roman" w:eastAsia="宋体" w:cs="Times New Roman"/>
                      <w:color w:val="000000" w:themeColor="text1"/>
                      <w:spacing w:val="6"/>
                      <w:sz w:val="21"/>
                      <w:szCs w:val="21"/>
                      <w:highlight w:val="none"/>
                      <w14:textFill>
                        <w14:solidFill>
                          <w14:schemeClr w14:val="tx1"/>
                        </w14:solidFill>
                      </w14:textFill>
                    </w:rPr>
                    <w:t>1</w:t>
                  </w:r>
                </w:p>
              </w:tc>
              <w:tc>
                <w:tcPr>
                  <w:tcW w:w="570" w:type="pct"/>
                  <w:tcBorders>
                    <w:tl2br w:val="nil"/>
                    <w:tr2bl w:val="nil"/>
                  </w:tcBorders>
                  <w:noWrap w:val="0"/>
                  <w:vAlign w:val="center"/>
                </w:tcPr>
                <w:p w14:paraId="5B49E33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w:t>
                  </w:r>
                </w:p>
              </w:tc>
              <w:tc>
                <w:tcPr>
                  <w:tcW w:w="551" w:type="pct"/>
                  <w:vMerge w:val="continue"/>
                  <w:tcBorders>
                    <w:tl2br w:val="nil"/>
                    <w:tr2bl w:val="nil"/>
                  </w:tcBorders>
                  <w:noWrap w:val="0"/>
                  <w:vAlign w:val="center"/>
                </w:tcPr>
                <w:p w14:paraId="12F9562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p>
              </w:tc>
              <w:tc>
                <w:tcPr>
                  <w:tcW w:w="392" w:type="pct"/>
                  <w:tcBorders>
                    <w:tl2br w:val="nil"/>
                    <w:tr2bl w:val="nil"/>
                  </w:tcBorders>
                  <w:noWrap w:val="0"/>
                  <w:vAlign w:val="center"/>
                </w:tcPr>
                <w:p w14:paraId="078DFF8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-38</w:t>
                  </w:r>
                </w:p>
              </w:tc>
              <w:tc>
                <w:tcPr>
                  <w:tcW w:w="386" w:type="pct"/>
                  <w:tcBorders>
                    <w:tl2br w:val="nil"/>
                    <w:tr2bl w:val="nil"/>
                  </w:tcBorders>
                  <w:noWrap w:val="0"/>
                  <w:vAlign w:val="center"/>
                </w:tcPr>
                <w:p w14:paraId="57FD4736">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6</w:t>
                  </w:r>
                </w:p>
              </w:tc>
              <w:tc>
                <w:tcPr>
                  <w:tcW w:w="415" w:type="pct"/>
                  <w:tcBorders>
                    <w:tl2br w:val="nil"/>
                    <w:tr2bl w:val="nil"/>
                  </w:tcBorders>
                  <w:noWrap w:val="0"/>
                  <w:vAlign w:val="center"/>
                </w:tcPr>
                <w:p w14:paraId="730CDD1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1</w:t>
                  </w:r>
                </w:p>
              </w:tc>
              <w:tc>
                <w:tcPr>
                  <w:tcW w:w="514" w:type="pct"/>
                  <w:vMerge w:val="continue"/>
                  <w:tcBorders>
                    <w:tl2br w:val="nil"/>
                    <w:tr2bl w:val="nil"/>
                  </w:tcBorders>
                  <w:noWrap w:val="0"/>
                  <w:vAlign w:val="center"/>
                </w:tcPr>
                <w:p w14:paraId="3640B92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p>
              </w:tc>
            </w:tr>
            <w:tr w14:paraId="4129366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75" w:hRule="atLeast"/>
                <w:jc w:val="center"/>
              </w:trPr>
              <w:tc>
                <w:tcPr>
                  <w:tcW w:w="316" w:type="pct"/>
                  <w:tcBorders>
                    <w:tl2br w:val="nil"/>
                    <w:tr2bl w:val="nil"/>
                  </w:tcBorders>
                  <w:noWrap w:val="0"/>
                  <w:vAlign w:val="center"/>
                </w:tcPr>
                <w:p w14:paraId="1668E03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4</w:t>
                  </w:r>
                </w:p>
              </w:tc>
              <w:tc>
                <w:tcPr>
                  <w:tcW w:w="637" w:type="pct"/>
                  <w:tcBorders>
                    <w:tl2br w:val="nil"/>
                    <w:tr2bl w:val="nil"/>
                  </w:tcBorders>
                  <w:noWrap w:val="0"/>
                  <w:vAlign w:val="center"/>
                </w:tcPr>
                <w:p w14:paraId="037A92DC">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4#风机</w:t>
                  </w:r>
                </w:p>
              </w:tc>
              <w:tc>
                <w:tcPr>
                  <w:tcW w:w="346" w:type="pct"/>
                  <w:tcBorders>
                    <w:tl2br w:val="nil"/>
                    <w:tr2bl w:val="nil"/>
                  </w:tcBorders>
                  <w:noWrap w:val="0"/>
                  <w:vAlign w:val="center"/>
                </w:tcPr>
                <w:p w14:paraId="7E26DEDA">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w:t>
                  </w:r>
                </w:p>
              </w:tc>
              <w:tc>
                <w:tcPr>
                  <w:tcW w:w="867" w:type="pct"/>
                  <w:tcBorders>
                    <w:tl2br w:val="nil"/>
                    <w:tr2bl w:val="nil"/>
                  </w:tcBorders>
                  <w:noWrap w:val="0"/>
                  <w:vAlign w:val="center"/>
                </w:tcPr>
                <w:p w14:paraId="557C9DAC">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t>7</w:t>
                  </w:r>
                  <w:r>
                    <w:rPr>
                      <w:rFonts w:hint="eastAsia" w:cs="Times New Roman"/>
                      <w:color w:val="000000" w:themeColor="text1"/>
                      <w:spacing w:val="6"/>
                      <w:sz w:val="21"/>
                      <w:szCs w:val="21"/>
                      <w:highlight w:val="none"/>
                      <w:lang w:val="en-US" w:eastAsia="zh-CN"/>
                      <w14:textFill>
                        <w14:solidFill>
                          <w14:schemeClr w14:val="tx1"/>
                        </w14:solidFill>
                      </w14:textFill>
                    </w:rPr>
                    <w:t>5</w:t>
                  </w:r>
                  <w:r>
                    <w:rPr>
                      <w:rFonts w:ascii="Times New Roman" w:hAnsi="Times New Roman" w:eastAsia="宋体" w:cs="Times New Roman"/>
                      <w:color w:val="000000" w:themeColor="text1"/>
                      <w:spacing w:val="6"/>
                      <w:sz w:val="21"/>
                      <w:szCs w:val="21"/>
                      <w:highlight w:val="none"/>
                      <w14:textFill>
                        <w14:solidFill>
                          <w14:schemeClr w14:val="tx1"/>
                        </w14:solidFill>
                      </w14:textFill>
                    </w:rPr>
                    <w:t>/1</w:t>
                  </w:r>
                </w:p>
              </w:tc>
              <w:tc>
                <w:tcPr>
                  <w:tcW w:w="570" w:type="pct"/>
                  <w:tcBorders>
                    <w:tl2br w:val="nil"/>
                    <w:tr2bl w:val="nil"/>
                  </w:tcBorders>
                  <w:noWrap w:val="0"/>
                  <w:vAlign w:val="center"/>
                </w:tcPr>
                <w:p w14:paraId="3D4460F1">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w:t>
                  </w:r>
                </w:p>
              </w:tc>
              <w:tc>
                <w:tcPr>
                  <w:tcW w:w="551" w:type="pct"/>
                  <w:vMerge w:val="continue"/>
                  <w:tcBorders>
                    <w:tl2br w:val="nil"/>
                    <w:tr2bl w:val="nil"/>
                  </w:tcBorders>
                  <w:noWrap w:val="0"/>
                  <w:vAlign w:val="center"/>
                </w:tcPr>
                <w:p w14:paraId="2D458A95">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p>
              </w:tc>
              <w:tc>
                <w:tcPr>
                  <w:tcW w:w="392" w:type="pct"/>
                  <w:tcBorders>
                    <w:tl2br w:val="nil"/>
                    <w:tr2bl w:val="nil"/>
                  </w:tcBorders>
                  <w:noWrap w:val="0"/>
                  <w:vAlign w:val="center"/>
                </w:tcPr>
                <w:p w14:paraId="21F93717">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39</w:t>
                  </w:r>
                </w:p>
              </w:tc>
              <w:tc>
                <w:tcPr>
                  <w:tcW w:w="386" w:type="pct"/>
                  <w:tcBorders>
                    <w:tl2br w:val="nil"/>
                    <w:tr2bl w:val="nil"/>
                  </w:tcBorders>
                  <w:noWrap w:val="0"/>
                  <w:vAlign w:val="center"/>
                </w:tcPr>
                <w:p w14:paraId="7048B63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-10</w:t>
                  </w:r>
                </w:p>
              </w:tc>
              <w:tc>
                <w:tcPr>
                  <w:tcW w:w="415" w:type="pct"/>
                  <w:tcBorders>
                    <w:tl2br w:val="nil"/>
                    <w:tr2bl w:val="nil"/>
                  </w:tcBorders>
                  <w:noWrap w:val="0"/>
                  <w:vAlign w:val="center"/>
                </w:tcPr>
                <w:p w14:paraId="3A9D72A9">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highlight w:val="none"/>
                      <w:lang w:val="en-US" w:eastAsia="zh-CN"/>
                      <w14:textFill>
                        <w14:solidFill>
                          <w14:schemeClr w14:val="tx1"/>
                        </w14:solidFill>
                      </w14:textFill>
                    </w:rPr>
                  </w:pPr>
                  <w:r>
                    <w:rPr>
                      <w:rFonts w:hint="eastAsia" w:cs="Times New Roman"/>
                      <w:color w:val="000000" w:themeColor="text1"/>
                      <w:spacing w:val="6"/>
                      <w:sz w:val="21"/>
                      <w:szCs w:val="21"/>
                      <w:highlight w:val="none"/>
                      <w:lang w:val="en-US" w:eastAsia="zh-CN"/>
                      <w14:textFill>
                        <w14:solidFill>
                          <w14:schemeClr w14:val="tx1"/>
                        </w14:solidFill>
                      </w14:textFill>
                    </w:rPr>
                    <w:t>1</w:t>
                  </w:r>
                </w:p>
              </w:tc>
              <w:tc>
                <w:tcPr>
                  <w:tcW w:w="514" w:type="pct"/>
                  <w:vMerge w:val="continue"/>
                  <w:tcBorders>
                    <w:tl2br w:val="nil"/>
                    <w:tr2bl w:val="nil"/>
                  </w:tcBorders>
                  <w:noWrap w:val="0"/>
                  <w:vAlign w:val="center"/>
                </w:tcPr>
                <w:p w14:paraId="7B8B7C52">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ascii="Times New Roman" w:hAnsi="Times New Roman" w:eastAsia="宋体" w:cs="Times New Roman"/>
                      <w:color w:val="000000" w:themeColor="text1"/>
                      <w:spacing w:val="6"/>
                      <w:sz w:val="21"/>
                      <w:szCs w:val="21"/>
                      <w:highlight w:val="none"/>
                      <w14:textFill>
                        <w14:solidFill>
                          <w14:schemeClr w14:val="tx1"/>
                        </w14:solidFill>
                      </w14:textFill>
                    </w:rPr>
                  </w:pPr>
                </w:p>
              </w:tc>
            </w:tr>
          </w:tbl>
          <w:p w14:paraId="1DD908FF">
            <w:pPr>
              <w:keepNext w:val="0"/>
              <w:keepLines w:val="0"/>
              <w:pageBreakBefore w:val="0"/>
              <w:widowControl w:val="0"/>
              <w:kinsoku/>
              <w:wordWrap/>
              <w:overflowPunct/>
              <w:topLinePunct w:val="0"/>
              <w:autoSpaceDE/>
              <w:autoSpaceDN/>
              <w:bidi w:val="0"/>
              <w:adjustRightInd w:val="0"/>
              <w:snapToGrid w:val="0"/>
              <w:spacing w:before="120" w:beforeLines="50" w:line="240" w:lineRule="auto"/>
              <w:ind w:left="0" w:leftChars="0" w:firstLine="0" w:firstLineChars="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512435" cy="3567430"/>
                  <wp:effectExtent l="0" t="0" r="12065" b="13970"/>
                  <wp:docPr id="1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8"/>
                          <pic:cNvPicPr>
                            <a:picLocks noChangeAspect="1"/>
                          </pic:cNvPicPr>
                        </pic:nvPicPr>
                        <pic:blipFill>
                          <a:blip r:embed="rId38"/>
                          <a:stretch>
                            <a:fillRect/>
                          </a:stretch>
                        </pic:blipFill>
                        <pic:spPr>
                          <a:xfrm>
                            <a:off x="0" y="0"/>
                            <a:ext cx="5512435" cy="3567430"/>
                          </a:xfrm>
                          <a:prstGeom prst="rect">
                            <a:avLst/>
                          </a:prstGeom>
                          <a:noFill/>
                          <a:ln>
                            <a:noFill/>
                          </a:ln>
                        </pic:spPr>
                      </pic:pic>
                    </a:graphicData>
                  </a:graphic>
                </wp:inline>
              </w:drawing>
            </w:r>
          </w:p>
          <w:p w14:paraId="6A702C49">
            <w:pPr>
              <w:spacing w:before="120" w:beforeLines="50"/>
              <w:ind w:left="0" w:leftChars="0" w:firstLine="0" w:firstLineChars="0"/>
              <w:jc w:val="center"/>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图4-2  项目噪声源分布图</w:t>
            </w:r>
          </w:p>
          <w:p w14:paraId="39042FE7">
            <w:pPr>
              <w:spacing w:before="120" w:beforeLines="50"/>
              <w:ind w:firstLine="480"/>
              <w:jc w:val="left"/>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2、噪声环境影响分析</w:t>
            </w:r>
          </w:p>
          <w:p w14:paraId="4C859EF8">
            <w:pPr>
              <w:widowControl/>
              <w:adjustRightInd/>
              <w:spacing w:before="60" w:after="160" w:line="259" w:lineRule="auto"/>
              <w:ind w:right="113" w:firstLine="482"/>
              <w:jc w:val="left"/>
              <w:rPr>
                <w:rFonts w:cs="宋体"/>
                <w:b/>
                <w:bCs/>
                <w:color w:val="000000" w:themeColor="text1"/>
                <w:kern w:val="0"/>
                <w14:textFill>
                  <w14:solidFill>
                    <w14:schemeClr w14:val="tx1"/>
                  </w14:solidFill>
                </w14:textFill>
              </w:rPr>
            </w:pPr>
            <w:r>
              <w:rPr>
                <w:rFonts w:hint="eastAsia" w:cs="宋体"/>
                <w:b/>
                <w:bCs/>
                <w:color w:val="000000" w:themeColor="text1"/>
                <w:kern w:val="0"/>
                <w14:textFill>
                  <w14:solidFill>
                    <w14:schemeClr w14:val="tx1"/>
                  </w14:solidFill>
                </w14:textFill>
              </w:rPr>
              <w:t>（1）预测模式的选取</w:t>
            </w:r>
          </w:p>
          <w:p w14:paraId="33FE0596">
            <w:pPr>
              <w:ind w:firstLine="480"/>
              <w:rPr>
                <w:rFonts w:cs="宋体"/>
                <w:color w:val="000000" w:themeColor="text1"/>
                <w:kern w:val="0"/>
                <w14:textFill>
                  <w14:solidFill>
                    <w14:schemeClr w14:val="tx1"/>
                  </w14:solidFill>
                </w14:textFill>
              </w:rPr>
            </w:pPr>
            <w:r>
              <w:rPr>
                <w:color w:val="000000" w:themeColor="text1"/>
                <w14:textFill>
                  <w14:solidFill>
                    <w14:schemeClr w14:val="tx1"/>
                  </w14:solidFill>
                </w14:textFill>
              </w:rPr>
              <w:t>根据《环境影响评价技术导则</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声环境》（HJ2.4-20</w:t>
            </w:r>
            <w:r>
              <w:rPr>
                <w:rFonts w:hint="eastAsia"/>
                <w:color w:val="000000" w:themeColor="text1"/>
                <w14:textFill>
                  <w14:solidFill>
                    <w14:schemeClr w14:val="tx1"/>
                  </w14:solidFill>
                </w14:textFill>
              </w:rPr>
              <w:t>21</w:t>
            </w:r>
            <w:r>
              <w:rPr>
                <w:color w:val="000000" w:themeColor="text1"/>
                <w14:textFill>
                  <w14:solidFill>
                    <w14:schemeClr w14:val="tx1"/>
                  </w14:solidFill>
                </w14:textFill>
              </w:rPr>
              <w:t>）的技术要求，本次评价采取导则上推荐模式。</w:t>
            </w:r>
          </w:p>
          <w:p w14:paraId="7A2F0C28">
            <w:pPr>
              <w:widowControl/>
              <w:adjustRightInd/>
              <w:spacing w:before="60" w:after="160" w:line="259" w:lineRule="auto"/>
              <w:ind w:right="113" w:firstLine="480"/>
              <w:jc w:val="left"/>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1）</w:t>
            </w:r>
            <w:r>
              <w:rPr>
                <w:rFonts w:cs="宋体"/>
                <w:color w:val="000000" w:themeColor="text1"/>
                <w:kern w:val="0"/>
                <w14:textFill>
                  <w14:solidFill>
                    <w14:schemeClr w14:val="tx1"/>
                  </w14:solidFill>
                </w14:textFill>
              </w:rPr>
              <w:t>声级计算</w:t>
            </w:r>
          </w:p>
          <w:p w14:paraId="6E44F7B9">
            <w:pPr>
              <w:widowControl/>
              <w:adjustRightInd/>
              <w:spacing w:before="60" w:after="160" w:line="259" w:lineRule="auto"/>
              <w:ind w:right="113" w:firstLine="480"/>
              <w:jc w:val="left"/>
              <w:rPr>
                <w:rFonts w:cs="宋体"/>
                <w:color w:val="000000" w:themeColor="text1"/>
                <w:kern w:val="0"/>
                <w:sz w:val="18"/>
                <w:szCs w:val="20"/>
                <w14:textFill>
                  <w14:solidFill>
                    <w14:schemeClr w14:val="tx1"/>
                  </w14:solidFill>
                </w14:textFill>
              </w:rPr>
            </w:pPr>
            <w:r>
              <w:rPr>
                <w:rFonts w:cs="宋体"/>
                <w:color w:val="000000" w:themeColor="text1"/>
                <w:kern w:val="0"/>
                <w14:textFill>
                  <w14:solidFill>
                    <w14:schemeClr w14:val="tx1"/>
                  </w14:solidFill>
                </w14:textFill>
              </w:rPr>
              <w:t>建设项目声源在预测点产生的等效声级贡献值（L</w:t>
            </w:r>
            <w:r>
              <w:rPr>
                <w:rFonts w:cs="宋体"/>
                <w:color w:val="000000" w:themeColor="text1"/>
                <w:kern w:val="0"/>
                <w:vertAlign w:val="subscript"/>
                <w14:textFill>
                  <w14:solidFill>
                    <w14:schemeClr w14:val="tx1"/>
                  </w14:solidFill>
                </w14:textFill>
              </w:rPr>
              <w:t>eqg</w:t>
            </w:r>
            <w:r>
              <w:rPr>
                <w:rFonts w:cs="宋体"/>
                <w:color w:val="000000" w:themeColor="text1"/>
                <w:kern w:val="0"/>
                <w14:textFill>
                  <w14:solidFill>
                    <w14:schemeClr w14:val="tx1"/>
                  </w14:solidFill>
                </w14:textFill>
              </w:rPr>
              <w:t>）计算公式：</w:t>
            </w:r>
          </w:p>
          <w:p w14:paraId="27CAF4D2">
            <w:pPr>
              <w:ind w:firstLine="0" w:firstLineChars="0"/>
              <w:jc w:val="center"/>
              <w:rPr>
                <w:rFonts w:cs="宋体"/>
                <w:color w:val="000000" w:themeColor="text1"/>
                <w14:textFill>
                  <w14:solidFill>
                    <w14:schemeClr w14:val="tx1"/>
                  </w14:solidFill>
                </w14:textFill>
              </w:rPr>
            </w:pPr>
            <w:r>
              <w:rPr>
                <w:rFonts w:cs="宋体"/>
                <w:color w:val="000000" w:themeColor="text1"/>
                <w:position w:val="-30"/>
                <w14:textFill>
                  <w14:solidFill>
                    <w14:schemeClr w14:val="tx1"/>
                  </w14:solidFill>
                </w14:textFill>
              </w:rPr>
              <w:object>
                <v:shape id="_x0000_i1029" o:spt="75" type="#_x0000_t75" style="height:43.2pt;width:158.4pt;" o:ole="t" filled="f" o:preferrelative="t" stroked="f" coordsize="21600,21600">
                  <v:path/>
                  <v:fill on="f" focussize="0,0"/>
                  <v:stroke on="f" joinstyle="miter"/>
                  <v:imagedata r:id="rId40" o:title=""/>
                  <o:lock v:ext="edit" aspectratio="t"/>
                  <w10:wrap type="none"/>
                  <w10:anchorlock/>
                </v:shape>
                <o:OLEObject Type="Embed" ProgID="Equation.KSEE3" ShapeID="_x0000_i1029" DrawAspect="Content" ObjectID="_1468075729" r:id="rId39">
                  <o:LockedField>false</o:LockedField>
                </o:OLEObject>
              </w:object>
            </w:r>
          </w:p>
          <w:p w14:paraId="758B2D9D">
            <w:pPr>
              <w:adjustRightInd/>
              <w:snapToGrid/>
              <w:ind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式中：</w:t>
            </w:r>
          </w:p>
          <w:p w14:paraId="4FD5F4DF">
            <w:pPr>
              <w:adjustRightInd/>
              <w:snapToGrid/>
              <w:ind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L</w:t>
            </w:r>
            <w:r>
              <w:rPr>
                <w:rFonts w:cs="宋体"/>
                <w:color w:val="000000" w:themeColor="text1"/>
                <w:vertAlign w:val="subscript"/>
                <w14:textFill>
                  <w14:solidFill>
                    <w14:schemeClr w14:val="tx1"/>
                  </w14:solidFill>
                </w14:textFill>
              </w:rPr>
              <w:t>eqg</w:t>
            </w:r>
            <w:r>
              <w:rPr>
                <w:rFonts w:cs="宋体"/>
                <w:color w:val="000000" w:themeColor="text1"/>
                <w14:textFill>
                  <w14:solidFill>
                    <w14:schemeClr w14:val="tx1"/>
                  </w14:solidFill>
                </w14:textFill>
              </w:rPr>
              <w:t>——建设项目声源在预测点的等效声级贡献值，dB(A)；</w:t>
            </w:r>
          </w:p>
          <w:p w14:paraId="01A76D44">
            <w:pPr>
              <w:adjustRightInd/>
              <w:snapToGrid/>
              <w:ind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L</w:t>
            </w:r>
            <w:r>
              <w:rPr>
                <w:rFonts w:cs="宋体"/>
                <w:color w:val="000000" w:themeColor="text1"/>
                <w:vertAlign w:val="subscript"/>
                <w14:textFill>
                  <w14:solidFill>
                    <w14:schemeClr w14:val="tx1"/>
                  </w14:solidFill>
                </w14:textFill>
              </w:rPr>
              <w:t>Ai</w:t>
            </w:r>
            <w:r>
              <w:rPr>
                <w:rFonts w:cs="宋体"/>
                <w:color w:val="000000" w:themeColor="text1"/>
                <w14:textFill>
                  <w14:solidFill>
                    <w14:schemeClr w14:val="tx1"/>
                  </w14:solidFill>
                </w14:textFill>
              </w:rPr>
              <w:t>——i声源在预测点产生的A声级，dB(A)；</w:t>
            </w:r>
          </w:p>
          <w:p w14:paraId="61708627">
            <w:pPr>
              <w:adjustRightInd/>
              <w:snapToGrid/>
              <w:ind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T——预测计算的时间段，s；</w:t>
            </w:r>
          </w:p>
          <w:p w14:paraId="3266D539">
            <w:pPr>
              <w:adjustRightInd/>
              <w:snapToGrid/>
              <w:ind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t</w:t>
            </w:r>
            <w:r>
              <w:rPr>
                <w:rFonts w:cs="宋体"/>
                <w:color w:val="000000" w:themeColor="text1"/>
                <w:vertAlign w:val="subscript"/>
                <w14:textFill>
                  <w14:solidFill>
                    <w14:schemeClr w14:val="tx1"/>
                  </w14:solidFill>
                </w14:textFill>
              </w:rPr>
              <w:t>i</w:t>
            </w:r>
            <w:r>
              <w:rPr>
                <w:rFonts w:cs="宋体"/>
                <w:color w:val="000000" w:themeColor="text1"/>
                <w14:textFill>
                  <w14:solidFill>
                    <w14:schemeClr w14:val="tx1"/>
                  </w14:solidFill>
                </w14:textFill>
              </w:rPr>
              <w:t>——i声源在T时段内的运行时间，s。</w:t>
            </w:r>
          </w:p>
          <w:p w14:paraId="46846A28">
            <w:pPr>
              <w:adjustRightInd/>
              <w:snapToGrid/>
              <w:ind w:firstLine="480"/>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2）</w:t>
            </w:r>
            <w:r>
              <w:rPr>
                <w:rFonts w:cs="宋体"/>
                <w:color w:val="000000" w:themeColor="text1"/>
                <w14:textFill>
                  <w14:solidFill>
                    <w14:schemeClr w14:val="tx1"/>
                  </w14:solidFill>
                </w14:textFill>
              </w:rPr>
              <w:t>预测点的预测等效声级(L</w:t>
            </w:r>
            <w:r>
              <w:rPr>
                <w:rFonts w:cs="宋体"/>
                <w:color w:val="000000" w:themeColor="text1"/>
                <w:vertAlign w:val="subscript"/>
                <w14:textFill>
                  <w14:solidFill>
                    <w14:schemeClr w14:val="tx1"/>
                  </w14:solidFill>
                </w14:textFill>
              </w:rPr>
              <w:t>eq</w:t>
            </w:r>
            <w:r>
              <w:rPr>
                <w:rFonts w:cs="宋体"/>
                <w:color w:val="000000" w:themeColor="text1"/>
                <w14:textFill>
                  <w14:solidFill>
                    <w14:schemeClr w14:val="tx1"/>
                  </w14:solidFill>
                </w14:textFill>
              </w:rPr>
              <w:t>)计算公式</w:t>
            </w:r>
          </w:p>
          <w:p w14:paraId="37071DCE">
            <w:pPr>
              <w:snapToGrid/>
              <w:spacing w:before="60" w:after="60" w:line="360" w:lineRule="atLeast"/>
              <w:ind w:firstLine="0" w:firstLineChars="0"/>
              <w:jc w:val="center"/>
              <w:rPr>
                <w:rFonts w:ascii="宋体"/>
                <w:color w:val="000000" w:themeColor="text1"/>
                <w:szCs w:val="22"/>
                <w14:textFill>
                  <w14:solidFill>
                    <w14:schemeClr w14:val="tx1"/>
                  </w14:solidFill>
                </w14:textFill>
              </w:rPr>
            </w:pPr>
            <w:r>
              <w:rPr>
                <w:rFonts w:ascii="宋体"/>
                <w:color w:val="000000" w:themeColor="text1"/>
                <w:position w:val="-14"/>
                <w:szCs w:val="22"/>
                <w14:textFill>
                  <w14:solidFill>
                    <w14:schemeClr w14:val="tx1"/>
                  </w14:solidFill>
                </w14:textFill>
              </w:rPr>
              <w:object>
                <v:shape id="_x0000_i1030" o:spt="75" type="#_x0000_t75" style="height:28.8pt;width:194.4pt;" o:ole="t" filled="f" o:preferrelative="t" stroked="f" coordsize="21600,21600">
                  <v:path/>
                  <v:fill on="f" focussize="0,0"/>
                  <v:stroke on="f" joinstyle="miter"/>
                  <v:imagedata r:id="rId42" o:title=""/>
                  <o:lock v:ext="edit" aspectratio="t"/>
                  <w10:wrap type="none"/>
                  <w10:anchorlock/>
                </v:shape>
                <o:OLEObject Type="Embed" ProgID="Equation.KSEE3" ShapeID="_x0000_i1030" DrawAspect="Content" ObjectID="_1468075730" r:id="rId41">
                  <o:LockedField>false</o:LockedField>
                </o:OLEObject>
              </w:object>
            </w:r>
          </w:p>
          <w:p w14:paraId="135C9219">
            <w:pPr>
              <w:adjustRightInd/>
              <w:snapToGrid/>
              <w:ind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式中：</w:t>
            </w:r>
          </w:p>
          <w:p w14:paraId="6BB772DD">
            <w:pPr>
              <w:adjustRightInd/>
              <w:snapToGrid/>
              <w:ind w:firstLine="480"/>
              <w:jc w:val="left"/>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L</w:t>
            </w:r>
            <w:r>
              <w:rPr>
                <w:rFonts w:hint="eastAsia" w:cs="宋体"/>
                <w:color w:val="000000" w:themeColor="text1"/>
                <w:vertAlign w:val="subscript"/>
                <w14:textFill>
                  <w14:solidFill>
                    <w14:schemeClr w14:val="tx1"/>
                  </w14:solidFill>
                </w14:textFill>
              </w:rPr>
              <w:t>eq</w:t>
            </w:r>
            <w:r>
              <w:rPr>
                <w:rFonts w:cs="宋体"/>
                <w:color w:val="000000" w:themeColor="text1"/>
                <w14:textFill>
                  <w14:solidFill>
                    <w14:schemeClr w14:val="tx1"/>
                  </w14:solidFill>
                </w14:textFill>
              </w:rPr>
              <w:t>——</w:t>
            </w:r>
            <w:r>
              <w:rPr>
                <w:rFonts w:hint="eastAsia" w:cs="宋体"/>
                <w:color w:val="000000" w:themeColor="text1"/>
                <w14:textFill>
                  <w14:solidFill>
                    <w14:schemeClr w14:val="tx1"/>
                  </w14:solidFill>
                </w14:textFill>
              </w:rPr>
              <w:t>预测点的噪声预测值，dB（A）；</w:t>
            </w:r>
          </w:p>
          <w:p w14:paraId="50A1135D">
            <w:pPr>
              <w:adjustRightInd/>
              <w:snapToGrid/>
              <w:ind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L</w:t>
            </w:r>
            <w:r>
              <w:rPr>
                <w:rFonts w:hint="eastAsia" w:cs="宋体"/>
                <w:color w:val="000000" w:themeColor="text1"/>
                <w:vertAlign w:val="subscript"/>
                <w14:textFill>
                  <w14:solidFill>
                    <w14:schemeClr w14:val="tx1"/>
                  </w14:solidFill>
                </w14:textFill>
              </w:rPr>
              <w:t>eqg</w:t>
            </w:r>
            <w:r>
              <w:rPr>
                <w:rFonts w:cs="宋体"/>
                <w:color w:val="000000" w:themeColor="text1"/>
                <w14:textFill>
                  <w14:solidFill>
                    <w14:schemeClr w14:val="tx1"/>
                  </w14:solidFill>
                </w14:textFill>
              </w:rPr>
              <w:t>——建设项目声源在预测点的等效声级贡献值，dB</w:t>
            </w:r>
            <w:r>
              <w:rPr>
                <w:rFonts w:hint="eastAsia" w:cs="宋体"/>
                <w:color w:val="000000" w:themeColor="text1"/>
                <w14:textFill>
                  <w14:solidFill>
                    <w14:schemeClr w14:val="tx1"/>
                  </w14:solidFill>
                </w14:textFill>
              </w:rPr>
              <w:t>（A）</w:t>
            </w:r>
            <w:r>
              <w:rPr>
                <w:rFonts w:cs="宋体"/>
                <w:color w:val="000000" w:themeColor="text1"/>
                <w14:textFill>
                  <w14:solidFill>
                    <w14:schemeClr w14:val="tx1"/>
                  </w14:solidFill>
                </w14:textFill>
              </w:rPr>
              <w:t>；</w:t>
            </w:r>
          </w:p>
          <w:p w14:paraId="481A3805">
            <w:pPr>
              <w:widowControl/>
              <w:adjustRightInd/>
              <w:spacing w:before="60" w:after="160" w:line="259" w:lineRule="auto"/>
              <w:ind w:right="113" w:firstLine="480"/>
              <w:jc w:val="left"/>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L</w:t>
            </w:r>
            <w:r>
              <w:rPr>
                <w:rFonts w:hint="eastAsia" w:cs="宋体"/>
                <w:color w:val="000000" w:themeColor="text1"/>
                <w:vertAlign w:val="subscript"/>
                <w14:textFill>
                  <w14:solidFill>
                    <w14:schemeClr w14:val="tx1"/>
                  </w14:solidFill>
                </w14:textFill>
              </w:rPr>
              <w:t>eqb</w:t>
            </w:r>
            <w:r>
              <w:rPr>
                <w:rFonts w:cs="宋体"/>
                <w:color w:val="000000" w:themeColor="text1"/>
                <w14:textFill>
                  <w14:solidFill>
                    <w14:schemeClr w14:val="tx1"/>
                  </w14:solidFill>
                </w14:textFill>
              </w:rPr>
              <w:t>——预测点的背景值，dB</w:t>
            </w:r>
            <w:r>
              <w:rPr>
                <w:rFonts w:hint="eastAsia" w:cs="宋体"/>
                <w:color w:val="000000" w:themeColor="text1"/>
                <w14:textFill>
                  <w14:solidFill>
                    <w14:schemeClr w14:val="tx1"/>
                  </w14:solidFill>
                </w14:textFill>
              </w:rPr>
              <w:t>（A）。</w:t>
            </w:r>
          </w:p>
          <w:p w14:paraId="5ABD87C2">
            <w:pPr>
              <w:widowControl/>
              <w:adjustRightInd/>
              <w:spacing w:before="60" w:after="160" w:line="259" w:lineRule="auto"/>
              <w:ind w:right="113" w:firstLine="48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室内声压级计算公式：</w:t>
            </w:r>
          </w:p>
          <w:p w14:paraId="0C76F03B">
            <w:pPr>
              <w:ind w:firstLine="0" w:firstLineChars="0"/>
              <w:jc w:val="center"/>
              <w:rPr>
                <w:color w:val="000000" w:themeColor="text1"/>
                <w14:textFill>
                  <w14:solidFill>
                    <w14:schemeClr w14:val="tx1"/>
                  </w14:solidFill>
                </w14:textFill>
              </w:rPr>
            </w:pPr>
            <w:r>
              <w:rPr>
                <w:color w:val="000000" w:themeColor="text1"/>
                <w:position w:val="-28"/>
                <w14:textFill>
                  <w14:solidFill>
                    <w14:schemeClr w14:val="tx1"/>
                  </w14:solidFill>
                </w14:textFill>
              </w:rPr>
              <w:object>
                <v:shape id="_x0000_i1031" o:spt="75" type="#_x0000_t75" style="height:36pt;width:158.4pt;" o:ole="t" filled="f" o:preferrelative="t" stroked="f" coordsize="21600,21600">
                  <v:path/>
                  <v:fill on="f" focussize="0,0"/>
                  <v:stroke on="f" joinstyle="miter"/>
                  <v:imagedata r:id="rId44" o:title=""/>
                  <o:lock v:ext="edit" aspectratio="t"/>
                  <w10:wrap type="none"/>
                  <w10:anchorlock/>
                </v:shape>
                <o:OLEObject Type="Embed" ProgID="Equation.3" ShapeID="_x0000_i1031" DrawAspect="Content" ObjectID="_1468075731" r:id="rId43">
                  <o:LockedField>false</o:LockedField>
                </o:OLEObject>
              </w:object>
            </w:r>
          </w:p>
          <w:p w14:paraId="0A199CE5">
            <w:pPr>
              <w:ind w:firstLine="480"/>
              <w:rPr>
                <w:color w:val="000000" w:themeColor="text1"/>
                <w14:textFill>
                  <w14:solidFill>
                    <w14:schemeClr w14:val="tx1"/>
                  </w14:solidFill>
                </w14:textFill>
              </w:rPr>
            </w:pPr>
            <w:r>
              <w:rPr>
                <w:color w:val="000000" w:themeColor="text1"/>
                <w14:textFill>
                  <w14:solidFill>
                    <w14:schemeClr w14:val="tx1"/>
                  </w14:solidFill>
                </w14:textFill>
              </w:rPr>
              <w:t>式中：</w:t>
            </w:r>
          </w:p>
          <w:p w14:paraId="7FD454DF">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p1</w:t>
            </w:r>
            <w:r>
              <w:rPr>
                <w:color w:val="000000" w:themeColor="text1"/>
                <w14:textFill>
                  <w14:solidFill>
                    <w14:schemeClr w14:val="tx1"/>
                  </w14:solidFill>
                </w14:textFill>
              </w:rPr>
              <w:t>—靠近开口处（或窗户）室内某倍频带的声压级或A声级，dB；</w:t>
            </w:r>
          </w:p>
          <w:p w14:paraId="5B79AC90">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w</w:t>
            </w:r>
            <w:r>
              <w:rPr>
                <w:color w:val="000000" w:themeColor="text1"/>
                <w14:textFill>
                  <w14:solidFill>
                    <w14:schemeClr w14:val="tx1"/>
                  </w14:solidFill>
                </w14:textFill>
              </w:rPr>
              <w:t>—点声源声功率级（A计权或倍频带），dB；</w:t>
            </w:r>
          </w:p>
          <w:p w14:paraId="30BBAB4E">
            <w:pPr>
              <w:ind w:firstLineChars="300"/>
              <w:rPr>
                <w:color w:val="000000" w:themeColor="text1"/>
                <w14:textFill>
                  <w14:solidFill>
                    <w14:schemeClr w14:val="tx1"/>
                  </w14:solidFill>
                </w14:textFill>
              </w:rPr>
            </w:pPr>
            <w:r>
              <w:rPr>
                <w:color w:val="000000" w:themeColor="text1"/>
                <w14:textFill>
                  <w14:solidFill>
                    <w14:schemeClr w14:val="tx1"/>
                  </w14:solidFill>
                </w14:textFill>
              </w:rPr>
              <w:t>Q—指向性因数；通常对无指向性声源，当声源放在房间中心时，Q=1；当放在一面墙的中心时，Q=2；当放在两面墙夹角处时，Q=4；当放在三面墙夹角处时，Q=8；</w:t>
            </w:r>
          </w:p>
          <w:p w14:paraId="0BE9741C">
            <w:pPr>
              <w:ind w:firstLineChars="300"/>
              <w:rPr>
                <w:color w:val="000000" w:themeColor="text1"/>
                <w14:textFill>
                  <w14:solidFill>
                    <w14:schemeClr w14:val="tx1"/>
                  </w14:solidFill>
                </w14:textFill>
              </w:rPr>
            </w:pPr>
            <w:r>
              <w:rPr>
                <w:color w:val="000000" w:themeColor="text1"/>
                <w14:textFill>
                  <w14:solidFill>
                    <w14:schemeClr w14:val="tx1"/>
                  </w14:solidFill>
                </w14:textFill>
              </w:rPr>
              <w:t>R—房间常数；R</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Sα/</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α</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，S为房间内表面面积，m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；α为平均吸声系数</w:t>
            </w:r>
            <w:r>
              <w:rPr>
                <w:rFonts w:hint="eastAsia"/>
                <w:color w:val="000000" w:themeColor="text1"/>
                <w14:textFill>
                  <w14:solidFill>
                    <w14:schemeClr w14:val="tx1"/>
                  </w14:solidFill>
                </w14:textFill>
              </w:rPr>
              <w:t>，本项目取0.1</w:t>
            </w:r>
            <w:r>
              <w:rPr>
                <w:color w:val="000000" w:themeColor="text1"/>
                <w14:textFill>
                  <w14:solidFill>
                    <w14:schemeClr w14:val="tx1"/>
                  </w14:solidFill>
                </w14:textFill>
              </w:rPr>
              <w:t>；</w:t>
            </w:r>
          </w:p>
          <w:p w14:paraId="192B62A8">
            <w:pPr>
              <w:ind w:firstLineChars="300"/>
              <w:rPr>
                <w:color w:val="000000" w:themeColor="text1"/>
                <w14:textFill>
                  <w14:solidFill>
                    <w14:schemeClr w14:val="tx1"/>
                  </w14:solidFill>
                </w14:textFill>
              </w:rPr>
            </w:pPr>
            <w:r>
              <w:rPr>
                <w:color w:val="000000" w:themeColor="text1"/>
                <w14:textFill>
                  <w14:solidFill>
                    <w14:schemeClr w14:val="tx1"/>
                  </w14:solidFill>
                </w14:textFill>
              </w:rPr>
              <w:t>r—声源到靠近围护结构某点处的距离，m。</w:t>
            </w:r>
          </w:p>
          <w:p w14:paraId="66BF51E5">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4）室内声源在围护结构处产生的i倍频带叠加声压级计算公式</w:t>
            </w:r>
            <w:r>
              <w:rPr>
                <w:color w:val="000000" w:themeColor="text1"/>
                <w14:textFill>
                  <w14:solidFill>
                    <w14:schemeClr w14:val="tx1"/>
                  </w14:solidFill>
                </w14:textFill>
              </w:rPr>
              <w:t>：</w:t>
            </w:r>
          </w:p>
          <w:p w14:paraId="1664C6E2">
            <w:pPr>
              <w:ind w:firstLine="199" w:firstLineChars="83"/>
              <w:jc w:val="center"/>
              <w:rPr>
                <w:color w:val="000000" w:themeColor="text1"/>
                <w14:textFill>
                  <w14:solidFill>
                    <w14:schemeClr w14:val="tx1"/>
                  </w14:solidFill>
                </w14:textFill>
              </w:rPr>
            </w:pPr>
            <w:r>
              <w:rPr>
                <w:color w:val="000000" w:themeColor="text1"/>
                <w:position w:val="-30"/>
                <w14:textFill>
                  <w14:solidFill>
                    <w14:schemeClr w14:val="tx1"/>
                  </w14:solidFill>
                </w14:textFill>
              </w:rPr>
              <w:object>
                <v:shape id="_x0000_i1032" o:spt="75" type="#_x0000_t75" style="height:36pt;width:129.6pt;" o:ole="t" filled="f" o:preferrelative="t" stroked="f" coordsize="21600,21600">
                  <v:path/>
                  <v:fill on="f" focussize="0,0"/>
                  <v:stroke on="f" joinstyle="miter"/>
                  <v:imagedata r:id="rId46" o:title=""/>
                  <o:lock v:ext="edit" aspectratio="t"/>
                  <w10:wrap type="none"/>
                  <w10:anchorlock/>
                </v:shape>
                <o:OLEObject Type="Embed" ProgID="Equation.3" ShapeID="_x0000_i1032" DrawAspect="Content" ObjectID="_1468075732" r:id="rId45">
                  <o:LockedField>false</o:LockedField>
                </o:OLEObject>
              </w:object>
            </w:r>
          </w:p>
          <w:p w14:paraId="016F7CD7">
            <w:pPr>
              <w:ind w:firstLine="480"/>
              <w:rPr>
                <w:color w:val="000000" w:themeColor="text1"/>
                <w14:textFill>
                  <w14:solidFill>
                    <w14:schemeClr w14:val="tx1"/>
                  </w14:solidFill>
                </w14:textFill>
              </w:rPr>
            </w:pPr>
            <w:r>
              <w:rPr>
                <w:color w:val="000000" w:themeColor="text1"/>
                <w14:textFill>
                  <w14:solidFill>
                    <w14:schemeClr w14:val="tx1"/>
                  </w14:solidFill>
                </w14:textFill>
              </w:rPr>
              <w:t>式中：</w:t>
            </w:r>
          </w:p>
          <w:p w14:paraId="293DF554">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w:t>
            </w:r>
            <w:r>
              <w:rPr>
                <w:rFonts w:hint="eastAsia"/>
                <w:color w:val="000000" w:themeColor="text1"/>
                <w:vertAlign w:val="subscript"/>
                <w14:textFill>
                  <w14:solidFill>
                    <w14:schemeClr w14:val="tx1"/>
                  </w14:solidFill>
                </w14:textFill>
              </w:rPr>
              <w:t>1</w:t>
            </w:r>
            <w:r>
              <w:rPr>
                <w:color w:val="000000" w:themeColor="text1"/>
                <w:vertAlign w:val="subscript"/>
                <w14:textFill>
                  <w14:solidFill>
                    <w14:schemeClr w14:val="tx1"/>
                  </w14:solidFill>
                </w14:textFill>
              </w:rPr>
              <w:t>i</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—靠近围护结构处室内N个声源i倍频带的叠加声压级，dB；</w:t>
            </w:r>
          </w:p>
          <w:p w14:paraId="7343D9F2">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w:t>
            </w:r>
            <w:r>
              <w:rPr>
                <w:rFonts w:hint="eastAsia"/>
                <w:color w:val="000000" w:themeColor="text1"/>
                <w:vertAlign w:val="subscript"/>
                <w14:textFill>
                  <w14:solidFill>
                    <w14:schemeClr w14:val="tx1"/>
                  </w14:solidFill>
                </w14:textFill>
              </w:rPr>
              <w:t>1</w:t>
            </w:r>
            <w:r>
              <w:rPr>
                <w:color w:val="000000" w:themeColor="text1"/>
                <w:vertAlign w:val="subscript"/>
                <w14:textFill>
                  <w14:solidFill>
                    <w14:schemeClr w14:val="tx1"/>
                  </w14:solidFill>
                </w14:textFill>
              </w:rPr>
              <w:t>ij</w:t>
            </w:r>
            <w:r>
              <w:rPr>
                <w:color w:val="000000" w:themeColor="text1"/>
                <w14:textFill>
                  <w14:solidFill>
                    <w14:schemeClr w14:val="tx1"/>
                  </w14:solidFill>
                </w14:textFill>
              </w:rPr>
              <w:t>——室内j声源i倍频带的声压级，dB；</w:t>
            </w:r>
          </w:p>
          <w:p w14:paraId="06818697">
            <w:pPr>
              <w:ind w:firstLineChars="300"/>
              <w:rPr>
                <w:color w:val="000000" w:themeColor="text1"/>
                <w14:textFill>
                  <w14:solidFill>
                    <w14:schemeClr w14:val="tx1"/>
                  </w14:solidFill>
                </w14:textFill>
              </w:rPr>
            </w:pPr>
            <w:r>
              <w:rPr>
                <w:rFonts w:hint="eastAsia"/>
                <w:color w:val="000000" w:themeColor="text1"/>
                <w14:textFill>
                  <w14:solidFill>
                    <w14:schemeClr w14:val="tx1"/>
                  </w14:solidFill>
                </w14:textFill>
              </w:rPr>
              <w:t>N</w:t>
            </w:r>
            <w:r>
              <w:rPr>
                <w:color w:val="000000" w:themeColor="text1"/>
                <w14:textFill>
                  <w14:solidFill>
                    <w14:schemeClr w14:val="tx1"/>
                  </w14:solidFill>
                </w14:textFill>
              </w:rPr>
              <w:t>——室内声源总数。</w:t>
            </w:r>
          </w:p>
          <w:p w14:paraId="474A2C8B">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5）靠近室外围护结构处的声压级计算公式</w:t>
            </w:r>
            <w:r>
              <w:rPr>
                <w:color w:val="000000" w:themeColor="text1"/>
                <w14:textFill>
                  <w14:solidFill>
                    <w14:schemeClr w14:val="tx1"/>
                  </w14:solidFill>
                </w14:textFill>
              </w:rPr>
              <w:t>：</w:t>
            </w:r>
          </w:p>
          <w:p w14:paraId="78A41ECF">
            <w:pPr>
              <w:ind w:firstLine="0" w:firstLineChars="0"/>
              <w:jc w:val="center"/>
              <w:rPr>
                <w:color w:val="000000" w:themeColor="text1"/>
                <w:position w:val="-24"/>
                <w14:textFill>
                  <w14:solidFill>
                    <w14:schemeClr w14:val="tx1"/>
                  </w14:solidFill>
                </w14:textFill>
              </w:rPr>
            </w:pPr>
            <w:r>
              <w:rPr>
                <w:color w:val="000000" w:themeColor="text1"/>
                <w:position w:val="-14"/>
                <w14:textFill>
                  <w14:solidFill>
                    <w14:schemeClr w14:val="tx1"/>
                  </w14:solidFill>
                </w14:textFill>
              </w:rPr>
              <w:object>
                <v:shape id="_x0000_i1033" o:spt="75" type="#_x0000_t75" style="height:21.6pt;width:136.8pt;" o:ole="t" filled="f" o:preferrelative="t" stroked="f" coordsize="21600,21600">
                  <v:path/>
                  <v:fill on="f" focussize="0,0"/>
                  <v:stroke on="f" joinstyle="miter"/>
                  <v:imagedata r:id="rId48" o:title=""/>
                  <o:lock v:ext="edit" aspectratio="t"/>
                  <w10:wrap type="none"/>
                  <w10:anchorlock/>
                </v:shape>
                <o:OLEObject Type="Embed" ProgID="Equation.3" ShapeID="_x0000_i1033" DrawAspect="Content" ObjectID="_1468075733" r:id="rId47">
                  <o:LockedField>false</o:LockedField>
                </o:OLEObject>
              </w:object>
            </w:r>
          </w:p>
          <w:p w14:paraId="535AF15D">
            <w:pPr>
              <w:ind w:firstLine="480"/>
              <w:rPr>
                <w:color w:val="000000" w:themeColor="text1"/>
                <w14:textFill>
                  <w14:solidFill>
                    <w14:schemeClr w14:val="tx1"/>
                  </w14:solidFill>
                </w14:textFill>
              </w:rPr>
            </w:pPr>
            <w:r>
              <w:rPr>
                <w:color w:val="000000" w:themeColor="text1"/>
                <w14:textFill>
                  <w14:solidFill>
                    <w14:schemeClr w14:val="tx1"/>
                  </w14:solidFill>
                </w14:textFill>
              </w:rPr>
              <w:t>式中：</w:t>
            </w:r>
          </w:p>
          <w:p w14:paraId="2D66D134">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w:t>
            </w:r>
            <w:r>
              <w:rPr>
                <w:rFonts w:hint="eastAsia"/>
                <w:color w:val="000000" w:themeColor="text1"/>
                <w:vertAlign w:val="subscript"/>
                <w14:textFill>
                  <w14:solidFill>
                    <w14:schemeClr w14:val="tx1"/>
                  </w14:solidFill>
                </w14:textFill>
              </w:rPr>
              <w:t>2</w:t>
            </w:r>
            <w:r>
              <w:rPr>
                <w:color w:val="000000" w:themeColor="text1"/>
                <w:vertAlign w:val="subscript"/>
                <w14:textFill>
                  <w14:solidFill>
                    <w14:schemeClr w14:val="tx1"/>
                  </w14:solidFill>
                </w14:textFill>
              </w:rPr>
              <w:t>i</w:t>
            </w:r>
            <w:r>
              <w:rPr>
                <w:rFonts w:hint="eastAsia"/>
                <w:color w:val="000000" w:themeColor="text1"/>
                <w14:textFill>
                  <w14:solidFill>
                    <w14:schemeClr w14:val="tx1"/>
                  </w14:solidFill>
                </w14:textFill>
              </w:rPr>
              <w:t>（T）</w:t>
            </w:r>
            <w:r>
              <w:rPr>
                <w:color w:val="000000" w:themeColor="text1"/>
                <w14:textFill>
                  <w14:solidFill>
                    <w14:schemeClr w14:val="tx1"/>
                  </w14:solidFill>
                </w14:textFill>
              </w:rPr>
              <w:t>—靠近围护结构处室外N个声源i倍频带的叠加声压级，dB；</w:t>
            </w:r>
          </w:p>
          <w:p w14:paraId="167171BE">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w:t>
            </w:r>
            <w:r>
              <w:rPr>
                <w:rFonts w:hint="eastAsia"/>
                <w:color w:val="000000" w:themeColor="text1"/>
                <w:vertAlign w:val="subscript"/>
                <w14:textFill>
                  <w14:solidFill>
                    <w14:schemeClr w14:val="tx1"/>
                  </w14:solidFill>
                </w14:textFill>
              </w:rPr>
              <w:t>1</w:t>
            </w:r>
            <w:r>
              <w:rPr>
                <w:color w:val="000000" w:themeColor="text1"/>
                <w:vertAlign w:val="subscript"/>
                <w14:textFill>
                  <w14:solidFill>
                    <w14:schemeClr w14:val="tx1"/>
                  </w14:solidFill>
                </w14:textFill>
              </w:rPr>
              <w:t>i</w:t>
            </w:r>
            <w:r>
              <w:rPr>
                <w:rFonts w:hint="eastAsia"/>
                <w:color w:val="000000" w:themeColor="text1"/>
                <w14:textFill>
                  <w14:solidFill>
                    <w14:schemeClr w14:val="tx1"/>
                  </w14:solidFill>
                </w14:textFill>
              </w:rPr>
              <w:t>（T）</w:t>
            </w:r>
            <w:r>
              <w:rPr>
                <w:color w:val="000000" w:themeColor="text1"/>
                <w14:textFill>
                  <w14:solidFill>
                    <w14:schemeClr w14:val="tx1"/>
                  </w14:solidFill>
                </w14:textFill>
              </w:rPr>
              <w:t>—靠近围护结构处室内N个声源i倍频带的叠加声压级，dB；</w:t>
            </w:r>
          </w:p>
          <w:p w14:paraId="45D9129F">
            <w:pPr>
              <w:ind w:firstLineChars="300"/>
              <w:rPr>
                <w:color w:val="000000" w:themeColor="text1"/>
                <w14:textFill>
                  <w14:solidFill>
                    <w14:schemeClr w14:val="tx1"/>
                  </w14:solidFill>
                </w14:textFill>
              </w:rPr>
            </w:pPr>
            <w:r>
              <w:rPr>
                <w:color w:val="000000" w:themeColor="text1"/>
                <w14:textFill>
                  <w14:solidFill>
                    <w14:schemeClr w14:val="tx1"/>
                  </w14:solidFill>
                </w14:textFill>
              </w:rPr>
              <w:t>TL</w:t>
            </w:r>
            <w:r>
              <w:rPr>
                <w:color w:val="000000" w:themeColor="text1"/>
                <w:vertAlign w:val="subscript"/>
                <w14:textFill>
                  <w14:solidFill>
                    <w14:schemeClr w14:val="tx1"/>
                  </w14:solidFill>
                </w14:textFill>
              </w:rPr>
              <w:t>i</w:t>
            </w:r>
            <w:r>
              <w:rPr>
                <w:color w:val="000000" w:themeColor="text1"/>
                <w14:textFill>
                  <w14:solidFill>
                    <w14:schemeClr w14:val="tx1"/>
                  </w14:solidFill>
                </w14:textFill>
              </w:rPr>
              <w:t>—围护结构i倍频带的隔声量，dB</w:t>
            </w:r>
            <w:r>
              <w:rPr>
                <w:rFonts w:hint="eastAsia"/>
                <w:color w:val="000000" w:themeColor="text1"/>
                <w14:textFill>
                  <w14:solidFill>
                    <w14:schemeClr w14:val="tx1"/>
                  </w14:solidFill>
                </w14:textFill>
              </w:rPr>
              <w:t>，取14</w:t>
            </w:r>
            <w:r>
              <w:rPr>
                <w:color w:val="000000" w:themeColor="text1"/>
                <w14:textFill>
                  <w14:solidFill>
                    <w14:schemeClr w14:val="tx1"/>
                  </w14:solidFill>
                </w14:textFill>
              </w:rPr>
              <w:t>。</w:t>
            </w:r>
          </w:p>
          <w:p w14:paraId="76A4A4CC">
            <w:pPr>
              <w:ind w:firstLine="0" w:firstLineChars="0"/>
              <w:jc w:val="center"/>
              <w:rPr>
                <w:color w:val="000000" w:themeColor="text1"/>
                <w14:textFill>
                  <w14:solidFill>
                    <w14:schemeClr w14:val="tx1"/>
                  </w14:solidFill>
                </w14:textFill>
              </w:rPr>
            </w:pPr>
            <w:r>
              <w:rPr>
                <w:color w:val="000000" w:themeColor="text1"/>
                <w:position w:val="-14"/>
                <w14:textFill>
                  <w14:solidFill>
                    <w14:schemeClr w14:val="tx1"/>
                  </w14:solidFill>
                </w14:textFill>
              </w:rPr>
              <w:object>
                <v:shape id="_x0000_i1034" o:spt="75" type="#_x0000_t75" style="height:21.6pt;width:100.8pt;" o:ole="t" filled="f" o:preferrelative="t" stroked="f" coordsize="21600,21600">
                  <v:path/>
                  <v:fill on="f" focussize="0,0"/>
                  <v:stroke on="f" joinstyle="miter"/>
                  <v:imagedata r:id="rId50" o:title=""/>
                  <o:lock v:ext="edit" aspectratio="t"/>
                  <w10:wrap type="none"/>
                  <w10:anchorlock/>
                </v:shape>
                <o:OLEObject Type="Embed" ProgID="Equation.3" ShapeID="_x0000_i1034" DrawAspect="Content" ObjectID="_1468075734" r:id="rId49">
                  <o:LockedField>false</o:LockedField>
                </o:OLEObject>
              </w:object>
            </w:r>
          </w:p>
          <w:p w14:paraId="32857272">
            <w:pPr>
              <w:ind w:firstLine="480"/>
              <w:rPr>
                <w:color w:val="000000" w:themeColor="text1"/>
                <w14:textFill>
                  <w14:solidFill>
                    <w14:schemeClr w14:val="tx1"/>
                  </w14:solidFill>
                </w14:textFill>
              </w:rPr>
            </w:pPr>
            <w:r>
              <w:rPr>
                <w:color w:val="000000" w:themeColor="text1"/>
                <w14:textFill>
                  <w14:solidFill>
                    <w14:schemeClr w14:val="tx1"/>
                  </w14:solidFill>
                </w14:textFill>
              </w:rPr>
              <w:t>式中：</w:t>
            </w:r>
          </w:p>
          <w:p w14:paraId="4E2B581C">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w</w:t>
            </w:r>
            <w:r>
              <w:rPr>
                <w:color w:val="000000" w:themeColor="text1"/>
                <w14:textFill>
                  <w14:solidFill>
                    <w14:schemeClr w14:val="tx1"/>
                  </w14:solidFill>
                </w14:textFill>
              </w:rPr>
              <w:t>—中心位置位于透声面积（S）处的等效声源的倍频带声功率级，dB；</w:t>
            </w:r>
          </w:p>
          <w:p w14:paraId="6A2D1001">
            <w:pPr>
              <w:ind w:firstLineChars="300"/>
              <w:rPr>
                <w:color w:val="000000" w:themeColor="text1"/>
                <w14:textFill>
                  <w14:solidFill>
                    <w14:schemeClr w14:val="tx1"/>
                  </w14:solidFill>
                </w14:textFill>
              </w:rPr>
            </w:pPr>
            <w:r>
              <w:rPr>
                <w:color w:val="000000" w:themeColor="text1"/>
                <w14:textFill>
                  <w14:solidFill>
                    <w14:schemeClr w14:val="tx1"/>
                  </w14:solidFill>
                </w14:textFill>
              </w:rPr>
              <w:t>L</w:t>
            </w:r>
            <w:r>
              <w:rPr>
                <w:color w:val="000000" w:themeColor="text1"/>
                <w:vertAlign w:val="subscript"/>
                <w14:textFill>
                  <w14:solidFill>
                    <w14:schemeClr w14:val="tx1"/>
                  </w14:solidFill>
                </w14:textFill>
              </w:rPr>
              <w:t>p2</w:t>
            </w:r>
            <w:r>
              <w:rPr>
                <w:rFonts w:hint="eastAsia"/>
                <w:color w:val="000000" w:themeColor="text1"/>
                <w14:textFill>
                  <w14:solidFill>
                    <w14:schemeClr w14:val="tx1"/>
                  </w14:solidFill>
                </w14:textFill>
              </w:rPr>
              <w:t>（T）</w:t>
            </w:r>
            <w:r>
              <w:rPr>
                <w:color w:val="000000" w:themeColor="text1"/>
                <w14:textFill>
                  <w14:solidFill>
                    <w14:schemeClr w14:val="tx1"/>
                  </w14:solidFill>
                </w14:textFill>
              </w:rPr>
              <w:t>—靠近围护结构处室外声源的声压级，dB；</w:t>
            </w:r>
          </w:p>
          <w:p w14:paraId="353947A3">
            <w:pPr>
              <w:autoSpaceDE w:val="0"/>
              <w:autoSpaceDN w:val="0"/>
              <w:ind w:firstLineChars="300"/>
              <w:rPr>
                <w:color w:val="000000" w:themeColor="text1"/>
                <w14:textFill>
                  <w14:solidFill>
                    <w14:schemeClr w14:val="tx1"/>
                  </w14:solidFill>
                </w14:textFill>
              </w:rPr>
            </w:pPr>
            <w:r>
              <w:rPr>
                <w:color w:val="000000" w:themeColor="text1"/>
                <w14:textFill>
                  <w14:solidFill>
                    <w14:schemeClr w14:val="tx1"/>
                  </w14:solidFill>
                </w14:textFill>
              </w:rPr>
              <w:t>S——透声面积，m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14:paraId="2CA80ED2">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 xml:space="preserve">点声源的几何发散衰减 </w:t>
            </w:r>
          </w:p>
          <w:p w14:paraId="30E48035">
            <w:pPr>
              <w:autoSpaceDE w:val="0"/>
              <w:autoSpaceDN w:val="0"/>
              <w:ind w:firstLine="480"/>
              <w:rPr>
                <w:color w:val="000000" w:themeColor="text1"/>
                <w14:textFill>
                  <w14:solidFill>
                    <w14:schemeClr w14:val="tx1"/>
                  </w14:solidFill>
                </w14:textFill>
              </w:rPr>
            </w:pPr>
            <w:r>
              <w:rPr>
                <w:color w:val="000000" w:themeColor="text1"/>
                <w14:textFill>
                  <w14:solidFill>
                    <w14:schemeClr w14:val="tx1"/>
                  </w14:solidFill>
                </w14:textFill>
              </w:rPr>
              <w:t>无指向性点声源几何发散衰减基本公式：</w:t>
            </w:r>
          </w:p>
          <w:p w14:paraId="3D267C0B">
            <w:pPr>
              <w:autoSpaceDE w:val="0"/>
              <w:ind w:firstLine="420"/>
              <w:jc w:val="center"/>
              <w:rPr>
                <w:color w:val="000000" w:themeColor="text1"/>
                <w:lang w:bidi="ar"/>
                <w14:textFill>
                  <w14:solidFill>
                    <w14:schemeClr w14:val="tx1"/>
                  </w14:solidFill>
                </w14:textFill>
              </w:rPr>
            </w:pPr>
            <m:oMath>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L</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P</m:t>
                  </m:r>
                  <m:ctrlPr>
                    <w:rPr>
                      <w:rFonts w:ascii="Cambria Math" w:hAnsi="Cambria Math"/>
                      <w:i/>
                      <w:color w:val="000000" w:themeColor="text1"/>
                      <w:sz w:val="21"/>
                      <w14:textFill>
                        <w14:solidFill>
                          <w14:schemeClr w14:val="tx1"/>
                        </w14:solidFill>
                      </w14:textFill>
                    </w:rPr>
                  </m:ctrlPr>
                </m:sub>
              </m:sSub>
              <m:d>
                <m:dPr>
                  <m:ctrlPr>
                    <w:rPr>
                      <w:rFonts w:ascii="Cambria Math" w:hAnsi="Cambria Math"/>
                      <w:i/>
                      <w:color w:val="000000" w:themeColor="text1"/>
                      <w:sz w:val="21"/>
                      <w14:textFill>
                        <w14:solidFill>
                          <w14:schemeClr w14:val="tx1"/>
                        </w14:solidFill>
                      </w14:textFill>
                    </w:rPr>
                  </m:ctrlPr>
                </m:dPr>
                <m:e>
                  <m:r>
                    <m:rPr/>
                    <w:rPr>
                      <w:rFonts w:ascii="Cambria Math" w:hAnsi="Cambria Math"/>
                      <w:color w:val="000000" w:themeColor="text1"/>
                      <w:sz w:val="21"/>
                      <w14:textFill>
                        <w14:solidFill>
                          <w14:schemeClr w14:val="tx1"/>
                        </w14:solidFill>
                      </w14:textFill>
                    </w:rPr>
                    <m:t>r</m:t>
                  </m:r>
                  <m:ctrlPr>
                    <w:rPr>
                      <w:rFonts w:ascii="Cambria Math" w:hAnsi="Cambria Math"/>
                      <w:i/>
                      <w:color w:val="000000" w:themeColor="text1"/>
                      <w:sz w:val="21"/>
                      <w14:textFill>
                        <w14:solidFill>
                          <w14:schemeClr w14:val="tx1"/>
                        </w14:solidFill>
                      </w14:textFill>
                    </w:rPr>
                  </m:ctrlPr>
                </m:e>
              </m:d>
              <m:r>
                <m:rPr/>
                <w:rPr>
                  <w:rFonts w:ascii="Cambria Math" w:hAnsi="Cambria Math"/>
                  <w:color w:val="000000" w:themeColor="text1"/>
                  <w:sz w:val="21"/>
                  <w14:textFill>
                    <w14:solidFill>
                      <w14:schemeClr w14:val="tx1"/>
                    </w14:solidFill>
                  </w14:textFill>
                </w:rPr>
                <m:t>=</m:t>
              </m:r>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L</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P</m:t>
                  </m:r>
                  <m:ctrlPr>
                    <w:rPr>
                      <w:rFonts w:ascii="Cambria Math" w:hAnsi="Cambria Math"/>
                      <w:i/>
                      <w:color w:val="000000" w:themeColor="text1"/>
                      <w:sz w:val="21"/>
                      <w14:textFill>
                        <w14:solidFill>
                          <w14:schemeClr w14:val="tx1"/>
                        </w14:solidFill>
                      </w14:textFill>
                    </w:rPr>
                  </m:ctrlPr>
                </m:sub>
              </m:sSub>
              <m:d>
                <m:dPr>
                  <m:ctrlPr>
                    <w:rPr>
                      <w:rFonts w:ascii="Cambria Math" w:hAnsi="Cambria Math"/>
                      <w:i/>
                      <w:color w:val="000000" w:themeColor="text1"/>
                      <w:sz w:val="21"/>
                      <w14:textFill>
                        <w14:solidFill>
                          <w14:schemeClr w14:val="tx1"/>
                        </w14:solidFill>
                      </w14:textFill>
                    </w:rPr>
                  </m:ctrlPr>
                </m:dPr>
                <m:e>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r</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0</m:t>
                      </m:r>
                      <m:ctrlPr>
                        <w:rPr>
                          <w:rFonts w:ascii="Cambria Math" w:hAnsi="Cambria Math"/>
                          <w:i/>
                          <w:color w:val="000000" w:themeColor="text1"/>
                          <w:sz w:val="21"/>
                          <w14:textFill>
                            <w14:solidFill>
                              <w14:schemeClr w14:val="tx1"/>
                            </w14:solidFill>
                          </w14:textFill>
                        </w:rPr>
                      </m:ctrlPr>
                    </m:sub>
                  </m:sSub>
                  <m:ctrlPr>
                    <w:rPr>
                      <w:rFonts w:ascii="Cambria Math" w:hAnsi="Cambria Math"/>
                      <w:i/>
                      <w:color w:val="000000" w:themeColor="text1"/>
                      <w:sz w:val="21"/>
                      <w14:textFill>
                        <w14:solidFill>
                          <w14:schemeClr w14:val="tx1"/>
                        </w14:solidFill>
                      </w14:textFill>
                    </w:rPr>
                  </m:ctrlPr>
                </m:e>
              </m:d>
              <m:r>
                <m:rPr/>
                <w:rPr>
                  <w:rFonts w:ascii="Cambria Math" w:hAnsi="Cambria Math"/>
                  <w:color w:val="000000" w:themeColor="text1"/>
                  <w:sz w:val="21"/>
                  <w14:textFill>
                    <w14:solidFill>
                      <w14:schemeClr w14:val="tx1"/>
                    </w14:solidFill>
                  </w14:textFill>
                </w:rPr>
                <m:t>−20lg(</m:t>
              </m:r>
              <m:f>
                <m:fPr>
                  <m:type m:val="lin"/>
                  <m:ctrlPr>
                    <w:rPr>
                      <w:rFonts w:ascii="Cambria Math" w:hAnsi="Cambria Math"/>
                      <w:i/>
                      <w:color w:val="000000" w:themeColor="text1"/>
                      <w:sz w:val="21"/>
                      <w14:textFill>
                        <w14:solidFill>
                          <w14:schemeClr w14:val="tx1"/>
                        </w14:solidFill>
                      </w14:textFill>
                    </w:rPr>
                  </m:ctrlPr>
                </m:fPr>
                <m:num>
                  <m:r>
                    <m:rPr/>
                    <w:rPr>
                      <w:rFonts w:ascii="Cambria Math" w:hAnsi="Cambria Math"/>
                      <w:color w:val="000000" w:themeColor="text1"/>
                      <w:sz w:val="21"/>
                      <w14:textFill>
                        <w14:solidFill>
                          <w14:schemeClr w14:val="tx1"/>
                        </w14:solidFill>
                      </w14:textFill>
                    </w:rPr>
                    <m:t>r</m:t>
                  </m:r>
                  <m:ctrlPr>
                    <w:rPr>
                      <w:rFonts w:ascii="Cambria Math" w:hAnsi="Cambria Math"/>
                      <w:i/>
                      <w:color w:val="000000" w:themeColor="text1"/>
                      <w:sz w:val="21"/>
                      <w14:textFill>
                        <w14:solidFill>
                          <w14:schemeClr w14:val="tx1"/>
                        </w14:solidFill>
                      </w14:textFill>
                    </w:rPr>
                  </m:ctrlPr>
                </m:num>
                <m:den>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r</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0</m:t>
                      </m:r>
                      <m:ctrlPr>
                        <w:rPr>
                          <w:rFonts w:ascii="Cambria Math" w:hAnsi="Cambria Math"/>
                          <w:i/>
                          <w:color w:val="000000" w:themeColor="text1"/>
                          <w:sz w:val="21"/>
                          <w14:textFill>
                            <w14:solidFill>
                              <w14:schemeClr w14:val="tx1"/>
                            </w14:solidFill>
                          </w14:textFill>
                        </w:rPr>
                      </m:ctrlPr>
                    </m:sub>
                  </m:sSub>
                  <m:r>
                    <m:rPr/>
                    <w:rPr>
                      <w:rFonts w:ascii="Cambria Math" w:hAnsi="Cambria Math"/>
                      <w:color w:val="000000" w:themeColor="text1"/>
                      <w:sz w:val="21"/>
                      <w14:textFill>
                        <w14:solidFill>
                          <w14:schemeClr w14:val="tx1"/>
                        </w14:solidFill>
                      </w14:textFill>
                    </w:rPr>
                    <m:t>)</m:t>
                  </m:r>
                  <m:ctrlPr>
                    <w:rPr>
                      <w:rFonts w:ascii="Cambria Math" w:hAnsi="Cambria Math"/>
                      <w:i/>
                      <w:color w:val="000000" w:themeColor="text1"/>
                      <w:sz w:val="21"/>
                      <w14:textFill>
                        <w14:solidFill>
                          <w14:schemeClr w14:val="tx1"/>
                        </w14:solidFill>
                      </w14:textFill>
                    </w:rPr>
                  </m:ctrlPr>
                </m:den>
              </m:f>
            </m:oMath>
            <w:r>
              <w:rPr>
                <w:rFonts w:hint="eastAsia" w:ascii="宋体" w:hAnsi="宋体" w:cs="宋体"/>
                <w:color w:val="000000" w:themeColor="text1"/>
                <w:sz w:val="21"/>
                <w:vertAlign w:val="superscript"/>
                <w14:textFill>
                  <w14:solidFill>
                    <w14:schemeClr w14:val="tx1"/>
                  </w14:solidFill>
                </w14:textFill>
              </w:rPr>
              <w:t>①</w:t>
            </w:r>
          </w:p>
          <w:p w14:paraId="7D4934B4">
            <w:pPr>
              <w:autoSpaceDE w:val="0"/>
              <w:autoSpaceDN w:val="0"/>
              <w:ind w:firstLine="480"/>
              <w:rPr>
                <w:color w:val="000000" w:themeColor="text1"/>
                <w:lang w:bidi="ar"/>
                <w14:textFill>
                  <w14:solidFill>
                    <w14:schemeClr w14:val="tx1"/>
                  </w14:solidFill>
                </w14:textFill>
              </w:rPr>
            </w:pPr>
            <w:r>
              <w:rPr>
                <w:color w:val="000000" w:themeColor="text1"/>
                <w:lang w:bidi="ar"/>
                <w14:textFill>
                  <w14:solidFill>
                    <w14:schemeClr w14:val="tx1"/>
                  </w14:solidFill>
                </w14:textFill>
              </w:rPr>
              <w:t>式中：</w:t>
            </w:r>
            <w:r>
              <w:rPr>
                <w:rFonts w:ascii="Cambria Math" w:hAnsi="Cambria Math" w:cs="Cambria Math"/>
                <w:color w:val="000000" w:themeColor="text1"/>
                <w:lang w:bidi="ar"/>
                <w14:textFill>
                  <w14:solidFill>
                    <w14:schemeClr w14:val="tx1"/>
                  </w14:solidFill>
                </w14:textFill>
              </w:rPr>
              <w:t>𝐿</w:t>
            </w:r>
            <w:r>
              <w:rPr>
                <w:rFonts w:ascii="Cambria Math" w:hAnsi="Cambria Math" w:cs="Cambria Math"/>
                <w:color w:val="000000" w:themeColor="text1"/>
                <w:vertAlign w:val="subscript"/>
                <w:lang w:bidi="ar"/>
                <w14:textFill>
                  <w14:solidFill>
                    <w14:schemeClr w14:val="tx1"/>
                  </w14:solidFill>
                </w14:textFill>
              </w:rPr>
              <w:t>𝑃</w:t>
            </w:r>
            <w:r>
              <w:rPr>
                <w:color w:val="000000" w:themeColor="text1"/>
                <w:lang w:bidi="ar"/>
                <w14:textFill>
                  <w14:solidFill>
                    <w14:schemeClr w14:val="tx1"/>
                  </w14:solidFill>
                </w14:textFill>
              </w:rPr>
              <w:t>(</w:t>
            </w:r>
            <w:r>
              <w:rPr>
                <w:rFonts w:ascii="Cambria Math" w:hAnsi="Cambria Math" w:cs="Cambria Math"/>
                <w:color w:val="000000" w:themeColor="text1"/>
                <w:lang w:bidi="ar"/>
                <w14:textFill>
                  <w14:solidFill>
                    <w14:schemeClr w14:val="tx1"/>
                  </w14:solidFill>
                </w14:textFill>
              </w:rPr>
              <w:t>𝑟</w:t>
            </w:r>
            <w:r>
              <w:rPr>
                <w:color w:val="000000" w:themeColor="text1"/>
                <w:lang w:bidi="ar"/>
                <w14:textFill>
                  <w14:solidFill>
                    <w14:schemeClr w14:val="tx1"/>
                  </w14:solidFill>
                </w14:textFill>
              </w:rPr>
              <w:t>)——预测点处声压级，dB；</w:t>
            </w:r>
          </w:p>
          <w:p w14:paraId="548C04C1">
            <w:pPr>
              <w:autoSpaceDE w:val="0"/>
              <w:autoSpaceDN w:val="0"/>
              <w:ind w:firstLine="1200" w:firstLineChars="500"/>
              <w:rPr>
                <w:color w:val="000000" w:themeColor="text1"/>
                <w:lang w:bidi="ar"/>
                <w14:textFill>
                  <w14:solidFill>
                    <w14:schemeClr w14:val="tx1"/>
                  </w14:solidFill>
                </w14:textFill>
              </w:rPr>
            </w:pPr>
            <w:r>
              <w:rPr>
                <w:rFonts w:ascii="Cambria Math" w:hAnsi="Cambria Math" w:cs="Cambria Math"/>
                <w:color w:val="000000" w:themeColor="text1"/>
                <w:lang w:bidi="ar"/>
                <w14:textFill>
                  <w14:solidFill>
                    <w14:schemeClr w14:val="tx1"/>
                  </w14:solidFill>
                </w14:textFill>
              </w:rPr>
              <w:t>𝐿</w:t>
            </w:r>
            <w:r>
              <w:rPr>
                <w:rFonts w:ascii="Cambria Math" w:hAnsi="Cambria Math" w:cs="Cambria Math"/>
                <w:color w:val="000000" w:themeColor="text1"/>
                <w:vertAlign w:val="subscript"/>
                <w:lang w:bidi="ar"/>
                <w14:textFill>
                  <w14:solidFill>
                    <w14:schemeClr w14:val="tx1"/>
                  </w14:solidFill>
                </w14:textFill>
              </w:rPr>
              <w:t>𝑃</w:t>
            </w:r>
            <w:r>
              <w:rPr>
                <w:color w:val="000000" w:themeColor="text1"/>
                <w:lang w:bidi="ar"/>
                <w14:textFill>
                  <w14:solidFill>
                    <w14:schemeClr w14:val="tx1"/>
                  </w14:solidFill>
                </w14:textFill>
              </w:rPr>
              <w:t>(</w:t>
            </w:r>
            <w:r>
              <w:rPr>
                <w:rFonts w:ascii="Cambria Math" w:hAnsi="Cambria Math" w:cs="Cambria Math"/>
                <w:color w:val="000000" w:themeColor="text1"/>
                <w:lang w:bidi="ar"/>
                <w14:textFill>
                  <w14:solidFill>
                    <w14:schemeClr w14:val="tx1"/>
                  </w14:solidFill>
                </w14:textFill>
              </w:rPr>
              <w:t>𝑟</w:t>
            </w:r>
            <w:r>
              <w:rPr>
                <w:color w:val="000000" w:themeColor="text1"/>
                <w:vertAlign w:val="subscript"/>
                <w:lang w:bidi="ar"/>
                <w14:textFill>
                  <w14:solidFill>
                    <w14:schemeClr w14:val="tx1"/>
                  </w14:solidFill>
                </w14:textFill>
              </w:rPr>
              <w:t>0</w:t>
            </w:r>
            <w:r>
              <w:rPr>
                <w:color w:val="000000" w:themeColor="text1"/>
                <w:lang w:bidi="ar"/>
                <w14:textFill>
                  <w14:solidFill>
                    <w14:schemeClr w14:val="tx1"/>
                  </w14:solidFill>
                </w14:textFill>
              </w:rPr>
              <w:t>)——预测点处声压级，dB；</w:t>
            </w:r>
          </w:p>
          <w:p w14:paraId="5D011F2B">
            <w:pPr>
              <w:autoSpaceDE w:val="0"/>
              <w:autoSpaceDN w:val="0"/>
              <w:ind w:firstLine="1200" w:firstLineChars="500"/>
              <w:rPr>
                <w:color w:val="000000" w:themeColor="text1"/>
                <w:lang w:bidi="ar"/>
                <w14:textFill>
                  <w14:solidFill>
                    <w14:schemeClr w14:val="tx1"/>
                  </w14:solidFill>
                </w14:textFill>
              </w:rPr>
            </w:pPr>
            <w:r>
              <w:rPr>
                <w:rFonts w:ascii="Cambria Math" w:hAnsi="Cambria Math" w:cs="Cambria Math"/>
                <w:color w:val="000000" w:themeColor="text1"/>
                <w:lang w:bidi="ar"/>
                <w14:textFill>
                  <w14:solidFill>
                    <w14:schemeClr w14:val="tx1"/>
                  </w14:solidFill>
                </w14:textFill>
              </w:rPr>
              <w:t>𝑟</w:t>
            </w:r>
            <w:r>
              <w:rPr>
                <w:color w:val="000000" w:themeColor="text1"/>
                <w:lang w:bidi="ar"/>
                <w14:textFill>
                  <w14:solidFill>
                    <w14:schemeClr w14:val="tx1"/>
                  </w14:solidFill>
                </w14:textFill>
              </w:rPr>
              <w:t>——预测点距声源的距离；</w:t>
            </w:r>
          </w:p>
          <w:p w14:paraId="4EE436E7">
            <w:pPr>
              <w:autoSpaceDE w:val="0"/>
              <w:autoSpaceDN w:val="0"/>
              <w:ind w:firstLine="1200" w:firstLineChars="500"/>
              <w:rPr>
                <w:color w:val="000000" w:themeColor="text1"/>
                <w:lang w:bidi="ar"/>
                <w14:textFill>
                  <w14:solidFill>
                    <w14:schemeClr w14:val="tx1"/>
                  </w14:solidFill>
                </w14:textFill>
              </w:rPr>
            </w:pPr>
            <w:r>
              <w:rPr>
                <w:rFonts w:ascii="Cambria Math" w:hAnsi="Cambria Math" w:cs="Cambria Math"/>
                <w:color w:val="000000" w:themeColor="text1"/>
                <w:lang w:bidi="ar"/>
                <w14:textFill>
                  <w14:solidFill>
                    <w14:schemeClr w14:val="tx1"/>
                  </w14:solidFill>
                </w14:textFill>
              </w:rPr>
              <w:t>𝑟</w:t>
            </w:r>
            <w:r>
              <w:rPr>
                <w:color w:val="000000" w:themeColor="text1"/>
                <w:vertAlign w:val="subscript"/>
                <w:lang w:bidi="ar"/>
                <w14:textFill>
                  <w14:solidFill>
                    <w14:schemeClr w14:val="tx1"/>
                  </w14:solidFill>
                </w14:textFill>
              </w:rPr>
              <w:t>0</w:t>
            </w:r>
            <w:r>
              <w:rPr>
                <w:color w:val="000000" w:themeColor="text1"/>
                <w:lang w:bidi="ar"/>
                <w14:textFill>
                  <w14:solidFill>
                    <w14:schemeClr w14:val="tx1"/>
                  </w14:solidFill>
                </w14:textFill>
              </w:rPr>
              <w:t>——参考位置距声源的距离。</w:t>
            </w:r>
          </w:p>
          <w:p w14:paraId="6D19BEC5">
            <w:pPr>
              <w:autoSpaceDE w:val="0"/>
              <w:autoSpaceDN w:val="0"/>
              <w:ind w:firstLine="480" w:firstLineChars="0"/>
              <w:rPr>
                <w:color w:val="000000" w:themeColor="text1"/>
                <w:lang w:bidi="ar"/>
                <w14:textFill>
                  <w14:solidFill>
                    <w14:schemeClr w14:val="tx1"/>
                  </w14:solidFill>
                </w14:textFill>
              </w:rPr>
            </w:pPr>
            <w:r>
              <w:rPr>
                <w:color w:val="000000" w:themeColor="text1"/>
                <w:lang w:bidi="ar"/>
                <w14:textFill>
                  <w14:solidFill>
                    <w14:schemeClr w14:val="tx1"/>
                  </w14:solidFill>
                </w14:textFill>
              </w:rPr>
              <w:t>如果声源处于半自由声场，则</w:t>
            </w:r>
            <w:r>
              <w:rPr>
                <w:rFonts w:hint="eastAsia" w:ascii="宋体" w:hAnsi="宋体" w:cs="宋体"/>
                <w:color w:val="000000" w:themeColor="text1"/>
                <w:lang w:bidi="ar"/>
                <w14:textFill>
                  <w14:solidFill>
                    <w14:schemeClr w14:val="tx1"/>
                  </w14:solidFill>
                </w14:textFill>
              </w:rPr>
              <w:t>①</w:t>
            </w:r>
            <w:r>
              <w:rPr>
                <w:color w:val="000000" w:themeColor="text1"/>
                <w:lang w:bidi="ar"/>
                <w14:textFill>
                  <w14:solidFill>
                    <w14:schemeClr w14:val="tx1"/>
                  </w14:solidFill>
                </w14:textFill>
              </w:rPr>
              <w:t>等效为式</w:t>
            </w:r>
            <w:r>
              <w:rPr>
                <w:rFonts w:hint="eastAsia" w:ascii="宋体" w:hAnsi="宋体" w:cs="宋体"/>
                <w:color w:val="000000" w:themeColor="text1"/>
                <w:lang w:bidi="ar"/>
                <w14:textFill>
                  <w14:solidFill>
                    <w14:schemeClr w14:val="tx1"/>
                  </w14:solidFill>
                </w14:textFill>
              </w:rPr>
              <w:t>②</w:t>
            </w:r>
            <w:r>
              <w:rPr>
                <w:color w:val="000000" w:themeColor="text1"/>
                <w:lang w:bidi="ar"/>
                <w14:textFill>
                  <w14:solidFill>
                    <w14:schemeClr w14:val="tx1"/>
                  </w14:solidFill>
                </w14:textFill>
              </w:rPr>
              <w:t>或式</w:t>
            </w:r>
            <w:r>
              <w:rPr>
                <w:rFonts w:hint="eastAsia" w:ascii="宋体" w:hAnsi="宋体" w:cs="宋体"/>
                <w:color w:val="000000" w:themeColor="text1"/>
                <w:lang w:bidi="ar"/>
                <w14:textFill>
                  <w14:solidFill>
                    <w14:schemeClr w14:val="tx1"/>
                  </w14:solidFill>
                </w14:textFill>
              </w:rPr>
              <w:t>③</w:t>
            </w:r>
            <w:r>
              <w:rPr>
                <w:color w:val="000000" w:themeColor="text1"/>
                <w:lang w:bidi="ar"/>
                <w14:textFill>
                  <w14:solidFill>
                    <w14:schemeClr w14:val="tx1"/>
                  </w14:solidFill>
                </w14:textFill>
              </w:rPr>
              <w:t>：</w:t>
            </w:r>
          </w:p>
          <w:p w14:paraId="727161E1">
            <w:pPr>
              <w:autoSpaceDE w:val="0"/>
              <w:ind w:firstLine="420" w:firstLineChars="0"/>
              <w:jc w:val="center"/>
              <w:rPr>
                <w:color w:val="000000" w:themeColor="text1"/>
                <w:lang w:bidi="ar"/>
                <w14:textFill>
                  <w14:solidFill>
                    <w14:schemeClr w14:val="tx1"/>
                  </w14:solidFill>
                </w14:textFill>
              </w:rPr>
            </w:pPr>
            <w:r>
              <w:rPr>
                <w:color w:val="000000" w:themeColor="text1"/>
                <w:lang w:bidi="ar"/>
                <w14:textFill>
                  <w14:solidFill>
                    <w14:schemeClr w14:val="tx1"/>
                  </w14:solidFill>
                </w14:textFill>
              </w:rPr>
              <w:t></w:t>
            </w:r>
            <m:oMath>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L</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P</m:t>
                  </m:r>
                  <m:ctrlPr>
                    <w:rPr>
                      <w:rFonts w:ascii="Cambria Math" w:hAnsi="Cambria Math"/>
                      <w:i/>
                      <w:color w:val="000000" w:themeColor="text1"/>
                      <w:sz w:val="21"/>
                      <w14:textFill>
                        <w14:solidFill>
                          <w14:schemeClr w14:val="tx1"/>
                        </w14:solidFill>
                      </w14:textFill>
                    </w:rPr>
                  </m:ctrlPr>
                </m:sub>
              </m:sSub>
              <m:d>
                <m:dPr>
                  <m:ctrlPr>
                    <w:rPr>
                      <w:rFonts w:ascii="Cambria Math" w:hAnsi="Cambria Math"/>
                      <w:i/>
                      <w:color w:val="000000" w:themeColor="text1"/>
                      <w:sz w:val="21"/>
                      <w14:textFill>
                        <w14:solidFill>
                          <w14:schemeClr w14:val="tx1"/>
                        </w14:solidFill>
                      </w14:textFill>
                    </w:rPr>
                  </m:ctrlPr>
                </m:dPr>
                <m:e>
                  <m:r>
                    <m:rPr/>
                    <w:rPr>
                      <w:rFonts w:ascii="Cambria Math" w:hAnsi="Cambria Math"/>
                      <w:color w:val="000000" w:themeColor="text1"/>
                      <w:sz w:val="21"/>
                      <w14:textFill>
                        <w14:solidFill>
                          <w14:schemeClr w14:val="tx1"/>
                        </w14:solidFill>
                      </w14:textFill>
                    </w:rPr>
                    <m:t>r</m:t>
                  </m:r>
                  <m:ctrlPr>
                    <w:rPr>
                      <w:rFonts w:ascii="Cambria Math" w:hAnsi="Cambria Math"/>
                      <w:i/>
                      <w:color w:val="000000" w:themeColor="text1"/>
                      <w:sz w:val="21"/>
                      <w14:textFill>
                        <w14:solidFill>
                          <w14:schemeClr w14:val="tx1"/>
                        </w14:solidFill>
                      </w14:textFill>
                    </w:rPr>
                  </m:ctrlPr>
                </m:e>
              </m:d>
              <m:r>
                <m:rPr/>
                <w:rPr>
                  <w:rFonts w:ascii="Cambria Math" w:hAnsi="Cambria Math"/>
                  <w:color w:val="000000" w:themeColor="text1"/>
                  <w:sz w:val="21"/>
                  <w14:textFill>
                    <w14:solidFill>
                      <w14:schemeClr w14:val="tx1"/>
                    </w14:solidFill>
                  </w14:textFill>
                </w:rPr>
                <m:t>=</m:t>
              </m:r>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L</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w</m:t>
                  </m:r>
                  <m:ctrlPr>
                    <w:rPr>
                      <w:rFonts w:ascii="Cambria Math" w:hAnsi="Cambria Math"/>
                      <w:i/>
                      <w:color w:val="000000" w:themeColor="text1"/>
                      <w:sz w:val="21"/>
                      <w14:textFill>
                        <w14:solidFill>
                          <w14:schemeClr w14:val="tx1"/>
                        </w14:solidFill>
                      </w14:textFill>
                    </w:rPr>
                  </m:ctrlPr>
                </m:sub>
              </m:sSub>
              <m:r>
                <m:rPr/>
                <w:rPr>
                  <w:rFonts w:ascii="Cambria Math" w:hAnsi="Cambria Math"/>
                  <w:color w:val="000000" w:themeColor="text1"/>
                  <w:sz w:val="21"/>
                  <w14:textFill>
                    <w14:solidFill>
                      <w14:schemeClr w14:val="tx1"/>
                    </w14:solidFill>
                  </w14:textFill>
                </w:rPr>
                <m:t>−20lgr−8</m:t>
              </m:r>
            </m:oMath>
            <w:r>
              <w:rPr>
                <w:rFonts w:hint="eastAsia" w:ascii="宋体" w:hAnsi="宋体" w:cs="宋体"/>
                <w:color w:val="000000" w:themeColor="text1"/>
                <w:sz w:val="21"/>
                <w:vertAlign w:val="superscript"/>
                <w14:textFill>
                  <w14:solidFill>
                    <w14:schemeClr w14:val="tx1"/>
                  </w14:solidFill>
                </w14:textFill>
              </w:rPr>
              <w:t>②</w:t>
            </w:r>
          </w:p>
          <w:p w14:paraId="27438C1F">
            <w:pPr>
              <w:autoSpaceDE w:val="0"/>
              <w:autoSpaceDN w:val="0"/>
              <w:ind w:firstLine="480" w:firstLineChars="0"/>
              <w:rPr>
                <w:color w:val="000000" w:themeColor="text1"/>
                <w:lang w:bidi="ar"/>
                <w14:textFill>
                  <w14:solidFill>
                    <w14:schemeClr w14:val="tx1"/>
                  </w14:solidFill>
                </w14:textFill>
              </w:rPr>
            </w:pPr>
            <w:r>
              <w:rPr>
                <w:color w:val="000000" w:themeColor="text1"/>
                <w:lang w:bidi="ar"/>
                <w14:textFill>
                  <w14:solidFill>
                    <w14:schemeClr w14:val="tx1"/>
                  </w14:solidFill>
                </w14:textFill>
              </w:rPr>
              <w:t>式中：L</w:t>
            </w:r>
            <w:r>
              <w:rPr>
                <w:color w:val="000000" w:themeColor="text1"/>
                <w:vertAlign w:val="subscript"/>
                <w:lang w:bidi="ar"/>
                <w14:textFill>
                  <w14:solidFill>
                    <w14:schemeClr w14:val="tx1"/>
                  </w14:solidFill>
                </w14:textFill>
              </w:rPr>
              <w:t>p</w:t>
            </w:r>
            <w:r>
              <w:rPr>
                <w:color w:val="000000" w:themeColor="text1"/>
                <w:lang w:bidi="ar"/>
                <w14:textFill>
                  <w14:solidFill>
                    <w14:schemeClr w14:val="tx1"/>
                  </w14:solidFill>
                </w14:textFill>
              </w:rPr>
              <w:t>(r) ——预测点处声压级，dB；</w:t>
            </w:r>
          </w:p>
          <w:p w14:paraId="4E12FB54">
            <w:pPr>
              <w:autoSpaceDE w:val="0"/>
              <w:autoSpaceDN w:val="0"/>
              <w:ind w:firstLine="1200" w:firstLineChars="500"/>
              <w:rPr>
                <w:color w:val="000000" w:themeColor="text1"/>
                <w:lang w:bidi="ar"/>
                <w14:textFill>
                  <w14:solidFill>
                    <w14:schemeClr w14:val="tx1"/>
                  </w14:solidFill>
                </w14:textFill>
              </w:rPr>
            </w:pPr>
            <w:r>
              <w:rPr>
                <w:color w:val="000000" w:themeColor="text1"/>
                <w:lang w:bidi="ar"/>
                <w14:textFill>
                  <w14:solidFill>
                    <w14:schemeClr w14:val="tx1"/>
                  </w14:solidFill>
                </w14:textFill>
              </w:rPr>
              <w:t>L</w:t>
            </w:r>
            <w:r>
              <w:rPr>
                <w:color w:val="000000" w:themeColor="text1"/>
                <w:vertAlign w:val="subscript"/>
                <w:lang w:bidi="ar"/>
                <w14:textFill>
                  <w14:solidFill>
                    <w14:schemeClr w14:val="tx1"/>
                  </w14:solidFill>
                </w14:textFill>
              </w:rPr>
              <w:t>w</w:t>
            </w:r>
            <w:r>
              <w:rPr>
                <w:color w:val="000000" w:themeColor="text1"/>
                <w:lang w:bidi="ar"/>
                <w14:textFill>
                  <w14:solidFill>
                    <w14:schemeClr w14:val="tx1"/>
                  </w14:solidFill>
                </w14:textFill>
              </w:rPr>
              <w:t>——由点声源产生的倍频带声功率级，dB；</w:t>
            </w:r>
          </w:p>
          <w:p w14:paraId="5ABDE73A">
            <w:pPr>
              <w:autoSpaceDE w:val="0"/>
              <w:autoSpaceDN w:val="0"/>
              <w:ind w:firstLine="1200" w:firstLineChars="500"/>
              <w:rPr>
                <w:color w:val="000000" w:themeColor="text1"/>
                <w:lang w:bidi="ar"/>
                <w14:textFill>
                  <w14:solidFill>
                    <w14:schemeClr w14:val="tx1"/>
                  </w14:solidFill>
                </w14:textFill>
              </w:rPr>
            </w:pPr>
            <w:r>
              <w:rPr>
                <w:color w:val="000000" w:themeColor="text1"/>
                <w:lang w:bidi="ar"/>
                <w14:textFill>
                  <w14:solidFill>
                    <w14:schemeClr w14:val="tx1"/>
                  </w14:solidFill>
                </w14:textFill>
              </w:rPr>
              <w:t>r——预测点距声源的距离式中</w:t>
            </w:r>
            <w:r>
              <w:rPr>
                <w:rFonts w:hint="eastAsia"/>
                <w:color w:val="000000" w:themeColor="text1"/>
                <w:lang w:bidi="ar"/>
                <w14:textFill>
                  <w14:solidFill>
                    <w14:schemeClr w14:val="tx1"/>
                  </w14:solidFill>
                </w14:textFill>
              </w:rPr>
              <w:t>。</w:t>
            </w:r>
          </w:p>
          <w:p w14:paraId="6C64571C">
            <w:pPr>
              <w:autoSpaceDE w:val="0"/>
              <w:ind w:firstLine="420" w:firstLineChars="0"/>
              <w:jc w:val="center"/>
              <w:rPr>
                <w:color w:val="000000" w:themeColor="text1"/>
                <w:lang w:bidi="ar"/>
                <w14:textFill>
                  <w14:solidFill>
                    <w14:schemeClr w14:val="tx1"/>
                  </w14:solidFill>
                </w14:textFill>
              </w:rPr>
            </w:pPr>
            <m:oMath>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L</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A</m:t>
                  </m:r>
                  <m:ctrlPr>
                    <w:rPr>
                      <w:rFonts w:ascii="Cambria Math" w:hAnsi="Cambria Math"/>
                      <w:i/>
                      <w:color w:val="000000" w:themeColor="text1"/>
                      <w:sz w:val="21"/>
                      <w14:textFill>
                        <w14:solidFill>
                          <w14:schemeClr w14:val="tx1"/>
                        </w14:solidFill>
                      </w14:textFill>
                    </w:rPr>
                  </m:ctrlPr>
                </m:sub>
              </m:sSub>
              <m:d>
                <m:dPr>
                  <m:ctrlPr>
                    <w:rPr>
                      <w:rFonts w:ascii="Cambria Math" w:hAnsi="Cambria Math"/>
                      <w:i/>
                      <w:color w:val="000000" w:themeColor="text1"/>
                      <w:sz w:val="21"/>
                      <w14:textFill>
                        <w14:solidFill>
                          <w14:schemeClr w14:val="tx1"/>
                        </w14:solidFill>
                      </w14:textFill>
                    </w:rPr>
                  </m:ctrlPr>
                </m:dPr>
                <m:e>
                  <m:r>
                    <m:rPr/>
                    <w:rPr>
                      <w:rFonts w:ascii="Cambria Math" w:hAnsi="Cambria Math"/>
                      <w:color w:val="000000" w:themeColor="text1"/>
                      <w:sz w:val="21"/>
                      <w14:textFill>
                        <w14:solidFill>
                          <w14:schemeClr w14:val="tx1"/>
                        </w14:solidFill>
                      </w14:textFill>
                    </w:rPr>
                    <m:t>r</m:t>
                  </m:r>
                  <m:ctrlPr>
                    <w:rPr>
                      <w:rFonts w:ascii="Cambria Math" w:hAnsi="Cambria Math"/>
                      <w:i/>
                      <w:color w:val="000000" w:themeColor="text1"/>
                      <w:sz w:val="21"/>
                      <w14:textFill>
                        <w14:solidFill>
                          <w14:schemeClr w14:val="tx1"/>
                        </w14:solidFill>
                      </w14:textFill>
                    </w:rPr>
                  </m:ctrlPr>
                </m:e>
              </m:d>
              <m:r>
                <m:rPr/>
                <w:rPr>
                  <w:rFonts w:ascii="Cambria Math" w:hAnsi="Cambria Math"/>
                  <w:color w:val="000000" w:themeColor="text1"/>
                  <w:sz w:val="21"/>
                  <w14:textFill>
                    <w14:solidFill>
                      <w14:schemeClr w14:val="tx1"/>
                    </w14:solidFill>
                  </w14:textFill>
                </w:rPr>
                <m:t>=</m:t>
              </m:r>
              <m:sSub>
                <m:sSubPr>
                  <m:ctrlPr>
                    <w:rPr>
                      <w:rFonts w:ascii="Cambria Math" w:hAnsi="Cambria Math"/>
                      <w:i/>
                      <w:color w:val="000000" w:themeColor="text1"/>
                      <w:sz w:val="21"/>
                      <w14:textFill>
                        <w14:solidFill>
                          <w14:schemeClr w14:val="tx1"/>
                        </w14:solidFill>
                      </w14:textFill>
                    </w:rPr>
                  </m:ctrlPr>
                </m:sSubPr>
                <m:e>
                  <m:r>
                    <m:rPr/>
                    <w:rPr>
                      <w:rFonts w:ascii="Cambria Math" w:hAnsi="Cambria Math"/>
                      <w:color w:val="000000" w:themeColor="text1"/>
                      <w:sz w:val="21"/>
                      <w14:textFill>
                        <w14:solidFill>
                          <w14:schemeClr w14:val="tx1"/>
                        </w14:solidFill>
                      </w14:textFill>
                    </w:rPr>
                    <m:t>L</m:t>
                  </m:r>
                  <m:ctrlPr>
                    <w:rPr>
                      <w:rFonts w:ascii="Cambria Math" w:hAnsi="Cambria Math"/>
                      <w:i/>
                      <w:color w:val="000000" w:themeColor="text1"/>
                      <w:sz w:val="21"/>
                      <w14:textFill>
                        <w14:solidFill>
                          <w14:schemeClr w14:val="tx1"/>
                        </w14:solidFill>
                      </w14:textFill>
                    </w:rPr>
                  </m:ctrlPr>
                </m:e>
                <m:sub>
                  <m:r>
                    <m:rPr/>
                    <w:rPr>
                      <w:rFonts w:ascii="Cambria Math" w:hAnsi="Cambria Math"/>
                      <w:color w:val="000000" w:themeColor="text1"/>
                      <w:sz w:val="21"/>
                      <w14:textFill>
                        <w14:solidFill>
                          <w14:schemeClr w14:val="tx1"/>
                        </w14:solidFill>
                      </w14:textFill>
                    </w:rPr>
                    <m:t>Aw</m:t>
                  </m:r>
                  <m:ctrlPr>
                    <w:rPr>
                      <w:rFonts w:ascii="Cambria Math" w:hAnsi="Cambria Math"/>
                      <w:i/>
                      <w:color w:val="000000" w:themeColor="text1"/>
                      <w:sz w:val="21"/>
                      <w14:textFill>
                        <w14:solidFill>
                          <w14:schemeClr w14:val="tx1"/>
                        </w14:solidFill>
                      </w14:textFill>
                    </w:rPr>
                  </m:ctrlPr>
                </m:sub>
              </m:sSub>
              <m:r>
                <m:rPr/>
                <w:rPr>
                  <w:rFonts w:ascii="Cambria Math" w:hAnsi="Cambria Math"/>
                  <w:color w:val="000000" w:themeColor="text1"/>
                  <w:sz w:val="21"/>
                  <w14:textFill>
                    <w14:solidFill>
                      <w14:schemeClr w14:val="tx1"/>
                    </w14:solidFill>
                  </w14:textFill>
                </w:rPr>
                <m:t>−20lgr−8</m:t>
              </m:r>
            </m:oMath>
            <w:r>
              <w:rPr>
                <w:rFonts w:hint="eastAsia" w:ascii="宋体" w:hAnsi="宋体" w:cs="宋体"/>
                <w:color w:val="000000" w:themeColor="text1"/>
                <w:sz w:val="21"/>
                <w:vertAlign w:val="superscript"/>
                <w14:textFill>
                  <w14:solidFill>
                    <w14:schemeClr w14:val="tx1"/>
                  </w14:solidFill>
                </w14:textFill>
              </w:rPr>
              <w:t>③</w:t>
            </w:r>
          </w:p>
          <w:p w14:paraId="5356AE6F">
            <w:pPr>
              <w:autoSpaceDE w:val="0"/>
              <w:autoSpaceDN w:val="0"/>
              <w:ind w:firstLine="480" w:firstLineChars="0"/>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式中：</w:t>
            </w:r>
            <w:r>
              <w:rPr>
                <w:color w:val="000000" w:themeColor="text1"/>
                <w:lang w:bidi="ar"/>
                <w14:textFill>
                  <w14:solidFill>
                    <w14:schemeClr w14:val="tx1"/>
                  </w14:solidFill>
                </w14:textFill>
              </w:rPr>
              <w:t>L</w:t>
            </w:r>
            <w:r>
              <w:rPr>
                <w:color w:val="000000" w:themeColor="text1"/>
                <w:vertAlign w:val="subscript"/>
                <w:lang w:bidi="ar"/>
                <w14:textFill>
                  <w14:solidFill>
                    <w14:schemeClr w14:val="tx1"/>
                  </w14:solidFill>
                </w14:textFill>
              </w:rPr>
              <w:t>A</w:t>
            </w:r>
            <w:r>
              <w:rPr>
                <w:color w:val="000000" w:themeColor="text1"/>
                <w:lang w:bidi="ar"/>
                <w14:textFill>
                  <w14:solidFill>
                    <w14:schemeClr w14:val="tx1"/>
                  </w14:solidFill>
                </w14:textFill>
              </w:rPr>
              <w:t>(r)——距声源r处的A声级，dB(A)；</w:t>
            </w:r>
          </w:p>
          <w:p w14:paraId="7287DF02">
            <w:pPr>
              <w:autoSpaceDE w:val="0"/>
              <w:autoSpaceDN w:val="0"/>
              <w:ind w:firstLine="1200" w:firstLineChars="500"/>
              <w:rPr>
                <w:color w:val="000000" w:themeColor="text1"/>
                <w:lang w:bidi="ar"/>
                <w14:textFill>
                  <w14:solidFill>
                    <w14:schemeClr w14:val="tx1"/>
                  </w14:solidFill>
                </w14:textFill>
              </w:rPr>
            </w:pPr>
            <w:r>
              <w:rPr>
                <w:color w:val="000000" w:themeColor="text1"/>
                <w:lang w:bidi="ar"/>
                <w14:textFill>
                  <w14:solidFill>
                    <w14:schemeClr w14:val="tx1"/>
                  </w14:solidFill>
                </w14:textFill>
              </w:rPr>
              <w:t>L</w:t>
            </w:r>
            <w:r>
              <w:rPr>
                <w:color w:val="000000" w:themeColor="text1"/>
                <w:vertAlign w:val="subscript"/>
                <w:lang w:bidi="ar"/>
                <w14:textFill>
                  <w14:solidFill>
                    <w14:schemeClr w14:val="tx1"/>
                  </w14:solidFill>
                </w14:textFill>
              </w:rPr>
              <w:t>Aw</w:t>
            </w:r>
            <w:r>
              <w:rPr>
                <w:color w:val="000000" w:themeColor="text1"/>
                <w:lang w:bidi="ar"/>
                <w14:textFill>
                  <w14:solidFill>
                    <w14:schemeClr w14:val="tx1"/>
                  </w14:solidFill>
                </w14:textFill>
              </w:rPr>
              <w:t>——点声源A计权声功率级，dB；</w:t>
            </w:r>
          </w:p>
          <w:p w14:paraId="2914F93E">
            <w:pPr>
              <w:autoSpaceDE w:val="0"/>
              <w:autoSpaceDN w:val="0"/>
              <w:ind w:firstLine="1200" w:firstLineChars="500"/>
              <w:rPr>
                <w:color w:val="000000" w:themeColor="text1"/>
                <w:lang w:bidi="ar"/>
                <w14:textFill>
                  <w14:solidFill>
                    <w14:schemeClr w14:val="tx1"/>
                  </w14:solidFill>
                </w14:textFill>
              </w:rPr>
            </w:pPr>
            <w:r>
              <w:rPr>
                <w:color w:val="000000" w:themeColor="text1"/>
                <w:lang w:bidi="ar"/>
                <w14:textFill>
                  <w14:solidFill>
                    <w14:schemeClr w14:val="tx1"/>
                  </w14:solidFill>
                </w14:textFill>
              </w:rPr>
              <w:t>r——预测点距声源的距离。</w:t>
            </w:r>
          </w:p>
          <w:p w14:paraId="6F656778">
            <w:pPr>
              <w:adjustRightInd/>
              <w:snapToGrid/>
              <w:ind w:firstLine="482"/>
              <w:rPr>
                <w:rFonts w:cs="宋体"/>
                <w:b/>
                <w:bCs/>
                <w:color w:val="000000" w:themeColor="text1"/>
                <w14:textFill>
                  <w14:solidFill>
                    <w14:schemeClr w14:val="tx1"/>
                  </w14:solidFill>
                </w14:textFill>
              </w:rPr>
            </w:pPr>
            <w:r>
              <w:rPr>
                <w:rFonts w:hint="eastAsia" w:cs="宋体"/>
                <w:b/>
                <w:bCs/>
                <w:color w:val="000000" w:themeColor="text1"/>
                <w14:textFill>
                  <w14:solidFill>
                    <w14:schemeClr w14:val="tx1"/>
                  </w14:solidFill>
                </w14:textFill>
              </w:rPr>
              <w:t>（2）预测结果</w:t>
            </w:r>
          </w:p>
          <w:p w14:paraId="0C8B5AD4">
            <w:pPr>
              <w:adjustRightInd/>
              <w:snapToGrid/>
              <w:ind w:firstLine="480"/>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根据上述公式计算项目对建设单位厂界的噪声预测贡献值，根据《环境影响评价技术导则</w:t>
            </w:r>
            <w:r>
              <w:rPr>
                <w:rFonts w:hint="eastAsia" w:cs="宋体"/>
                <w:color w:val="000000" w:themeColor="text1"/>
                <w14:textFill>
                  <w14:solidFill>
                    <w14:schemeClr w14:val="tx1"/>
                  </w14:solidFill>
                </w14:textFill>
              </w:rPr>
              <w:t xml:space="preserve"> </w:t>
            </w:r>
            <w:r>
              <w:rPr>
                <w:rFonts w:cs="宋体"/>
                <w:color w:val="000000" w:themeColor="text1"/>
                <w14:textFill>
                  <w14:solidFill>
                    <w14:schemeClr w14:val="tx1"/>
                  </w14:solidFill>
                </w14:textFill>
              </w:rPr>
              <w:t>声环境》（HJ2.4-20</w:t>
            </w:r>
            <w:r>
              <w:rPr>
                <w:rFonts w:hint="eastAsia" w:cs="宋体"/>
                <w:color w:val="000000" w:themeColor="text1"/>
                <w14:textFill>
                  <w14:solidFill>
                    <w14:schemeClr w14:val="tx1"/>
                  </w14:solidFill>
                </w14:textFill>
              </w:rPr>
              <w:t>21</w:t>
            </w:r>
            <w:r>
              <w:rPr>
                <w:rFonts w:cs="宋体"/>
                <w:color w:val="000000" w:themeColor="text1"/>
                <w14:textFill>
                  <w14:solidFill>
                    <w14:schemeClr w14:val="tx1"/>
                  </w14:solidFill>
                </w14:textFill>
              </w:rPr>
              <w:t>）新建</w:t>
            </w:r>
            <w:r>
              <w:rPr>
                <w:rFonts w:hint="eastAsia" w:cs="宋体"/>
                <w:color w:val="000000" w:themeColor="text1"/>
                <w14:textFill>
                  <w14:solidFill>
                    <w14:schemeClr w14:val="tx1"/>
                  </w14:solidFill>
                </w14:textFill>
              </w:rPr>
              <w:t>建设</w:t>
            </w:r>
            <w:r>
              <w:rPr>
                <w:rFonts w:cs="宋体"/>
                <w:color w:val="000000" w:themeColor="text1"/>
                <w14:textFill>
                  <w14:solidFill>
                    <w14:schemeClr w14:val="tx1"/>
                  </w14:solidFill>
                </w14:textFill>
              </w:rPr>
              <w:t>项目的厂界噪声</w:t>
            </w:r>
            <w:r>
              <w:rPr>
                <w:rFonts w:hint="eastAsia" w:cs="宋体"/>
                <w:color w:val="000000" w:themeColor="text1"/>
                <w14:textFill>
                  <w14:solidFill>
                    <w14:schemeClr w14:val="tx1"/>
                  </w14:solidFill>
                </w14:textFill>
              </w:rPr>
              <w:t>预测值即为工程噪声贡献值</w:t>
            </w:r>
            <w:r>
              <w:rPr>
                <w:rFonts w:cs="宋体"/>
                <w:color w:val="000000" w:themeColor="text1"/>
                <w14:textFill>
                  <w14:solidFill>
                    <w14:schemeClr w14:val="tx1"/>
                  </w14:solidFill>
                </w14:textFill>
              </w:rPr>
              <w:t>。</w:t>
            </w:r>
            <w:r>
              <w:rPr>
                <w:rFonts w:cs="宋体"/>
                <w:color w:val="000000" w:themeColor="text1"/>
                <w:lang w:val="zh-CN"/>
                <w14:textFill>
                  <w14:solidFill>
                    <w14:schemeClr w14:val="tx1"/>
                  </w14:solidFill>
                </w14:textFill>
              </w:rPr>
              <w:t>故声环境影响预测主要是预测各声源叠加后昼间对厂界的影响。</w:t>
            </w:r>
            <w:r>
              <w:rPr>
                <w:rFonts w:cs="宋体"/>
                <w:color w:val="000000" w:themeColor="text1"/>
                <w14:textFill>
                  <w14:solidFill>
                    <w14:schemeClr w14:val="tx1"/>
                  </w14:solidFill>
                </w14:textFill>
              </w:rPr>
              <w:t>各厂界的噪声预测结果见下表。</w:t>
            </w:r>
          </w:p>
          <w:p w14:paraId="50C073AE">
            <w:pPr>
              <w:pStyle w:val="57"/>
              <w:numPr>
                <w:ilvl w:val="3"/>
                <w:numId w:val="19"/>
              </w:numP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工业企业厂界及声环境保护目标噪声预测结果及达标分析表</w:t>
            </w:r>
          </w:p>
          <w:tbl>
            <w:tblPr>
              <w:tblStyle w:val="36"/>
              <w:tblW w:w="1251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51"/>
              <w:gridCol w:w="1251"/>
              <w:gridCol w:w="1251"/>
              <w:gridCol w:w="1251"/>
              <w:gridCol w:w="1251"/>
              <w:gridCol w:w="1251"/>
              <w:gridCol w:w="1251"/>
              <w:gridCol w:w="1251"/>
              <w:gridCol w:w="1254"/>
              <w:gridCol w:w="1251"/>
            </w:tblGrid>
            <w:tr w14:paraId="25D38F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vMerge w:val="restart"/>
                  <w:vAlign w:val="center"/>
                </w:tcPr>
                <w:p w14:paraId="53422BC5">
                  <w:pPr>
                    <w:spacing w:line="240" w:lineRule="auto"/>
                    <w:ind w:firstLine="0" w:firstLineChars="0"/>
                    <w:jc w:val="center"/>
                    <w:rPr>
                      <w:rFonts w:hint="eastAsia"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声源</w:t>
                  </w:r>
                </w:p>
              </w:tc>
              <w:tc>
                <w:tcPr>
                  <w:tcW w:w="499" w:type="pct"/>
                  <w:vMerge w:val="restart"/>
                  <w:vAlign w:val="center"/>
                </w:tcPr>
                <w:p w14:paraId="0C0DF3C4">
                  <w:pPr>
                    <w:spacing w:line="240" w:lineRule="auto"/>
                    <w:ind w:firstLine="0" w:firstLineChars="0"/>
                    <w:jc w:val="center"/>
                    <w:rPr>
                      <w:rFonts w:hint="eastAsia"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经</w:t>
                  </w:r>
                  <w:r>
                    <w:rPr>
                      <w:rFonts w:hint="eastAsia" w:cs="Times New Roman"/>
                      <w:b/>
                      <w:bCs/>
                      <w:color w:val="000000" w:themeColor="text1"/>
                      <w:spacing w:val="6"/>
                      <w:sz w:val="21"/>
                      <w:szCs w:val="21"/>
                      <w:highlight w:val="none"/>
                      <w:lang w:val="en-US" w:eastAsia="zh-CN"/>
                      <w14:textFill>
                        <w14:solidFill>
                          <w14:schemeClr w14:val="tx1"/>
                        </w14:solidFill>
                      </w14:textFill>
                    </w:rPr>
                    <w:t>噪声防治措施治理后</w:t>
                  </w:r>
                  <w:r>
                    <w:rPr>
                      <w:rFonts w:hint="eastAsia"/>
                      <w:b/>
                      <w:bCs/>
                      <w:color w:val="000000" w:themeColor="text1"/>
                      <w:sz w:val="21"/>
                      <w:szCs w:val="21"/>
                      <w:lang w:val="en-US" w:eastAsia="zh-CN"/>
                      <w14:textFill>
                        <w14:solidFill>
                          <w14:schemeClr w14:val="tx1"/>
                        </w14:solidFill>
                      </w14:textFill>
                    </w:rPr>
                    <w:t>源强dB(A)</w:t>
                  </w:r>
                </w:p>
              </w:tc>
              <w:tc>
                <w:tcPr>
                  <w:tcW w:w="1999" w:type="pct"/>
                  <w:gridSpan w:val="4"/>
                  <w:vAlign w:val="center"/>
                </w:tcPr>
                <w:p w14:paraId="517EE41F">
                  <w:pPr>
                    <w:spacing w:line="240" w:lineRule="auto"/>
                    <w:ind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距厂界距离m</w:t>
                  </w:r>
                </w:p>
              </w:tc>
              <w:tc>
                <w:tcPr>
                  <w:tcW w:w="2000" w:type="pct"/>
                  <w:gridSpan w:val="4"/>
                  <w:vAlign w:val="center"/>
                </w:tcPr>
                <w:p w14:paraId="1D5AEA29">
                  <w:pPr>
                    <w:spacing w:line="240" w:lineRule="auto"/>
                    <w:ind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到厂界衰减贡献值dB(A)</w:t>
                  </w:r>
                </w:p>
              </w:tc>
            </w:tr>
            <w:tr w14:paraId="71F30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vMerge w:val="continue"/>
                  <w:vAlign w:val="center"/>
                </w:tcPr>
                <w:p w14:paraId="1B86611F">
                  <w:pPr>
                    <w:spacing w:line="240" w:lineRule="auto"/>
                    <w:ind w:firstLine="0" w:firstLineChars="0"/>
                    <w:jc w:val="center"/>
                    <w:rPr>
                      <w:b/>
                      <w:bCs/>
                      <w:color w:val="000000" w:themeColor="text1"/>
                      <w:sz w:val="21"/>
                      <w:szCs w:val="21"/>
                      <w14:textFill>
                        <w14:solidFill>
                          <w14:schemeClr w14:val="tx1"/>
                        </w14:solidFill>
                      </w14:textFill>
                    </w:rPr>
                  </w:pPr>
                </w:p>
              </w:tc>
              <w:tc>
                <w:tcPr>
                  <w:tcW w:w="499" w:type="pct"/>
                  <w:vMerge w:val="continue"/>
                  <w:vAlign w:val="center"/>
                </w:tcPr>
                <w:p w14:paraId="1E0FB338">
                  <w:pPr>
                    <w:spacing w:line="240" w:lineRule="auto"/>
                    <w:ind w:firstLine="0" w:firstLineChars="0"/>
                    <w:jc w:val="center"/>
                    <w:rPr>
                      <w:b/>
                      <w:bCs/>
                      <w:color w:val="000000" w:themeColor="text1"/>
                      <w:sz w:val="21"/>
                      <w:szCs w:val="21"/>
                      <w14:textFill>
                        <w14:solidFill>
                          <w14:schemeClr w14:val="tx1"/>
                        </w14:solidFill>
                      </w14:textFill>
                    </w:rPr>
                  </w:pPr>
                </w:p>
              </w:tc>
              <w:tc>
                <w:tcPr>
                  <w:tcW w:w="499" w:type="pct"/>
                  <w:shd w:val="clear" w:color="auto" w:fill="auto"/>
                  <w:vAlign w:val="center"/>
                </w:tcPr>
                <w:p w14:paraId="43958795">
                  <w:pPr>
                    <w:spacing w:line="240" w:lineRule="auto"/>
                    <w:ind w:firstLine="0" w:firstLineChars="0"/>
                    <w:jc w:val="cente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东</w:t>
                  </w:r>
                </w:p>
              </w:tc>
              <w:tc>
                <w:tcPr>
                  <w:tcW w:w="499" w:type="pct"/>
                  <w:shd w:val="clear" w:color="auto" w:fill="auto"/>
                  <w:vAlign w:val="center"/>
                </w:tcPr>
                <w:p w14:paraId="6CCA0207">
                  <w:pPr>
                    <w:spacing w:line="240" w:lineRule="auto"/>
                    <w:ind w:firstLine="0" w:firstLineChars="0"/>
                    <w:jc w:val="cente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南</w:t>
                  </w:r>
                </w:p>
              </w:tc>
              <w:tc>
                <w:tcPr>
                  <w:tcW w:w="499" w:type="pct"/>
                  <w:shd w:val="clear" w:color="auto" w:fill="auto"/>
                  <w:vAlign w:val="center"/>
                </w:tcPr>
                <w:p w14:paraId="6277235A">
                  <w:pPr>
                    <w:spacing w:line="240" w:lineRule="auto"/>
                    <w:ind w:firstLine="0" w:firstLineChars="0"/>
                    <w:jc w:val="cente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西</w:t>
                  </w:r>
                </w:p>
              </w:tc>
              <w:tc>
                <w:tcPr>
                  <w:tcW w:w="499" w:type="pct"/>
                  <w:shd w:val="clear" w:color="auto" w:fill="auto"/>
                  <w:vAlign w:val="center"/>
                </w:tcPr>
                <w:p w14:paraId="32363AAA">
                  <w:pPr>
                    <w:spacing w:line="240" w:lineRule="auto"/>
                    <w:ind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北</w:t>
                  </w:r>
                </w:p>
              </w:tc>
              <w:tc>
                <w:tcPr>
                  <w:tcW w:w="499" w:type="pct"/>
                  <w:vAlign w:val="center"/>
                </w:tcPr>
                <w:p w14:paraId="49EA3889">
                  <w:pPr>
                    <w:spacing w:line="240" w:lineRule="auto"/>
                    <w:ind w:firstLine="0" w:firstLineChars="0"/>
                    <w:jc w:val="center"/>
                    <w:rPr>
                      <w:rFonts w:hint="eastAsia"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东</w:t>
                  </w:r>
                </w:p>
              </w:tc>
              <w:tc>
                <w:tcPr>
                  <w:tcW w:w="499" w:type="pct"/>
                  <w:vAlign w:val="center"/>
                </w:tcPr>
                <w:p w14:paraId="2B69D39E">
                  <w:pPr>
                    <w:spacing w:line="240" w:lineRule="auto"/>
                    <w:ind w:firstLine="0" w:firstLineChars="0"/>
                    <w:jc w:val="center"/>
                    <w:rPr>
                      <w:rFonts w:hint="eastAsia"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南</w:t>
                  </w:r>
                </w:p>
              </w:tc>
              <w:tc>
                <w:tcPr>
                  <w:tcW w:w="501" w:type="pct"/>
                  <w:vAlign w:val="center"/>
                </w:tcPr>
                <w:p w14:paraId="28F0AC1D">
                  <w:pPr>
                    <w:spacing w:line="240" w:lineRule="auto"/>
                    <w:ind w:firstLine="0" w:firstLineChars="0"/>
                    <w:jc w:val="center"/>
                    <w:rPr>
                      <w:rFonts w:hint="eastAsia"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西</w:t>
                  </w:r>
                </w:p>
              </w:tc>
              <w:tc>
                <w:tcPr>
                  <w:tcW w:w="499" w:type="pct"/>
                  <w:vAlign w:val="center"/>
                </w:tcPr>
                <w:p w14:paraId="42F91A18">
                  <w:pPr>
                    <w:spacing w:line="240" w:lineRule="auto"/>
                    <w:ind w:firstLine="0" w:firstLineChars="0"/>
                    <w:jc w:val="center"/>
                    <w:rPr>
                      <w:rFonts w:hint="default" w:eastAsia="宋体"/>
                      <w:b/>
                      <w:bCs/>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北</w:t>
                  </w:r>
                </w:p>
              </w:tc>
            </w:tr>
            <w:tr w14:paraId="6EECE3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vAlign w:val="center"/>
                </w:tcPr>
                <w:p w14:paraId="742C1AE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标准厂房</w:t>
                  </w:r>
                </w:p>
              </w:tc>
              <w:tc>
                <w:tcPr>
                  <w:tcW w:w="499" w:type="pct"/>
                  <w:vAlign w:val="center"/>
                </w:tcPr>
                <w:p w14:paraId="2AAEC50C">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66.2</w:t>
                  </w:r>
                </w:p>
              </w:tc>
              <w:tc>
                <w:tcPr>
                  <w:tcW w:w="499" w:type="pct"/>
                  <w:vAlign w:val="center"/>
                </w:tcPr>
                <w:p w14:paraId="370DB747">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c>
                <w:tcPr>
                  <w:tcW w:w="499" w:type="pct"/>
                  <w:vAlign w:val="center"/>
                </w:tcPr>
                <w:p w14:paraId="28B6ABB3">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24</w:t>
                  </w:r>
                </w:p>
              </w:tc>
              <w:tc>
                <w:tcPr>
                  <w:tcW w:w="499" w:type="pct"/>
                  <w:vAlign w:val="center"/>
                </w:tcPr>
                <w:p w14:paraId="5421CE0A">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w:t>
                  </w:r>
                </w:p>
              </w:tc>
              <w:tc>
                <w:tcPr>
                  <w:tcW w:w="499" w:type="pct"/>
                  <w:vAlign w:val="center"/>
                </w:tcPr>
                <w:p w14:paraId="3D4493FD">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21</w:t>
                  </w:r>
                </w:p>
              </w:tc>
              <w:tc>
                <w:tcPr>
                  <w:tcW w:w="499" w:type="pct"/>
                  <w:vAlign w:val="center"/>
                </w:tcPr>
                <w:p w14:paraId="0E7D147A">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32.2 </w:t>
                  </w:r>
                </w:p>
              </w:tc>
              <w:tc>
                <w:tcPr>
                  <w:tcW w:w="499" w:type="pct"/>
                  <w:vAlign w:val="center"/>
                </w:tcPr>
                <w:p w14:paraId="3E545557">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38.6 </w:t>
                  </w:r>
                </w:p>
              </w:tc>
              <w:tc>
                <w:tcPr>
                  <w:tcW w:w="501" w:type="pct"/>
                  <w:vAlign w:val="center"/>
                </w:tcPr>
                <w:p w14:paraId="774F56C4">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31.7 </w:t>
                  </w:r>
                </w:p>
              </w:tc>
              <w:tc>
                <w:tcPr>
                  <w:tcW w:w="499" w:type="pct"/>
                  <w:vAlign w:val="center"/>
                </w:tcPr>
                <w:p w14:paraId="3CD9192D">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39.8 </w:t>
                  </w:r>
                </w:p>
              </w:tc>
            </w:tr>
            <w:tr w14:paraId="2CBA9E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shd w:val="clear" w:color="auto" w:fill="auto"/>
                  <w:vAlign w:val="center"/>
                </w:tcPr>
                <w:p w14:paraId="4BA2D29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spacing w:val="6"/>
                      <w:kern w:val="2"/>
                      <w:sz w:val="21"/>
                      <w:szCs w:val="21"/>
                      <w:highlight w:val="none"/>
                      <w:lang w:val="en-US" w:eastAsia="zh-CN" w:bidi="ar-SA"/>
                      <w14:textFill>
                        <w14:solidFill>
                          <w14:schemeClr w14:val="tx1"/>
                        </w14:solidFill>
                      </w14:textFill>
                    </w:rPr>
                  </w:pPr>
                  <w:r>
                    <w:rPr>
                      <w:rFonts w:hint="eastAsia" w:eastAsia="宋体" w:cs="Times New Roman"/>
                      <w:color w:val="000000" w:themeColor="text1"/>
                      <w:kern w:val="0"/>
                      <w:sz w:val="21"/>
                      <w:szCs w:val="21"/>
                      <w:highlight w:val="none"/>
                      <w:lang w:val="en-US" w:eastAsia="zh-CN"/>
                      <w14:textFill>
                        <w14:solidFill>
                          <w14:schemeClr w14:val="tx1"/>
                        </w14:solidFill>
                      </w14:textFill>
                    </w:rPr>
                    <w:t>1#风机</w:t>
                  </w:r>
                </w:p>
              </w:tc>
              <w:tc>
                <w:tcPr>
                  <w:tcW w:w="499" w:type="pct"/>
                  <w:vAlign w:val="center"/>
                </w:tcPr>
                <w:p w14:paraId="48FDAA74">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c>
                <w:tcPr>
                  <w:tcW w:w="499" w:type="pct"/>
                  <w:vAlign w:val="center"/>
                </w:tcPr>
                <w:p w14:paraId="12C51767">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w:t>
                  </w:r>
                </w:p>
              </w:tc>
              <w:tc>
                <w:tcPr>
                  <w:tcW w:w="499" w:type="pct"/>
                  <w:vAlign w:val="center"/>
                </w:tcPr>
                <w:p w14:paraId="5C9EF49F">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42</w:t>
                  </w:r>
                </w:p>
              </w:tc>
              <w:tc>
                <w:tcPr>
                  <w:tcW w:w="499" w:type="pct"/>
                  <w:vAlign w:val="center"/>
                </w:tcPr>
                <w:p w14:paraId="4064BA60">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499" w:type="pct"/>
                  <w:vAlign w:val="center"/>
                </w:tcPr>
                <w:p w14:paraId="5354F238">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499" w:type="pct"/>
                  <w:vAlign w:val="center"/>
                </w:tcPr>
                <w:p w14:paraId="606C195D">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17.7 </w:t>
                  </w:r>
                </w:p>
              </w:tc>
              <w:tc>
                <w:tcPr>
                  <w:tcW w:w="499" w:type="pct"/>
                  <w:vAlign w:val="center"/>
                </w:tcPr>
                <w:p w14:paraId="19B764F3">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17.5 </w:t>
                  </w:r>
                </w:p>
              </w:tc>
              <w:tc>
                <w:tcPr>
                  <w:tcW w:w="501" w:type="pct"/>
                  <w:vAlign w:val="center"/>
                </w:tcPr>
                <w:p w14:paraId="00CB01C8">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14.4 </w:t>
                  </w:r>
                </w:p>
              </w:tc>
              <w:tc>
                <w:tcPr>
                  <w:tcW w:w="499" w:type="pct"/>
                  <w:vAlign w:val="center"/>
                </w:tcPr>
                <w:p w14:paraId="48AB740B">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r>
            <w:tr w14:paraId="4B5D7D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shd w:val="clear" w:color="auto" w:fill="auto"/>
                  <w:vAlign w:val="center"/>
                </w:tcPr>
                <w:p w14:paraId="0785AAE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spacing w:val="6"/>
                      <w:kern w:val="2"/>
                      <w:sz w:val="21"/>
                      <w:szCs w:val="21"/>
                      <w:highlight w:val="none"/>
                      <w:lang w:val="en-US" w:eastAsia="zh-CN" w:bidi="ar-SA"/>
                      <w14:textFill>
                        <w14:solidFill>
                          <w14:schemeClr w14:val="tx1"/>
                        </w14:solidFill>
                      </w14:textFill>
                    </w:rPr>
                  </w:pPr>
                  <w:r>
                    <w:rPr>
                      <w:rFonts w:hint="eastAsia" w:eastAsia="宋体" w:cs="Times New Roman"/>
                      <w:color w:val="000000" w:themeColor="text1"/>
                      <w:kern w:val="0"/>
                      <w:sz w:val="21"/>
                      <w:szCs w:val="21"/>
                      <w:highlight w:val="none"/>
                      <w:lang w:val="en-US" w:eastAsia="zh-CN"/>
                      <w14:textFill>
                        <w14:solidFill>
                          <w14:schemeClr w14:val="tx1"/>
                        </w14:solidFill>
                      </w14:textFill>
                    </w:rPr>
                    <w:t>2#风机</w:t>
                  </w:r>
                </w:p>
              </w:tc>
              <w:tc>
                <w:tcPr>
                  <w:tcW w:w="499" w:type="pct"/>
                  <w:vAlign w:val="center"/>
                </w:tcPr>
                <w:p w14:paraId="05FAD542">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c>
                <w:tcPr>
                  <w:tcW w:w="499" w:type="pct"/>
                  <w:vAlign w:val="center"/>
                </w:tcPr>
                <w:p w14:paraId="6BB2B86D">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30</w:t>
                  </w:r>
                </w:p>
              </w:tc>
              <w:tc>
                <w:tcPr>
                  <w:tcW w:w="499" w:type="pct"/>
                  <w:vAlign w:val="center"/>
                </w:tcPr>
                <w:p w14:paraId="04AE7079">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42</w:t>
                  </w:r>
                </w:p>
              </w:tc>
              <w:tc>
                <w:tcPr>
                  <w:tcW w:w="499" w:type="pct"/>
                  <w:vAlign w:val="center"/>
                </w:tcPr>
                <w:p w14:paraId="3116EE74">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75</w:t>
                  </w:r>
                </w:p>
              </w:tc>
              <w:tc>
                <w:tcPr>
                  <w:tcW w:w="499" w:type="pct"/>
                  <w:vAlign w:val="center"/>
                </w:tcPr>
                <w:p w14:paraId="0B63DF5D">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499" w:type="pct"/>
                  <w:vAlign w:val="center"/>
                </w:tcPr>
                <w:p w14:paraId="36D81EB2">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20.5 </w:t>
                  </w:r>
                </w:p>
              </w:tc>
              <w:tc>
                <w:tcPr>
                  <w:tcW w:w="499" w:type="pct"/>
                  <w:vAlign w:val="center"/>
                </w:tcPr>
                <w:p w14:paraId="542DE797">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17.5 </w:t>
                  </w:r>
                </w:p>
              </w:tc>
              <w:tc>
                <w:tcPr>
                  <w:tcW w:w="501" w:type="pct"/>
                  <w:vAlign w:val="center"/>
                </w:tcPr>
                <w:p w14:paraId="0C49935C">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12.5 </w:t>
                  </w:r>
                </w:p>
              </w:tc>
              <w:tc>
                <w:tcPr>
                  <w:tcW w:w="499" w:type="pct"/>
                  <w:vAlign w:val="center"/>
                </w:tcPr>
                <w:p w14:paraId="1DEF8E74">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r>
            <w:tr w14:paraId="0327F0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shd w:val="clear" w:color="auto" w:fill="auto"/>
                  <w:vAlign w:val="center"/>
                </w:tcPr>
                <w:p w14:paraId="58F67D2C">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000000" w:themeColor="text1"/>
                      <w:spacing w:val="6"/>
                      <w:kern w:val="2"/>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3#风机</w:t>
                  </w:r>
                </w:p>
              </w:tc>
              <w:tc>
                <w:tcPr>
                  <w:tcW w:w="499" w:type="pct"/>
                  <w:vAlign w:val="center"/>
                </w:tcPr>
                <w:p w14:paraId="4F63F52A">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c>
                <w:tcPr>
                  <w:tcW w:w="499" w:type="pct"/>
                  <w:vAlign w:val="center"/>
                </w:tcPr>
                <w:p w14:paraId="0727579C">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103</w:t>
                  </w:r>
                </w:p>
              </w:tc>
              <w:tc>
                <w:tcPr>
                  <w:tcW w:w="499" w:type="pct"/>
                  <w:vAlign w:val="center"/>
                </w:tcPr>
                <w:p w14:paraId="18254415">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24</w:t>
                  </w:r>
                </w:p>
              </w:tc>
              <w:tc>
                <w:tcPr>
                  <w:tcW w:w="499" w:type="pct"/>
                  <w:vAlign w:val="center"/>
                </w:tcPr>
                <w:p w14:paraId="4B0CFBC9">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499" w:type="pct"/>
                  <w:vAlign w:val="center"/>
                </w:tcPr>
                <w:p w14:paraId="62769048">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19</w:t>
                  </w:r>
                </w:p>
              </w:tc>
              <w:tc>
                <w:tcPr>
                  <w:tcW w:w="499" w:type="pct"/>
                  <w:vAlign w:val="center"/>
                </w:tcPr>
                <w:p w14:paraId="2AE6EE99">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9.7 </w:t>
                  </w:r>
                </w:p>
              </w:tc>
              <w:tc>
                <w:tcPr>
                  <w:tcW w:w="499" w:type="pct"/>
                  <w:vAlign w:val="center"/>
                </w:tcPr>
                <w:p w14:paraId="0406517D">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22.4 </w:t>
                  </w:r>
                </w:p>
              </w:tc>
              <w:tc>
                <w:tcPr>
                  <w:tcW w:w="501" w:type="pct"/>
                  <w:vAlign w:val="center"/>
                </w:tcPr>
                <w:p w14:paraId="5C867332">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c>
                <w:tcPr>
                  <w:tcW w:w="499" w:type="pct"/>
                  <w:vAlign w:val="center"/>
                </w:tcPr>
                <w:p w14:paraId="7BC803C8">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24.4 </w:t>
                  </w:r>
                </w:p>
              </w:tc>
            </w:tr>
            <w:tr w14:paraId="522BF2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shd w:val="clear" w:color="auto" w:fill="auto"/>
                  <w:vAlign w:val="center"/>
                </w:tcPr>
                <w:p w14:paraId="7EBAEB0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000000" w:themeColor="text1"/>
                      <w:spacing w:val="6"/>
                      <w:kern w:val="2"/>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4#风机</w:t>
                  </w:r>
                </w:p>
              </w:tc>
              <w:tc>
                <w:tcPr>
                  <w:tcW w:w="499" w:type="pct"/>
                  <w:vAlign w:val="center"/>
                </w:tcPr>
                <w:p w14:paraId="3584E35E">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c>
                <w:tcPr>
                  <w:tcW w:w="499" w:type="pct"/>
                  <w:vAlign w:val="center"/>
                </w:tcPr>
                <w:p w14:paraId="2BA5841E">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499" w:type="pct"/>
                  <w:vAlign w:val="center"/>
                </w:tcPr>
                <w:p w14:paraId="7CD52E8B">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w:t>
                  </w:r>
                </w:p>
              </w:tc>
              <w:tc>
                <w:tcPr>
                  <w:tcW w:w="499" w:type="pct"/>
                  <w:vAlign w:val="center"/>
                </w:tcPr>
                <w:p w14:paraId="1009CC36">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104</w:t>
                  </w:r>
                </w:p>
              </w:tc>
              <w:tc>
                <w:tcPr>
                  <w:tcW w:w="499" w:type="pct"/>
                  <w:vAlign w:val="center"/>
                </w:tcPr>
                <w:p w14:paraId="073DF67E">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22</w:t>
                  </w:r>
                </w:p>
              </w:tc>
              <w:tc>
                <w:tcPr>
                  <w:tcW w:w="499" w:type="pct"/>
                  <w:vAlign w:val="center"/>
                </w:tcPr>
                <w:p w14:paraId="1F89744A">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w:t>
                  </w:r>
                </w:p>
              </w:tc>
              <w:tc>
                <w:tcPr>
                  <w:tcW w:w="499" w:type="pct"/>
                  <w:vAlign w:val="center"/>
                </w:tcPr>
                <w:p w14:paraId="26F823C0">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24.0 </w:t>
                  </w:r>
                </w:p>
              </w:tc>
              <w:tc>
                <w:tcPr>
                  <w:tcW w:w="501" w:type="pct"/>
                  <w:vAlign w:val="center"/>
                </w:tcPr>
                <w:p w14:paraId="48280523">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9.7 </w:t>
                  </w:r>
                </w:p>
              </w:tc>
              <w:tc>
                <w:tcPr>
                  <w:tcW w:w="499" w:type="pct"/>
                  <w:vAlign w:val="center"/>
                </w:tcPr>
                <w:p w14:paraId="26E30674">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23.2 </w:t>
                  </w:r>
                </w:p>
              </w:tc>
            </w:tr>
            <w:tr w14:paraId="43A408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shd w:val="clear" w:color="auto" w:fill="auto"/>
                  <w:vAlign w:val="center"/>
                </w:tcPr>
                <w:p w14:paraId="043AD16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s="Times New Roman"/>
                      <w:color w:val="000000" w:themeColor="text1"/>
                      <w:kern w:val="0"/>
                      <w:sz w:val="21"/>
                      <w:szCs w:val="21"/>
                      <w:highlight w:val="none"/>
                      <w:lang w:val="en-US" w:eastAsia="zh-CN"/>
                      <w14:textFill>
                        <w14:solidFill>
                          <w14:schemeClr w14:val="tx1"/>
                        </w14:solidFill>
                      </w14:textFill>
                    </w:rPr>
                  </w:pPr>
                  <w:r>
                    <w:rPr>
                      <w:rFonts w:hint="eastAsia" w:cs="Times New Roman"/>
                      <w:color w:val="000000" w:themeColor="text1"/>
                      <w:kern w:val="0"/>
                      <w:sz w:val="21"/>
                      <w:szCs w:val="21"/>
                      <w:highlight w:val="none"/>
                      <w:lang w:val="en-US" w:eastAsia="zh-CN"/>
                      <w14:textFill>
                        <w14:solidFill>
                          <w14:schemeClr w14:val="tx1"/>
                        </w14:solidFill>
                      </w14:textFill>
                    </w:rPr>
                    <w:t>叠加值</w:t>
                  </w:r>
                </w:p>
              </w:tc>
              <w:tc>
                <w:tcPr>
                  <w:tcW w:w="499" w:type="pct"/>
                  <w:vAlign w:val="center"/>
                </w:tcPr>
                <w:p w14:paraId="243F8520">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999" w:type="pct"/>
                  <w:gridSpan w:val="4"/>
                  <w:vAlign w:val="center"/>
                </w:tcPr>
                <w:p w14:paraId="089EBA3E">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499" w:type="pct"/>
                  <w:vAlign w:val="center"/>
                </w:tcPr>
                <w:p w14:paraId="0EA33B00">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50.1</w:t>
                  </w:r>
                </w:p>
              </w:tc>
              <w:tc>
                <w:tcPr>
                  <w:tcW w:w="499" w:type="pct"/>
                  <w:vAlign w:val="center"/>
                </w:tcPr>
                <w:p w14:paraId="380033C1">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38.9</w:t>
                  </w:r>
                </w:p>
              </w:tc>
              <w:tc>
                <w:tcPr>
                  <w:tcW w:w="501" w:type="pct"/>
                  <w:vAlign w:val="center"/>
                </w:tcPr>
                <w:p w14:paraId="4487A80A">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50.1</w:t>
                  </w:r>
                </w:p>
              </w:tc>
              <w:tc>
                <w:tcPr>
                  <w:tcW w:w="499" w:type="pct"/>
                  <w:vAlign w:val="center"/>
                </w:tcPr>
                <w:p w14:paraId="2991DBDA">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53.2</w:t>
                  </w:r>
                </w:p>
              </w:tc>
            </w:tr>
            <w:tr w14:paraId="07DBF2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vAlign w:val="center"/>
                </w:tcPr>
                <w:p w14:paraId="3B663C29">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标准限值</w:t>
                  </w:r>
                </w:p>
              </w:tc>
              <w:tc>
                <w:tcPr>
                  <w:tcW w:w="499" w:type="pct"/>
                  <w:vAlign w:val="center"/>
                </w:tcPr>
                <w:p w14:paraId="083C9F6E">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999" w:type="pct"/>
                  <w:gridSpan w:val="4"/>
                  <w:vAlign w:val="center"/>
                </w:tcPr>
                <w:p w14:paraId="442AE6A8">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2000" w:type="pct"/>
                  <w:gridSpan w:val="4"/>
                  <w:vAlign w:val="center"/>
                </w:tcPr>
                <w:p w14:paraId="3B1C0F79">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昼间：65</w:t>
                  </w:r>
                </w:p>
              </w:tc>
            </w:tr>
            <w:tr w14:paraId="540E11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9" w:type="pct"/>
                  <w:vAlign w:val="center"/>
                </w:tcPr>
                <w:p w14:paraId="5FE07F28">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是否达标</w:t>
                  </w:r>
                </w:p>
              </w:tc>
              <w:tc>
                <w:tcPr>
                  <w:tcW w:w="499" w:type="pct"/>
                  <w:vAlign w:val="center"/>
                </w:tcPr>
                <w:p w14:paraId="74EA0200">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999" w:type="pct"/>
                  <w:gridSpan w:val="4"/>
                  <w:vAlign w:val="center"/>
                </w:tcPr>
                <w:p w14:paraId="675145A2">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499" w:type="pct"/>
                  <w:vAlign w:val="center"/>
                </w:tcPr>
                <w:p w14:paraId="04F03A4A">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达标</w:t>
                  </w:r>
                </w:p>
              </w:tc>
              <w:tc>
                <w:tcPr>
                  <w:tcW w:w="499" w:type="pct"/>
                  <w:vAlign w:val="center"/>
                </w:tcPr>
                <w:p w14:paraId="1598471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达标</w:t>
                  </w:r>
                </w:p>
              </w:tc>
              <w:tc>
                <w:tcPr>
                  <w:tcW w:w="501" w:type="pct"/>
                  <w:vAlign w:val="center"/>
                </w:tcPr>
                <w:p w14:paraId="1D720C44">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达标</w:t>
                  </w:r>
                </w:p>
              </w:tc>
              <w:tc>
                <w:tcPr>
                  <w:tcW w:w="499" w:type="pct"/>
                  <w:vAlign w:val="center"/>
                </w:tcPr>
                <w:p w14:paraId="42A262B5">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达标</w:t>
                  </w:r>
                </w:p>
              </w:tc>
            </w:tr>
          </w:tbl>
          <w:p w14:paraId="731AB347">
            <w:pPr>
              <w:adjustRightInd/>
              <w:snapToGrid/>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由上表可知，</w:t>
            </w:r>
            <w:r>
              <w:rPr>
                <w:color w:val="000000" w:themeColor="text1"/>
                <w14:textFill>
                  <w14:solidFill>
                    <w14:schemeClr w14:val="tx1"/>
                  </w14:solidFill>
                </w14:textFill>
              </w:rPr>
              <w:t>项目运营后各厂界</w:t>
            </w:r>
            <w:r>
              <w:rPr>
                <w:rFonts w:cs="宋体"/>
                <w:color w:val="000000" w:themeColor="text1"/>
                <w:lang w:val="zh-CN"/>
                <w14:textFill>
                  <w14:solidFill>
                    <w14:schemeClr w14:val="tx1"/>
                  </w14:solidFill>
                </w14:textFill>
              </w:rPr>
              <w:t>昼间</w:t>
            </w:r>
            <w:r>
              <w:rPr>
                <w:color w:val="000000" w:themeColor="text1"/>
                <w14:textFill>
                  <w14:solidFill>
                    <w14:schemeClr w14:val="tx1"/>
                  </w14:solidFill>
                </w14:textFill>
              </w:rPr>
              <w:t>噪声</w:t>
            </w:r>
            <w:r>
              <w:rPr>
                <w:rFonts w:hint="eastAsia"/>
                <w:color w:val="000000" w:themeColor="text1"/>
                <w14:textFill>
                  <w14:solidFill>
                    <w14:schemeClr w14:val="tx1"/>
                  </w14:solidFill>
                </w14:textFill>
              </w:rPr>
              <w:t>贡献值</w:t>
            </w:r>
            <w:r>
              <w:rPr>
                <w:color w:val="000000" w:themeColor="text1"/>
                <w14:textFill>
                  <w14:solidFill>
                    <w14:schemeClr w14:val="tx1"/>
                  </w14:solidFill>
                </w14:textFill>
              </w:rPr>
              <w:t>均能满足《工业企业厂界环境噪声排放标准》（GB12348-2008）中的</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类标准。</w:t>
            </w:r>
          </w:p>
          <w:p w14:paraId="66CA0747">
            <w:pPr>
              <w:ind w:firstLine="480"/>
              <w:rPr>
                <w:color w:val="000000" w:themeColor="text1"/>
                <w14:textFill>
                  <w14:solidFill>
                    <w14:schemeClr w14:val="tx1"/>
                  </w14:solidFill>
                </w14:textFill>
              </w:rPr>
            </w:pPr>
            <w:r>
              <w:rPr>
                <w:color w:val="000000" w:themeColor="text1"/>
                <w14:textFill>
                  <w14:solidFill>
                    <w14:schemeClr w14:val="tx1"/>
                  </w14:solidFill>
                </w14:textFill>
              </w:rPr>
              <w:t>为进一步降低噪声对周围环境影响，建设单位需采取进一步措施降低噪声，具体建议措施主要包括：</w:t>
            </w:r>
          </w:p>
          <w:p w14:paraId="54486CDC">
            <w:pPr>
              <w:ind w:firstLine="480"/>
              <w:rPr>
                <w:color w:val="000000" w:themeColor="text1"/>
                <w14:textFill>
                  <w14:solidFill>
                    <w14:schemeClr w14:val="tx1"/>
                  </w14:solidFill>
                </w14:textFill>
              </w:rPr>
            </w:pPr>
            <w:r>
              <w:rPr>
                <w:color w:val="000000" w:themeColor="text1"/>
                <w14:textFill>
                  <w14:solidFill>
                    <w14:schemeClr w14:val="tx1"/>
                  </w14:solidFill>
                </w14:textFill>
              </w:rPr>
              <w:t>1）选用低噪声设备、低噪声工艺；</w:t>
            </w:r>
          </w:p>
          <w:p w14:paraId="34D5B145">
            <w:pPr>
              <w:ind w:firstLine="480"/>
              <w:rPr>
                <w:color w:val="000000" w:themeColor="text1"/>
                <w14:textFill>
                  <w14:solidFill>
                    <w14:schemeClr w14:val="tx1"/>
                  </w14:solidFill>
                </w14:textFill>
              </w:rPr>
            </w:pPr>
            <w:r>
              <w:rPr>
                <w:color w:val="000000" w:themeColor="text1"/>
                <w14:textFill>
                  <w14:solidFill>
                    <w14:schemeClr w14:val="tx1"/>
                  </w14:solidFill>
                </w14:textFill>
              </w:rPr>
              <w:t>2）采取声学控制措施，如对声源采用吸声、消声、隔声、减振等措施；</w:t>
            </w:r>
          </w:p>
          <w:p w14:paraId="6B67A3B6">
            <w:pPr>
              <w:ind w:firstLine="480"/>
              <w:rPr>
                <w:color w:val="000000" w:themeColor="text1"/>
                <w14:textFill>
                  <w14:solidFill>
                    <w14:schemeClr w14:val="tx1"/>
                  </w14:solidFill>
                </w14:textFill>
              </w:rPr>
            </w:pPr>
            <w:r>
              <w:rPr>
                <w:color w:val="000000" w:themeColor="text1"/>
                <w14:textFill>
                  <w14:solidFill>
                    <w14:schemeClr w14:val="tx1"/>
                  </w14:solidFill>
                </w14:textFill>
              </w:rPr>
              <w:t>3）对于传输设备的旋转和传动部分以及接近地面的联轴节，传动轴，皮带轮等均装设防护装置；</w:t>
            </w:r>
          </w:p>
          <w:p w14:paraId="44150C6B">
            <w:pPr>
              <w:ind w:firstLine="480"/>
              <w:rPr>
                <w:color w:val="000000" w:themeColor="text1"/>
                <w14:textFill>
                  <w14:solidFill>
                    <w14:schemeClr w14:val="tx1"/>
                  </w14:solidFill>
                </w14:textFill>
              </w:rPr>
            </w:pPr>
            <w:r>
              <w:rPr>
                <w:color w:val="000000" w:themeColor="text1"/>
                <w14:textFill>
                  <w14:solidFill>
                    <w14:schemeClr w14:val="tx1"/>
                  </w14:solidFill>
                </w14:textFill>
              </w:rPr>
              <w:t>4）定期检修清理设备，防止因设备故障产生的非正常噪声；</w:t>
            </w:r>
          </w:p>
          <w:p w14:paraId="2C6C0E45">
            <w:pPr>
              <w:ind w:firstLine="480"/>
              <w:rPr>
                <w:color w:val="000000" w:themeColor="text1"/>
                <w14:textFill>
                  <w14:solidFill>
                    <w14:schemeClr w14:val="tx1"/>
                  </w14:solidFill>
                </w14:textFill>
              </w:rPr>
            </w:pPr>
            <w:r>
              <w:rPr>
                <w:color w:val="000000" w:themeColor="text1"/>
                <w14:textFill>
                  <w14:solidFill>
                    <w14:schemeClr w14:val="tx1"/>
                  </w14:solidFill>
                </w14:textFill>
              </w:rPr>
              <w:t>5）对运输车辆采取慢速行驶及禁鸣喇叭等措施；</w:t>
            </w:r>
          </w:p>
          <w:p w14:paraId="595EF371">
            <w:pPr>
              <w:ind w:firstLine="480"/>
              <w:rPr>
                <w:b/>
                <w:color w:val="000000" w:themeColor="text1"/>
                <w14:textFill>
                  <w14:solidFill>
                    <w14:schemeClr w14:val="tx1"/>
                  </w14:solidFill>
                </w14:textFill>
              </w:rPr>
            </w:pPr>
            <w:r>
              <w:rPr>
                <w:color w:val="000000" w:themeColor="text1"/>
                <w14:textFill>
                  <w14:solidFill>
                    <w14:schemeClr w14:val="tx1"/>
                  </w14:solidFill>
                </w14:textFill>
              </w:rPr>
              <w:t>6）加强生产管理，教育员工文明生产，减少人为因素造成的噪声。</w:t>
            </w:r>
          </w:p>
          <w:p w14:paraId="455B2493">
            <w:pPr>
              <w:ind w:firstLine="482"/>
              <w:rPr>
                <w:b/>
                <w:color w:val="000000" w:themeColor="text1"/>
                <w14:textFill>
                  <w14:solidFill>
                    <w14:schemeClr w14:val="tx1"/>
                  </w14:solidFill>
                </w14:textFill>
              </w:rPr>
            </w:pPr>
            <w:r>
              <w:rPr>
                <w:b/>
                <w:color w:val="000000" w:themeColor="text1"/>
                <w14:textFill>
                  <w14:solidFill>
                    <w14:schemeClr w14:val="tx1"/>
                  </w14:solidFill>
                </w14:textFill>
              </w:rPr>
              <w:t>3、噪声监测要求</w:t>
            </w:r>
          </w:p>
          <w:p w14:paraId="77A5A695">
            <w:pPr>
              <w:adjustRightInd/>
              <w:ind w:firstLine="480"/>
              <w:rPr>
                <w:color w:val="000000" w:themeColor="text1"/>
                <w14:textFill>
                  <w14:solidFill>
                    <w14:schemeClr w14:val="tx1"/>
                  </w14:solidFill>
                </w14:textFill>
              </w:rPr>
            </w:pPr>
            <w:r>
              <w:rPr>
                <w:color w:val="000000" w:themeColor="text1"/>
                <w14:textFill>
                  <w14:solidFill>
                    <w14:schemeClr w14:val="tx1"/>
                  </w14:solidFill>
                </w14:textFill>
              </w:rPr>
              <w:t>按照</w:t>
            </w:r>
            <w:r>
              <w:rPr>
                <w:rFonts w:hint="eastAsia"/>
                <w:color w:val="000000" w:themeColor="text1"/>
                <w14:textFill>
                  <w14:solidFill>
                    <w14:schemeClr w14:val="tx1"/>
                  </w14:solidFill>
                </w14:textFill>
              </w:rPr>
              <w:t>《排污许可证申请与核发技术规范 工业噪声》（HJ 1301—2023）</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项目噪声监测计划如下</w:t>
            </w:r>
            <w:r>
              <w:rPr>
                <w:color w:val="000000" w:themeColor="text1"/>
                <w14:textFill>
                  <w14:solidFill>
                    <w14:schemeClr w14:val="tx1"/>
                  </w14:solidFill>
                </w14:textFill>
              </w:rPr>
              <w:t>。</w:t>
            </w:r>
          </w:p>
          <w:p w14:paraId="5BD59B52">
            <w:pPr>
              <w:pStyle w:val="57"/>
              <w:numPr>
                <w:ilvl w:val="3"/>
                <w:numId w:val="19"/>
              </w:numPr>
              <w:rPr>
                <w:color w:val="000000" w:themeColor="text1"/>
                <w14:textFill>
                  <w14:solidFill>
                    <w14:schemeClr w14:val="tx1"/>
                  </w14:solidFill>
                </w14:textFill>
              </w:rPr>
            </w:pPr>
            <w:r>
              <w:rPr>
                <w:color w:val="000000" w:themeColor="text1"/>
                <w14:textFill>
                  <w14:solidFill>
                    <w14:schemeClr w14:val="tx1"/>
                  </w14:solidFill>
                </w14:textFill>
              </w:rPr>
              <w:t>噪声监测计划一览表</w:t>
            </w:r>
          </w:p>
          <w:tbl>
            <w:tblPr>
              <w:tblStyle w:val="3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50"/>
              <w:gridCol w:w="2176"/>
              <w:gridCol w:w="2680"/>
              <w:gridCol w:w="5030"/>
            </w:tblGrid>
            <w:tr w14:paraId="42CBC6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44" w:type="dxa"/>
                  <w:tcBorders>
                    <w:tl2br w:val="nil"/>
                    <w:tr2bl w:val="nil"/>
                  </w:tcBorders>
                  <w:vAlign w:val="center"/>
                </w:tcPr>
                <w:p w14:paraId="58CE8284">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监测点位</w:t>
                  </w:r>
                </w:p>
              </w:tc>
              <w:tc>
                <w:tcPr>
                  <w:tcW w:w="1403" w:type="dxa"/>
                  <w:tcBorders>
                    <w:tl2br w:val="nil"/>
                    <w:tr2bl w:val="nil"/>
                  </w:tcBorders>
                  <w:vAlign w:val="center"/>
                </w:tcPr>
                <w:p w14:paraId="2BF1FC80">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监测指标</w:t>
                  </w:r>
                </w:p>
              </w:tc>
              <w:tc>
                <w:tcPr>
                  <w:tcW w:w="1728" w:type="dxa"/>
                  <w:tcBorders>
                    <w:tl2br w:val="nil"/>
                    <w:tr2bl w:val="nil"/>
                  </w:tcBorders>
                  <w:vAlign w:val="center"/>
                </w:tcPr>
                <w:p w14:paraId="668121A0">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监测频次</w:t>
                  </w:r>
                </w:p>
              </w:tc>
              <w:tc>
                <w:tcPr>
                  <w:tcW w:w="3242" w:type="dxa"/>
                  <w:tcBorders>
                    <w:tl2br w:val="nil"/>
                    <w:tr2bl w:val="nil"/>
                  </w:tcBorders>
                  <w:vAlign w:val="center"/>
                </w:tcPr>
                <w:p w14:paraId="793C9334">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执行排放标准</w:t>
                  </w:r>
                </w:p>
              </w:tc>
            </w:tr>
            <w:tr w14:paraId="6DFB1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44" w:type="dxa"/>
                  <w:tcBorders>
                    <w:tl2br w:val="nil"/>
                    <w:tr2bl w:val="nil"/>
                  </w:tcBorders>
                  <w:vAlign w:val="center"/>
                </w:tcPr>
                <w:p w14:paraId="630C7759">
                  <w:pPr>
                    <w:spacing w:line="240" w:lineRule="auto"/>
                    <w:ind w:firstLine="0" w:firstLineChars="0"/>
                    <w:jc w:val="center"/>
                    <w:rPr>
                      <w:b/>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厂界</w:t>
                  </w:r>
                </w:p>
              </w:tc>
              <w:tc>
                <w:tcPr>
                  <w:tcW w:w="1403" w:type="dxa"/>
                  <w:tcBorders>
                    <w:tl2br w:val="nil"/>
                    <w:tr2bl w:val="nil"/>
                  </w:tcBorders>
                  <w:vAlign w:val="center"/>
                </w:tcPr>
                <w:p w14:paraId="26244D4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Leq</w:t>
                  </w:r>
                </w:p>
              </w:tc>
              <w:tc>
                <w:tcPr>
                  <w:tcW w:w="1728" w:type="dxa"/>
                  <w:tcBorders>
                    <w:tl2br w:val="nil"/>
                    <w:tr2bl w:val="nil"/>
                  </w:tcBorders>
                  <w:vAlign w:val="center"/>
                </w:tcPr>
                <w:p w14:paraId="69461E83">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1次/季，</w:t>
                  </w:r>
                  <w:r>
                    <w:rPr>
                      <w:rFonts w:hint="eastAsia"/>
                      <w:color w:val="000000" w:themeColor="text1"/>
                      <w:sz w:val="21"/>
                      <w:szCs w:val="21"/>
                      <w:lang w:val="en-US" w:eastAsia="zh-CN"/>
                      <w14:textFill>
                        <w14:solidFill>
                          <w14:schemeClr w14:val="tx1"/>
                        </w14:solidFill>
                      </w14:textFill>
                    </w:rPr>
                    <w:t>昼间监测</w:t>
                  </w:r>
                </w:p>
              </w:tc>
              <w:tc>
                <w:tcPr>
                  <w:tcW w:w="3242" w:type="dxa"/>
                  <w:tcBorders>
                    <w:tl2br w:val="nil"/>
                    <w:tr2bl w:val="nil"/>
                  </w:tcBorders>
                  <w:vAlign w:val="center"/>
                </w:tcPr>
                <w:p w14:paraId="3D5A2135">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《工业企业厂界环境噪声排放标准》（GB12348-2008）</w:t>
                  </w: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类标准</w:t>
                  </w:r>
                </w:p>
              </w:tc>
            </w:tr>
          </w:tbl>
          <w:p w14:paraId="6F176A16">
            <w:pPr>
              <w:spacing w:before="120" w:beforeLines="50"/>
              <w:ind w:firstLine="482"/>
              <w:rPr>
                <w:b/>
                <w:color w:val="000000" w:themeColor="text1"/>
                <w14:textFill>
                  <w14:solidFill>
                    <w14:schemeClr w14:val="tx1"/>
                  </w14:solidFill>
                </w14:textFill>
              </w:rPr>
            </w:pPr>
            <w:r>
              <w:rPr>
                <w:b/>
                <w:color w:val="000000" w:themeColor="text1"/>
                <w14:textFill>
                  <w14:solidFill>
                    <w14:schemeClr w14:val="tx1"/>
                  </w14:solidFill>
                </w14:textFill>
              </w:rPr>
              <w:t>四、固体废物</w:t>
            </w:r>
            <w:r>
              <w:rPr>
                <w:rFonts w:hint="eastAsia"/>
                <w:b/>
                <w:color w:val="000000" w:themeColor="text1"/>
                <w14:textFill>
                  <w14:solidFill>
                    <w14:schemeClr w14:val="tx1"/>
                  </w14:solidFill>
                </w14:textFill>
              </w:rPr>
              <w:t xml:space="preserve"> </w:t>
            </w:r>
          </w:p>
          <w:p w14:paraId="29134A22">
            <w:pPr>
              <w:ind w:firstLine="482"/>
              <w:rPr>
                <w:b/>
                <w:color w:val="000000" w:themeColor="text1"/>
                <w14:textFill>
                  <w14:solidFill>
                    <w14:schemeClr w14:val="tx1"/>
                  </w14:solidFill>
                </w14:textFill>
              </w:rPr>
            </w:pPr>
            <w:r>
              <w:rPr>
                <w:b/>
                <w:color w:val="000000" w:themeColor="text1"/>
                <w14:textFill>
                  <w14:solidFill>
                    <w14:schemeClr w14:val="tx1"/>
                  </w14:solidFill>
                </w14:textFill>
              </w:rPr>
              <w:t>1、固废污染源情况</w:t>
            </w:r>
          </w:p>
          <w:p w14:paraId="2D4016B2">
            <w:pPr>
              <w:ind w:firstLine="480"/>
              <w:rPr>
                <w:color w:val="000000" w:themeColor="text1"/>
                <w14:textFill>
                  <w14:solidFill>
                    <w14:schemeClr w14:val="tx1"/>
                  </w14:solidFill>
                </w14:textFill>
              </w:rPr>
            </w:pPr>
            <w:r>
              <w:rPr>
                <w:color w:val="000000" w:themeColor="text1"/>
                <w14:textFill>
                  <w14:solidFill>
                    <w14:schemeClr w14:val="tx1"/>
                  </w14:solidFill>
                </w14:textFill>
              </w:rPr>
              <w:t>项目固体废物主要包括</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废包装袋、废模具、边角料、废包装桶、漆渣、废彩绘笔、布袋除尘收集尘、废布袋、车间沉降粉尘、废过滤棉、废活性炭、废机油、废机油桶、含有废抹布及劳保用品以及</w:t>
            </w:r>
            <w:r>
              <w:rPr>
                <w:rFonts w:hint="eastAsia"/>
                <w:color w:val="000000" w:themeColor="text1"/>
                <w14:textFill>
                  <w14:solidFill>
                    <w14:schemeClr w14:val="tx1"/>
                  </w14:solidFill>
                </w14:textFill>
              </w:rPr>
              <w:t>生活垃圾。</w:t>
            </w:r>
          </w:p>
          <w:p w14:paraId="57BF4569">
            <w:pPr>
              <w:ind w:firstLine="482"/>
              <w:rPr>
                <w:rFonts w:hint="eastAsia"/>
                <w:b/>
                <w:bCs/>
                <w:color w:val="000000" w:themeColor="text1"/>
                <w:lang w:val="en-US" w:eastAsia="zh-CN"/>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1</w:t>
            </w: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废包装袋</w:t>
            </w:r>
          </w:p>
          <w:p w14:paraId="18245B89">
            <w:pPr>
              <w:ind w:firstLine="482"/>
              <w:rPr>
                <w:rFonts w:hint="eastAsia"/>
                <w:color w:val="000000" w:themeColor="text1"/>
                <w:highlight w:val="none"/>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项目石粉、石膏等粉状原料包装方式为袋装，粉状原料合计年用量为41.5t/a，包装袋规格按25kg/袋计，产生的废包装袋数量为1660个，废包装袋平均重量按0.1kg/个计，则项目废包装袋产生量约0.166t/a，属于一</w:t>
            </w:r>
            <w:r>
              <w:rPr>
                <w:rFonts w:hint="eastAsia"/>
                <w:color w:val="000000" w:themeColor="text1"/>
                <w:highlight w:val="none"/>
                <w:lang w:val="en-US" w:eastAsia="zh-CN"/>
                <w14:textFill>
                  <w14:solidFill>
                    <w14:schemeClr w14:val="tx1"/>
                  </w14:solidFill>
                </w14:textFill>
              </w:rPr>
              <w:t>般工业固废SW17（代码：900-003-S17），外售综合利用。</w:t>
            </w:r>
          </w:p>
          <w:p w14:paraId="7F1727D3">
            <w:pPr>
              <w:ind w:firstLine="482"/>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（2）废模具</w:t>
            </w:r>
          </w:p>
          <w:p w14:paraId="554B8717">
            <w:pPr>
              <w:ind w:firstLine="482"/>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项目脱模工序会产生废硅胶模具和废石膏模具，根据物料衡算可知，其产生量合计4.000t/a，属于一般工业固废SW59（代码：900-099-S59），外售综合利用。</w:t>
            </w:r>
          </w:p>
          <w:p w14:paraId="3E3003A0">
            <w:pPr>
              <w:ind w:firstLine="482"/>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（3）边角料</w:t>
            </w:r>
          </w:p>
          <w:p w14:paraId="2019D1C3">
            <w:pPr>
              <w:ind w:firstLine="482"/>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项目打磨修边工序会产生边角料，由物料衡算可知，产生量为0.450t/a，属于一般工业固废SW59（代码：900-099-S59），外售综合利用。</w:t>
            </w:r>
          </w:p>
          <w:p w14:paraId="50A3037E">
            <w:pPr>
              <w:ind w:firstLine="482"/>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（4）废包装桶（废树脂桶、废促进剂桶、废固化剂桶、废油漆桶、废稀释剂桶、废水性漆桶）</w:t>
            </w:r>
          </w:p>
          <w:p w14:paraId="0DDCB6DE">
            <w:pPr>
              <w:ind w:firstLine="482"/>
              <w:rPr>
                <w:rFonts w:hint="eastAsia"/>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项目不饱和聚酯树脂、促进剂、固化剂、油漆、稀释剂、水性漆等有机物料均为液态，年用量合计约为57.88t/a，包装方式为桶装，包装桶规格按200kg/桶计，废包装桶产生个数约290个，</w:t>
            </w:r>
            <w:r>
              <w:rPr>
                <w:rFonts w:hint="eastAsia" w:ascii="Times New Roman" w:hAnsi="Times New Roman" w:eastAsia="宋体" w:cs="宋体"/>
                <w:color w:val="000000" w:themeColor="text1"/>
                <w:szCs w:val="24"/>
                <w:highlight w:val="none"/>
                <w:lang w:val="en-US" w:eastAsia="zh-CN"/>
                <w14:textFill>
                  <w14:solidFill>
                    <w14:schemeClr w14:val="tx1"/>
                  </w14:solidFill>
                </w14:textFill>
              </w:rPr>
              <w:t>废包装桶平均重量按2.0kg/个计，</w:t>
            </w:r>
            <w:r>
              <w:rPr>
                <w:rFonts w:hint="eastAsia" w:eastAsia="宋体" w:cs="宋体"/>
                <w:color w:val="000000" w:themeColor="text1"/>
                <w:szCs w:val="24"/>
                <w:highlight w:val="none"/>
                <w:lang w:val="en-US" w:eastAsia="zh-CN"/>
                <w14:textFill>
                  <w14:solidFill>
                    <w14:schemeClr w14:val="tx1"/>
                  </w14:solidFill>
                </w14:textFill>
              </w:rPr>
              <w:t>则废包装桶产生量约0.58t/a，</w:t>
            </w:r>
            <w:r>
              <w:rPr>
                <w:rFonts w:hint="eastAsia"/>
                <w:color w:val="000000" w:themeColor="text1"/>
                <w14:textFill>
                  <w14:solidFill>
                    <w14:schemeClr w14:val="tx1"/>
                  </w14:solidFill>
                </w14:textFill>
              </w:rPr>
              <w:t>属</w:t>
            </w:r>
            <w:r>
              <w:rPr>
                <w:rFonts w:hint="eastAsia"/>
                <w:color w:val="000000" w:themeColor="text1"/>
                <w:lang w:val="en-US" w:eastAsia="zh-CN"/>
                <w14:textFill>
                  <w14:solidFill>
                    <w14:schemeClr w14:val="tx1"/>
                  </w14:solidFill>
                </w14:textFill>
              </w:rPr>
              <w:t>于</w:t>
            </w:r>
            <w:r>
              <w:rPr>
                <w:rFonts w:hint="eastAsia"/>
                <w:color w:val="000000" w:themeColor="text1"/>
                <w14:textFill>
                  <w14:solidFill>
                    <w14:schemeClr w14:val="tx1"/>
                  </w14:solidFill>
                </w14:textFill>
              </w:rPr>
              <w:t>《国家危险废物名录（2025版）》HW49类危险废物，危险废物</w:t>
            </w:r>
            <w:r>
              <w:rPr>
                <w:rFonts w:hint="eastAsia"/>
                <w:color w:val="000000" w:themeColor="text1"/>
                <w:lang w:val="en-US" w:eastAsia="zh-CN"/>
                <w14:textFill>
                  <w14:solidFill>
                    <w14:schemeClr w14:val="tx1"/>
                  </w14:solidFill>
                </w14:textFill>
              </w:rPr>
              <w:t>代码</w:t>
            </w:r>
            <w:r>
              <w:rPr>
                <w:rFonts w:hint="eastAsia"/>
                <w:color w:val="000000" w:themeColor="text1"/>
                <w14:textFill>
                  <w14:solidFill>
                    <w14:schemeClr w14:val="tx1"/>
                  </w14:solidFill>
                </w14:textFill>
              </w:rPr>
              <w:t>900-041-49</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交由有资质单位处置。</w:t>
            </w:r>
          </w:p>
          <w:p w14:paraId="5DBF8DE5">
            <w:pPr>
              <w:ind w:firstLine="482"/>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（5）漆渣</w:t>
            </w:r>
          </w:p>
          <w:p w14:paraId="19370A7E">
            <w:pPr>
              <w:ind w:firstLine="48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项目喷漆工序及喷漆枪清洗过程会产生漆渣，由物料衡算可知，漆渣产生量合计约0.197t/a，属于</w:t>
            </w:r>
            <w:r>
              <w:rPr>
                <w:rFonts w:hint="eastAsia"/>
                <w:color w:val="000000" w:themeColor="text1"/>
                <w14:textFill>
                  <w14:solidFill>
                    <w14:schemeClr w14:val="tx1"/>
                  </w14:solidFill>
                </w14:textFill>
              </w:rPr>
              <w:t>《国家危险废物名录（2025版）》HW</w:t>
            </w:r>
            <w:r>
              <w:rPr>
                <w:rFonts w:hint="eastAsia"/>
                <w:color w:val="000000" w:themeColor="text1"/>
                <w:lang w:val="en-US" w:eastAsia="zh-CN"/>
                <w14:textFill>
                  <w14:solidFill>
                    <w14:schemeClr w14:val="tx1"/>
                  </w14:solidFill>
                </w14:textFill>
              </w:rPr>
              <w:t>12</w:t>
            </w:r>
            <w:r>
              <w:rPr>
                <w:rFonts w:hint="eastAsia"/>
                <w:color w:val="000000" w:themeColor="text1"/>
                <w14:textFill>
                  <w14:solidFill>
                    <w14:schemeClr w14:val="tx1"/>
                  </w14:solidFill>
                </w14:textFill>
              </w:rPr>
              <w:t>类危险废物，危险废物</w:t>
            </w:r>
            <w:r>
              <w:rPr>
                <w:rFonts w:hint="eastAsia"/>
                <w:color w:val="000000" w:themeColor="text1"/>
                <w:lang w:val="en-US" w:eastAsia="zh-CN"/>
                <w14:textFill>
                  <w14:solidFill>
                    <w14:schemeClr w14:val="tx1"/>
                  </w14:solidFill>
                </w14:textFill>
              </w:rPr>
              <w:t>代码</w:t>
            </w:r>
            <w:r>
              <w:rPr>
                <w:rFonts w:hint="eastAsia"/>
                <w:color w:val="000000" w:themeColor="text1"/>
                <w14:textFill>
                  <w14:solidFill>
                    <w14:schemeClr w14:val="tx1"/>
                  </w14:solidFill>
                </w14:textFill>
              </w:rPr>
              <w:t>900-</w:t>
            </w:r>
            <w:r>
              <w:rPr>
                <w:rFonts w:hint="eastAsia"/>
                <w:color w:val="000000" w:themeColor="text1"/>
                <w:lang w:val="en-US" w:eastAsia="zh-CN"/>
                <w14:textFill>
                  <w14:solidFill>
                    <w14:schemeClr w14:val="tx1"/>
                  </w14:solidFill>
                </w14:textFill>
              </w:rPr>
              <w:t>252</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12、</w:t>
            </w:r>
            <w:r>
              <w:rPr>
                <w:rFonts w:hint="eastAsia"/>
                <w:color w:val="000000" w:themeColor="text1"/>
                <w14:textFill>
                  <w14:solidFill>
                    <w14:schemeClr w14:val="tx1"/>
                  </w14:solidFill>
                </w14:textFill>
              </w:rPr>
              <w:t>900-</w:t>
            </w:r>
            <w:r>
              <w:rPr>
                <w:rFonts w:hint="eastAsia"/>
                <w:color w:val="000000" w:themeColor="text1"/>
                <w:lang w:val="en-US" w:eastAsia="zh-CN"/>
                <w14:textFill>
                  <w14:solidFill>
                    <w14:schemeClr w14:val="tx1"/>
                  </w14:solidFill>
                </w14:textFill>
              </w:rPr>
              <w:t>256</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12</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交由有资质单位处置。</w:t>
            </w:r>
          </w:p>
          <w:p w14:paraId="2888F88D">
            <w:pPr>
              <w:ind w:firstLine="482"/>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（6）废彩绘笔</w:t>
            </w:r>
          </w:p>
          <w:p w14:paraId="7C6D60AE">
            <w:pPr>
              <w:ind w:firstLine="48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彩绘过程中彩绘笔会沾染少量油漆、水性漆，其中粘附的油漆、水性漆约0.079t/a（根据物料衡算），加上彩绘笔的重量约0.015t/a（单支彩绘笔重量按30g计，项目年用彩绘笔500支），则废彩绘笔合计约0.094t/a，属于</w:t>
            </w:r>
            <w:r>
              <w:rPr>
                <w:rFonts w:hint="eastAsia"/>
                <w:color w:val="000000" w:themeColor="text1"/>
                <w14:textFill>
                  <w14:solidFill>
                    <w14:schemeClr w14:val="tx1"/>
                  </w14:solidFill>
                </w14:textFill>
              </w:rPr>
              <w:t>《国家危险废物名录（2025版）》HW49类危险废物，危险废物</w:t>
            </w:r>
            <w:r>
              <w:rPr>
                <w:rFonts w:hint="eastAsia"/>
                <w:color w:val="000000" w:themeColor="text1"/>
                <w:lang w:val="en-US" w:eastAsia="zh-CN"/>
                <w14:textFill>
                  <w14:solidFill>
                    <w14:schemeClr w14:val="tx1"/>
                  </w14:solidFill>
                </w14:textFill>
              </w:rPr>
              <w:t>代码</w:t>
            </w:r>
            <w:r>
              <w:rPr>
                <w:rFonts w:hint="eastAsia"/>
                <w:color w:val="000000" w:themeColor="text1"/>
                <w14:textFill>
                  <w14:solidFill>
                    <w14:schemeClr w14:val="tx1"/>
                  </w14:solidFill>
                </w14:textFill>
              </w:rPr>
              <w:t>900-041-49</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交由有资质单位处置。</w:t>
            </w:r>
          </w:p>
          <w:p w14:paraId="6F29E1C5">
            <w:pPr>
              <w:ind w:firstLine="482"/>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（7）布袋除尘收集尘</w:t>
            </w:r>
          </w:p>
          <w:p w14:paraId="28C43FEA">
            <w:pPr>
              <w:ind w:firstLine="482"/>
              <w:rPr>
                <w:rFonts w:hint="eastAsia"/>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由表4-1可知，项目布袋除尘收集尘产生量约0.150t/a，属于</w:t>
            </w:r>
            <w:r>
              <w:rPr>
                <w:rFonts w:hint="eastAsia"/>
                <w:color w:val="000000" w:themeColor="text1"/>
                <w:highlight w:val="none"/>
                <w:lang w:val="en-US" w:eastAsia="zh-CN"/>
                <w14:textFill>
                  <w14:solidFill>
                    <w14:schemeClr w14:val="tx1"/>
                  </w14:solidFill>
                </w14:textFill>
              </w:rPr>
              <w:t>一般工业固废SW59（代码：900-099-S59），外售综合利用。</w:t>
            </w:r>
          </w:p>
          <w:p w14:paraId="38A5CD58">
            <w:pPr>
              <w:ind w:firstLine="482"/>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（8）废布袋</w:t>
            </w:r>
          </w:p>
          <w:p w14:paraId="4DDC805D">
            <w:pPr>
              <w:ind w:firstLine="482"/>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项目布袋除尘器需要定期更换布袋，废布袋产生量约0.002t/a，属于一般工业固废SW59（代码：900-009-S59），外售综合利用。</w:t>
            </w:r>
          </w:p>
          <w:p w14:paraId="511125AB">
            <w:pPr>
              <w:ind w:firstLine="482"/>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（9）车间沉降粉尘</w:t>
            </w:r>
          </w:p>
          <w:p w14:paraId="7AC1C2B4">
            <w:pPr>
              <w:ind w:firstLine="482"/>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车间沉降粉尘主要是由石粉、石膏投料过程产生，产生量约0.003t/a，</w:t>
            </w:r>
            <w:r>
              <w:rPr>
                <w:rFonts w:hint="eastAsia"/>
                <w:color w:val="000000" w:themeColor="text1"/>
                <w:lang w:val="en-US" w:eastAsia="zh-CN"/>
                <w14:textFill>
                  <w14:solidFill>
                    <w14:schemeClr w14:val="tx1"/>
                  </w14:solidFill>
                </w14:textFill>
              </w:rPr>
              <w:t>属于</w:t>
            </w:r>
            <w:r>
              <w:rPr>
                <w:rFonts w:hint="eastAsia"/>
                <w:color w:val="000000" w:themeColor="text1"/>
                <w:highlight w:val="none"/>
                <w:lang w:val="en-US" w:eastAsia="zh-CN"/>
                <w14:textFill>
                  <w14:solidFill>
                    <w14:schemeClr w14:val="tx1"/>
                  </w14:solidFill>
                </w14:textFill>
              </w:rPr>
              <w:t>一般工业固废SW59（代码：900-099-S59），外售综合利用。</w:t>
            </w:r>
          </w:p>
          <w:p w14:paraId="6190A9F8">
            <w:pPr>
              <w:ind w:firstLine="482"/>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（10）废过滤棉</w:t>
            </w:r>
          </w:p>
          <w:p w14:paraId="388ABA5A">
            <w:pPr>
              <w:ind w:firstLine="482"/>
              <w:rPr>
                <w:rFonts w:hint="eastAsia"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宋体"/>
                <w:color w:val="000000" w:themeColor="text1"/>
                <w:highlight w:val="none"/>
                <w:lang w:val="en-US" w:eastAsia="zh-CN"/>
                <w14:textFill>
                  <w14:solidFill>
                    <w14:schemeClr w14:val="tx1"/>
                  </w14:solidFill>
                </w14:textFill>
              </w:rPr>
              <w:t>项目喷漆过程产生的漆雾（颗粒物），采用过滤棉吸附颗粒物，由物料衡算可知，吸附的漆雾（颗粒物）量约0.</w:t>
            </w:r>
            <w:r>
              <w:rPr>
                <w:rFonts w:hint="eastAsia" w:cs="宋体"/>
                <w:color w:val="000000" w:themeColor="text1"/>
                <w:highlight w:val="none"/>
                <w:lang w:val="en-US" w:eastAsia="zh-CN"/>
                <w14:textFill>
                  <w14:solidFill>
                    <w14:schemeClr w14:val="tx1"/>
                  </w14:solidFill>
                </w14:textFill>
              </w:rPr>
              <w:t>142</w:t>
            </w:r>
            <w:r>
              <w:rPr>
                <w:rFonts w:hint="eastAsia" w:ascii="Times New Roman" w:hAnsi="Times New Roman" w:eastAsia="宋体" w:cs="宋体"/>
                <w:color w:val="000000" w:themeColor="text1"/>
                <w:highlight w:val="none"/>
                <w:lang w:val="en-US" w:eastAsia="zh-CN"/>
                <w14:textFill>
                  <w14:solidFill>
                    <w14:schemeClr w14:val="tx1"/>
                  </w14:solidFill>
                </w14:textFill>
              </w:rPr>
              <w:t>t/a，过滤棉对颗粒物的吸附容量按50%考虑，即1kg的过滤棉可以吸附0.5kg的颗粒物，则项目废过滤棉产生量=0.</w:t>
            </w:r>
            <w:r>
              <w:rPr>
                <w:rFonts w:hint="eastAsia" w:cs="宋体"/>
                <w:color w:val="000000" w:themeColor="text1"/>
                <w:highlight w:val="none"/>
                <w:lang w:val="en-US" w:eastAsia="zh-CN"/>
                <w14:textFill>
                  <w14:solidFill>
                    <w14:schemeClr w14:val="tx1"/>
                  </w14:solidFill>
                </w14:textFill>
              </w:rPr>
              <w:t>142</w:t>
            </w:r>
            <w:r>
              <w:rPr>
                <w:rFonts w:hint="eastAsia" w:ascii="Times New Roman" w:hAnsi="Times New Roman" w:eastAsia="宋体" w:cs="宋体"/>
                <w:color w:val="000000" w:themeColor="text1"/>
                <w:highlight w:val="none"/>
                <w:lang w:val="en-US" w:eastAsia="zh-CN"/>
                <w14:textFill>
                  <w14:solidFill>
                    <w14:schemeClr w14:val="tx1"/>
                  </w14:solidFill>
                </w14:textFill>
              </w:rPr>
              <w:t>*3=</w:t>
            </w:r>
            <w:r>
              <w:rPr>
                <w:rFonts w:hint="eastAsia" w:cs="宋体"/>
                <w:color w:val="000000" w:themeColor="text1"/>
                <w:highlight w:val="none"/>
                <w:lang w:val="en-US" w:eastAsia="zh-CN"/>
                <w14:textFill>
                  <w14:solidFill>
                    <w14:schemeClr w14:val="tx1"/>
                  </w14:solidFill>
                </w14:textFill>
              </w:rPr>
              <w:t>0.426</w:t>
            </w:r>
            <w:r>
              <w:rPr>
                <w:rFonts w:hint="eastAsia" w:ascii="Times New Roman" w:hAnsi="Times New Roman" w:eastAsia="宋体" w:cs="宋体"/>
                <w:color w:val="000000" w:themeColor="text1"/>
                <w:highlight w:val="none"/>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对照《国家危险废物名录（2025年版）》，</w:t>
            </w:r>
            <w:r>
              <w:rPr>
                <w:rFonts w:hint="eastAsia" w:ascii="Times New Roman" w:hAnsi="Times New Roman" w:eastAsia="宋体" w:cs="Times New Roman"/>
                <w:color w:val="000000" w:themeColor="text1"/>
                <w:sz w:val="24"/>
                <w:szCs w:val="24"/>
                <w:highlight w:val="none"/>
                <w14:textFill>
                  <w14:solidFill>
                    <w14:schemeClr w14:val="tx1"/>
                  </w14:solidFill>
                </w14:textFill>
              </w:rPr>
              <w:t>属于危险废物HW</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49</w:t>
            </w:r>
            <w:r>
              <w:rPr>
                <w:rFonts w:hint="eastAsia" w:ascii="Times New Roman" w:hAnsi="Times New Roman" w:eastAsia="宋体" w:cs="Times New Roman"/>
                <w:color w:val="000000" w:themeColor="text1"/>
                <w:sz w:val="24"/>
                <w:szCs w:val="24"/>
                <w:highlight w:val="none"/>
                <w14:textFill>
                  <w14:solidFill>
                    <w14:schemeClr w14:val="tx1"/>
                  </w14:solidFill>
                </w14:textFill>
              </w:rPr>
              <w:t>，危废代码：900-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041</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49</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收集后</w:t>
            </w:r>
            <w:r>
              <w:rPr>
                <w:rFonts w:hint="eastAsia" w:ascii="Times New Roman" w:hAnsi="Times New Roman" w:eastAsia="宋体" w:cs="Times New Roman"/>
                <w:color w:val="000000" w:themeColor="text1"/>
                <w:sz w:val="24"/>
                <w:szCs w:val="24"/>
                <w:highlight w:val="none"/>
                <w14:textFill>
                  <w14:solidFill>
                    <w14:schemeClr w14:val="tx1"/>
                  </w14:solidFill>
                </w14:textFill>
              </w:rPr>
              <w:t>定期交由有资质单位处置</w:t>
            </w:r>
            <w:r>
              <w:rPr>
                <w:rFonts w:hint="eastAsia" w:cs="Times New Roman"/>
                <w:color w:val="000000" w:themeColor="text1"/>
                <w:sz w:val="24"/>
                <w:szCs w:val="24"/>
                <w:highlight w:val="none"/>
                <w:lang w:eastAsia="zh-CN"/>
                <w14:textFill>
                  <w14:solidFill>
                    <w14:schemeClr w14:val="tx1"/>
                  </w14:solidFill>
                </w14:textFill>
              </w:rPr>
              <w:t>。</w:t>
            </w:r>
          </w:p>
          <w:p w14:paraId="68201891">
            <w:pPr>
              <w:ind w:firstLine="482"/>
              <w:rPr>
                <w:rFonts w:hint="eastAsia" w:cs="Times New Roman"/>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sz w:val="24"/>
                <w:szCs w:val="24"/>
                <w:highlight w:val="none"/>
                <w:lang w:eastAsia="zh-CN"/>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11</w:t>
            </w:r>
            <w:r>
              <w:rPr>
                <w:rFonts w:hint="eastAsia" w:cs="Times New Roman"/>
                <w:b/>
                <w:bCs/>
                <w:color w:val="000000" w:themeColor="text1"/>
                <w:sz w:val="24"/>
                <w:szCs w:val="24"/>
                <w:highlight w:val="none"/>
                <w:lang w:eastAsia="zh-CN"/>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废活性炭</w:t>
            </w:r>
          </w:p>
          <w:p w14:paraId="07589740">
            <w:pPr>
              <w:ind w:firstLine="482"/>
              <w:rPr>
                <w:rFonts w:hint="eastAsia"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活性炭吸附装置中，待活性炭吸附饱和后，需更换活性炭</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。根据《关于强化VOCs治理攻坚着力做好2023年臭氧污染防治工作的通知》（赣环大气委办字[2023]4号）和《江西省一次性活性炭吸附设施管理规范》中相关要求，项目每3个月更换一次活性炭</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根据物料衡算</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，活性炭处理的总</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挥发性有机物</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量</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（TVOC）</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约</w:t>
            </w:r>
            <w:r>
              <w:rPr>
                <w:rFonts w:hint="eastAsia" w:cs="Times New Roman"/>
                <w:color w:val="000000" w:themeColor="text1"/>
                <w:sz w:val="24"/>
                <w:szCs w:val="24"/>
                <w:highlight w:val="none"/>
                <w:lang w:val="en-US" w:eastAsia="zh-CN"/>
                <w14:textFill>
                  <w14:solidFill>
                    <w14:schemeClr w14:val="tx1"/>
                  </w14:solidFill>
                </w14:textFill>
              </w:rPr>
              <w:t>0.886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活性炭对有机废气的吸附容量按20%考虑，即</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1kg的活性炭能吸附0.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kg有机废气，</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则</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废活性炭量=有机废气处理量</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0.886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eastAsia" w:cs="Times New Roman"/>
                <w:color w:val="000000" w:themeColor="text1"/>
                <w:sz w:val="24"/>
                <w:szCs w:val="24"/>
                <w:highlight w:val="none"/>
                <w:lang w:val="en-US" w:eastAsia="zh-CN"/>
                <w14:textFill>
                  <w14:solidFill>
                    <w14:schemeClr w14:val="tx1"/>
                  </w14:solidFill>
                </w14:textFill>
              </w:rPr>
              <w:t>5.316</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t/a。根据《国家危险废物名录》（202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版），废活性炭属HW49其他废物，废物代码为900-039-49的危险废物，定期交由有资质单位处置</w:t>
            </w:r>
            <w:r>
              <w:rPr>
                <w:rFonts w:hint="eastAsia" w:cs="Times New Roman"/>
                <w:color w:val="000000" w:themeColor="text1"/>
                <w:sz w:val="24"/>
                <w:szCs w:val="24"/>
                <w:highlight w:val="none"/>
                <w:lang w:val="en-US" w:eastAsia="zh-CN"/>
                <w14:textFill>
                  <w14:solidFill>
                    <w14:schemeClr w14:val="tx1"/>
                  </w14:solidFill>
                </w14:textFill>
              </w:rPr>
              <w:t>。</w:t>
            </w:r>
          </w:p>
          <w:p w14:paraId="5EBC2FC7">
            <w:pPr>
              <w:ind w:firstLine="482"/>
              <w:rPr>
                <w:rFonts w:hint="eastAsia" w:cs="Times New Roman"/>
                <w:b/>
                <w:bCs/>
                <w:color w:val="000000" w:themeColor="text1"/>
                <w:sz w:val="24"/>
                <w:szCs w:val="24"/>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（12）废机油</w:t>
            </w:r>
          </w:p>
          <w:p w14:paraId="6917AB26">
            <w:pPr>
              <w:pStyle w:val="149"/>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项目设备维修保养过程中会产生废机油，产生量约0.05t/a，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对照《国家危险废物名录（2025年版）》，</w:t>
            </w:r>
            <w:r>
              <w:rPr>
                <w:rFonts w:hint="eastAsia" w:ascii="Times New Roman" w:hAnsi="Times New Roman" w:eastAsia="宋体" w:cs="Times New Roman"/>
                <w:color w:val="000000" w:themeColor="text1"/>
                <w:sz w:val="24"/>
                <w:szCs w:val="24"/>
                <w:highlight w:val="none"/>
                <w14:textFill>
                  <w14:solidFill>
                    <w14:schemeClr w14:val="tx1"/>
                  </w14:solidFill>
                </w14:textFill>
              </w:rPr>
              <w:t>属于危险废物HW08，危废代码：900-217-08，定期交由有资质单位处置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14CF0ACB">
            <w:pPr>
              <w:pStyle w:val="149"/>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13</w:t>
            </w: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废机油桶</w:t>
            </w:r>
          </w:p>
          <w:p w14:paraId="74B47A2F">
            <w:pPr>
              <w:pStyle w:val="149"/>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项目废机油桶产生量约0.003t/a，对照《国家危险废物名录（2025年版）》，</w:t>
            </w:r>
            <w:r>
              <w:rPr>
                <w:rFonts w:hint="eastAsia" w:ascii="Times New Roman" w:hAnsi="Times New Roman" w:eastAsia="宋体" w:cs="Times New Roman"/>
                <w:color w:val="000000" w:themeColor="text1"/>
                <w:sz w:val="24"/>
                <w:szCs w:val="24"/>
                <w:highlight w:val="none"/>
                <w14:textFill>
                  <w14:solidFill>
                    <w14:schemeClr w14:val="tx1"/>
                  </w14:solidFill>
                </w14:textFill>
              </w:rPr>
              <w:t>属于危险废物HW08，危废代码：900-2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49</w:t>
            </w:r>
            <w:r>
              <w:rPr>
                <w:rFonts w:hint="eastAsia" w:ascii="Times New Roman" w:hAnsi="Times New Roman" w:eastAsia="宋体" w:cs="Times New Roman"/>
                <w:color w:val="000000" w:themeColor="text1"/>
                <w:sz w:val="24"/>
                <w:szCs w:val="24"/>
                <w:highlight w:val="none"/>
                <w14:textFill>
                  <w14:solidFill>
                    <w14:schemeClr w14:val="tx1"/>
                  </w14:solidFill>
                </w14:textFill>
              </w:rPr>
              <w:t>-08，定期交由有资质单位处置</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1B91B87D">
            <w:pPr>
              <w:pStyle w:val="149"/>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14</w:t>
            </w: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含油废抹布及劳保用品</w:t>
            </w:r>
          </w:p>
          <w:p w14:paraId="047FD2E6">
            <w:pPr>
              <w:pStyle w:val="149"/>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项目设备维修保养过程会产生含油废抹布及劳保用品，产生量约0.005t/a，对照《国家危险废物名录（2025年版）》，</w:t>
            </w:r>
            <w:r>
              <w:rPr>
                <w:rFonts w:hint="eastAsia" w:ascii="Times New Roman" w:hAnsi="Times New Roman" w:eastAsia="宋体" w:cs="Times New Roman"/>
                <w:color w:val="000000" w:themeColor="text1"/>
                <w:sz w:val="24"/>
                <w:szCs w:val="24"/>
                <w:highlight w:val="none"/>
                <w14:textFill>
                  <w14:solidFill>
                    <w14:schemeClr w14:val="tx1"/>
                  </w14:solidFill>
                </w14:textFill>
              </w:rPr>
              <w:t>属于危险废物HW</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49</w:t>
            </w:r>
            <w:r>
              <w:rPr>
                <w:rFonts w:hint="eastAsia" w:ascii="Times New Roman" w:hAnsi="Times New Roman" w:eastAsia="宋体" w:cs="Times New Roman"/>
                <w:color w:val="000000" w:themeColor="text1"/>
                <w:sz w:val="24"/>
                <w:szCs w:val="24"/>
                <w:highlight w:val="none"/>
                <w14:textFill>
                  <w14:solidFill>
                    <w14:schemeClr w14:val="tx1"/>
                  </w14:solidFill>
                </w14:textFill>
              </w:rPr>
              <w:t>，危废代码：900-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041</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49</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收集后</w:t>
            </w:r>
            <w:r>
              <w:rPr>
                <w:rFonts w:hint="eastAsia" w:ascii="Times New Roman" w:hAnsi="Times New Roman" w:eastAsia="宋体" w:cs="Times New Roman"/>
                <w:color w:val="000000" w:themeColor="text1"/>
                <w:sz w:val="24"/>
                <w:szCs w:val="24"/>
                <w:highlight w:val="none"/>
                <w14:textFill>
                  <w14:solidFill>
                    <w14:schemeClr w14:val="tx1"/>
                  </w14:solidFill>
                </w14:textFill>
              </w:rPr>
              <w:t>定期交由有资质单位处置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2E58B00B">
            <w:pPr>
              <w:ind w:firstLine="482"/>
              <w:rPr>
                <w:b/>
                <w:bCs/>
                <w:color w:val="000000" w:themeColor="text1"/>
                <w14:textFill>
                  <w14:solidFill>
                    <w14:schemeClr w14:val="tx1"/>
                  </w14:solidFill>
                </w14:textFill>
              </w:rPr>
            </w:pPr>
            <w:r>
              <w:rPr>
                <w:b/>
                <w:bCs/>
                <w:color w:val="000000" w:themeColor="text1"/>
                <w14:textFill>
                  <w14:solidFill>
                    <w14:schemeClr w14:val="tx1"/>
                  </w14:solidFill>
                </w14:textFill>
              </w:rPr>
              <w:t>（1</w:t>
            </w:r>
            <w:r>
              <w:rPr>
                <w:rFonts w:hint="eastAsia"/>
                <w:b/>
                <w:bCs/>
                <w:color w:val="000000" w:themeColor="text1"/>
                <w:lang w:val="en-US" w:eastAsia="zh-CN"/>
                <w14:textFill>
                  <w14:solidFill>
                    <w14:schemeClr w14:val="tx1"/>
                  </w14:solidFill>
                </w14:textFill>
              </w:rPr>
              <w:t>5</w:t>
            </w:r>
            <w:r>
              <w:rPr>
                <w:b/>
                <w:bCs/>
                <w:color w:val="000000" w:themeColor="text1"/>
                <w14:textFill>
                  <w14:solidFill>
                    <w14:schemeClr w14:val="tx1"/>
                  </w14:solidFill>
                </w14:textFill>
              </w:rPr>
              <w:t>）生活垃圾</w:t>
            </w:r>
          </w:p>
          <w:p w14:paraId="34ACC29A">
            <w:pPr>
              <w:ind w:firstLine="480"/>
              <w:rPr>
                <w:color w:val="000000" w:themeColor="text1"/>
                <w14:textFill>
                  <w14:solidFill>
                    <w14:schemeClr w14:val="tx1"/>
                  </w14:solidFill>
                </w14:textFill>
              </w:rPr>
            </w:pPr>
            <w:r>
              <w:rPr>
                <w:color w:val="000000" w:themeColor="text1"/>
                <w14:textFill>
                  <w14:solidFill>
                    <w14:schemeClr w14:val="tx1"/>
                  </w14:solidFill>
                </w14:textFill>
              </w:rPr>
              <w:t>项目劳动定员</w:t>
            </w:r>
            <w:r>
              <w:rPr>
                <w:rFonts w:hint="eastAsia"/>
                <w:color w:val="000000" w:themeColor="text1"/>
                <w14:textFill>
                  <w14:solidFill>
                    <w14:schemeClr w14:val="tx1"/>
                  </w14:solidFill>
                </w14:textFill>
              </w:rPr>
              <w:t>91</w:t>
            </w:r>
            <w:r>
              <w:rPr>
                <w:color w:val="000000" w:themeColor="text1"/>
                <w14:textFill>
                  <w14:solidFill>
                    <w14:schemeClr w14:val="tx1"/>
                  </w14:solidFill>
                </w14:textFill>
              </w:rPr>
              <w:t>人，年工作</w:t>
            </w:r>
            <w:r>
              <w:rPr>
                <w:rFonts w:hint="eastAsia"/>
                <w:color w:val="000000" w:themeColor="text1"/>
                <w14:textFill>
                  <w14:solidFill>
                    <w14:schemeClr w14:val="tx1"/>
                  </w14:solidFill>
                </w14:textFill>
              </w:rPr>
              <w:t>300</w:t>
            </w:r>
            <w:r>
              <w:rPr>
                <w:color w:val="000000" w:themeColor="text1"/>
                <w14:textFill>
                  <w14:solidFill>
                    <w14:schemeClr w14:val="tx1"/>
                  </w14:solidFill>
                </w14:textFill>
              </w:rPr>
              <w:t>天，职工日常生活垃圾产生量按每人每天0.5kg计，则本项目生活垃圾产生量约</w:t>
            </w:r>
            <w:r>
              <w:rPr>
                <w:rFonts w:hint="eastAsia"/>
                <w:color w:val="000000" w:themeColor="text1"/>
                <w14:textFill>
                  <w14:solidFill>
                    <w14:schemeClr w14:val="tx1"/>
                  </w14:solidFill>
                </w14:textFill>
              </w:rPr>
              <w:t xml:space="preserve">13.65 </w:t>
            </w:r>
            <w:r>
              <w:rPr>
                <w:color w:val="000000" w:themeColor="text1"/>
                <w14:textFill>
                  <w14:solidFill>
                    <w14:schemeClr w14:val="tx1"/>
                  </w14:solidFill>
                </w14:textFill>
              </w:rPr>
              <w:t>t/a。生活垃圾委托环卫部门统一</w:t>
            </w:r>
            <w:r>
              <w:rPr>
                <w:rFonts w:hint="eastAsia"/>
                <w:color w:val="000000" w:themeColor="text1"/>
                <w:lang w:val="en-US" w:eastAsia="zh-CN"/>
                <w14:textFill>
                  <w14:solidFill>
                    <w14:schemeClr w14:val="tx1"/>
                  </w14:solidFill>
                </w14:textFill>
              </w:rPr>
              <w:t>处理</w:t>
            </w:r>
            <w:r>
              <w:rPr>
                <w:color w:val="000000" w:themeColor="text1"/>
                <w14:textFill>
                  <w14:solidFill>
                    <w14:schemeClr w14:val="tx1"/>
                  </w14:solidFill>
                </w14:textFill>
              </w:rPr>
              <w:t>。</w:t>
            </w:r>
          </w:p>
          <w:p w14:paraId="5E18B598">
            <w:pPr>
              <w:pStyle w:val="57"/>
              <w:numPr>
                <w:ilvl w:val="3"/>
                <w:numId w:val="19"/>
              </w:numP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项目</w:t>
            </w:r>
            <w:r>
              <w:rPr>
                <w:rFonts w:hint="eastAsia" w:eastAsia="宋体"/>
                <w:color w:val="000000" w:themeColor="text1"/>
                <w:lang w:val="en-US" w:eastAsia="zh-CN"/>
                <w14:textFill>
                  <w14:solidFill>
                    <w14:schemeClr w14:val="tx1"/>
                  </w14:solidFill>
                </w14:textFill>
              </w:rPr>
              <w:t>运营期固废属性判定及处置情况</w:t>
            </w:r>
            <w:r>
              <w:rPr>
                <w:rFonts w:hint="eastAsia" w:eastAsia="宋体"/>
                <w:color w:val="000000" w:themeColor="text1"/>
                <w14:textFill>
                  <w14:solidFill>
                    <w14:schemeClr w14:val="tx1"/>
                  </w14:solidFill>
                </w14:textFill>
              </w:rPr>
              <w:t>表</w:t>
            </w:r>
          </w:p>
          <w:tbl>
            <w:tblPr>
              <w:tblStyle w:val="37"/>
              <w:tblW w:w="12273"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256"/>
              <w:gridCol w:w="1350"/>
              <w:gridCol w:w="849"/>
              <w:gridCol w:w="1153"/>
              <w:gridCol w:w="1146"/>
              <w:gridCol w:w="1146"/>
              <w:gridCol w:w="800"/>
              <w:gridCol w:w="871"/>
              <w:gridCol w:w="1514"/>
              <w:gridCol w:w="962"/>
              <w:gridCol w:w="1226"/>
            </w:tblGrid>
            <w:tr w14:paraId="1120171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tblHeader/>
                <w:jc w:val="center"/>
              </w:trPr>
              <w:tc>
                <w:tcPr>
                  <w:tcW w:w="1256" w:type="dxa"/>
                  <w:tcBorders>
                    <w:tl2br w:val="nil"/>
                    <w:tr2bl w:val="nil"/>
                  </w:tcBorders>
                  <w:noWrap w:val="0"/>
                  <w:vAlign w:val="center"/>
                </w:tcPr>
                <w:p w14:paraId="5E31A24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固废名称</w:t>
                  </w:r>
                </w:p>
              </w:tc>
              <w:tc>
                <w:tcPr>
                  <w:tcW w:w="1350" w:type="dxa"/>
                  <w:tcBorders>
                    <w:tl2br w:val="nil"/>
                    <w:tr2bl w:val="nil"/>
                  </w:tcBorders>
                  <w:noWrap w:val="0"/>
                  <w:vAlign w:val="center"/>
                </w:tcPr>
                <w:p w14:paraId="0D699E0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产生工序及装置</w:t>
                  </w:r>
                </w:p>
              </w:tc>
              <w:tc>
                <w:tcPr>
                  <w:tcW w:w="849" w:type="dxa"/>
                  <w:tcBorders>
                    <w:tl2br w:val="nil"/>
                    <w:tr2bl w:val="nil"/>
                  </w:tcBorders>
                  <w:noWrap w:val="0"/>
                  <w:vAlign w:val="center"/>
                </w:tcPr>
                <w:p w14:paraId="3CF64B2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形态</w:t>
                  </w:r>
                </w:p>
              </w:tc>
              <w:tc>
                <w:tcPr>
                  <w:tcW w:w="1153" w:type="dxa"/>
                  <w:tcBorders>
                    <w:tl2br w:val="nil"/>
                    <w:tr2bl w:val="nil"/>
                  </w:tcBorders>
                  <w:noWrap w:val="0"/>
                  <w:vAlign w:val="center"/>
                </w:tcPr>
                <w:p w14:paraId="27FDC92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主要成分</w:t>
                  </w:r>
                </w:p>
              </w:tc>
              <w:tc>
                <w:tcPr>
                  <w:tcW w:w="1146" w:type="dxa"/>
                  <w:tcBorders>
                    <w:tl2br w:val="nil"/>
                    <w:tr2bl w:val="nil"/>
                  </w:tcBorders>
                  <w:noWrap w:val="0"/>
                  <w:vAlign w:val="center"/>
                </w:tcPr>
                <w:p w14:paraId="0AD0B12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属性</w:t>
                  </w:r>
                </w:p>
              </w:tc>
              <w:tc>
                <w:tcPr>
                  <w:tcW w:w="1146" w:type="dxa"/>
                  <w:tcBorders>
                    <w:tl2br w:val="nil"/>
                    <w:tr2bl w:val="nil"/>
                  </w:tcBorders>
                  <w:noWrap w:val="0"/>
                  <w:vAlign w:val="center"/>
                </w:tcPr>
                <w:p w14:paraId="5C6EDE6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危险特性判定方法</w:t>
                  </w:r>
                </w:p>
              </w:tc>
              <w:tc>
                <w:tcPr>
                  <w:tcW w:w="800" w:type="dxa"/>
                  <w:tcBorders>
                    <w:tl2br w:val="nil"/>
                    <w:tr2bl w:val="nil"/>
                  </w:tcBorders>
                  <w:noWrap w:val="0"/>
                  <w:vAlign w:val="center"/>
                </w:tcPr>
                <w:p w14:paraId="0CB04A2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危险</w:t>
                  </w:r>
                </w:p>
                <w:p w14:paraId="416B7E8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特性</w:t>
                  </w:r>
                </w:p>
              </w:tc>
              <w:tc>
                <w:tcPr>
                  <w:tcW w:w="871" w:type="dxa"/>
                  <w:tcBorders>
                    <w:tl2br w:val="nil"/>
                    <w:tr2bl w:val="nil"/>
                  </w:tcBorders>
                  <w:noWrap w:val="0"/>
                  <w:vAlign w:val="center"/>
                </w:tcPr>
                <w:p w14:paraId="1235D2E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固废</w:t>
                  </w:r>
                </w:p>
                <w:p w14:paraId="4D808F2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类别</w:t>
                  </w:r>
                </w:p>
              </w:tc>
              <w:tc>
                <w:tcPr>
                  <w:tcW w:w="1514" w:type="dxa"/>
                  <w:tcBorders>
                    <w:tl2br w:val="nil"/>
                    <w:tr2bl w:val="nil"/>
                  </w:tcBorders>
                  <w:noWrap w:val="0"/>
                  <w:vAlign w:val="center"/>
                </w:tcPr>
                <w:p w14:paraId="58A9578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固废代码</w:t>
                  </w:r>
                </w:p>
              </w:tc>
              <w:tc>
                <w:tcPr>
                  <w:tcW w:w="962" w:type="dxa"/>
                  <w:tcBorders>
                    <w:tl2br w:val="nil"/>
                    <w:tr2bl w:val="nil"/>
                  </w:tcBorders>
                  <w:noWrap w:val="0"/>
                  <w:vAlign w:val="center"/>
                </w:tcPr>
                <w:p w14:paraId="6DD1D44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产生量t/a</w:t>
                  </w:r>
                </w:p>
              </w:tc>
              <w:tc>
                <w:tcPr>
                  <w:tcW w:w="1226" w:type="dxa"/>
                  <w:tcBorders>
                    <w:tl2br w:val="nil"/>
                    <w:tr2bl w:val="nil"/>
                  </w:tcBorders>
                  <w:noWrap w:val="0"/>
                  <w:vAlign w:val="center"/>
                </w:tcPr>
                <w:p w14:paraId="4CD6853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bCs w:val="0"/>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highlight w:val="none"/>
                      <w:vertAlign w:val="baseline"/>
                      <w:lang w:val="en-US" w:eastAsia="zh-CN"/>
                      <w14:textFill>
                        <w14:solidFill>
                          <w14:schemeClr w14:val="tx1"/>
                        </w14:solidFill>
                      </w14:textFill>
                    </w:rPr>
                    <w:t>处置去向</w:t>
                  </w:r>
                </w:p>
              </w:tc>
            </w:tr>
            <w:tr w14:paraId="474CCD0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326FAD8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废包装袋</w:t>
                  </w:r>
                </w:p>
              </w:tc>
              <w:tc>
                <w:tcPr>
                  <w:tcW w:w="1350" w:type="dxa"/>
                  <w:tcBorders>
                    <w:tl2br w:val="nil"/>
                    <w:tr2bl w:val="nil"/>
                  </w:tcBorders>
                  <w:noWrap w:val="0"/>
                  <w:vAlign w:val="center"/>
                </w:tcPr>
                <w:p w14:paraId="5F741AA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原料包装</w:t>
                  </w:r>
                </w:p>
              </w:tc>
              <w:tc>
                <w:tcPr>
                  <w:tcW w:w="849" w:type="dxa"/>
                  <w:tcBorders>
                    <w:tl2br w:val="nil"/>
                    <w:tr2bl w:val="nil"/>
                  </w:tcBorders>
                  <w:noWrap w:val="0"/>
                  <w:vAlign w:val="center"/>
                </w:tcPr>
                <w:p w14:paraId="297DFBC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316D89CC">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废塑料袋</w:t>
                  </w:r>
                </w:p>
              </w:tc>
              <w:tc>
                <w:tcPr>
                  <w:tcW w:w="1146" w:type="dxa"/>
                  <w:tcBorders>
                    <w:tl2br w:val="nil"/>
                    <w:tr2bl w:val="nil"/>
                  </w:tcBorders>
                  <w:noWrap w:val="0"/>
                  <w:vAlign w:val="center"/>
                </w:tcPr>
                <w:p w14:paraId="610A709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一般工业固废</w:t>
                  </w:r>
                </w:p>
              </w:tc>
              <w:tc>
                <w:tcPr>
                  <w:tcW w:w="1146" w:type="dxa"/>
                  <w:vMerge w:val="restart"/>
                  <w:tcBorders>
                    <w:tl2br w:val="nil"/>
                    <w:tr2bl w:val="nil"/>
                  </w:tcBorders>
                  <w:noWrap w:val="0"/>
                  <w:vAlign w:val="center"/>
                </w:tcPr>
                <w:p w14:paraId="4E26BF0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kern w:val="0"/>
                      <w:sz w:val="21"/>
                      <w:szCs w:val="21"/>
                      <w14:textFill>
                        <w14:solidFill>
                          <w14:schemeClr w14:val="tx1"/>
                        </w14:solidFill>
                      </w14:textFill>
                    </w:rPr>
                    <w:t>《国家危险废物名录》</w:t>
                  </w:r>
                  <w:r>
                    <w:rPr>
                      <w:rFonts w:hint="default" w:ascii="Times New Roman" w:hAnsi="Times New Roman" w:eastAsia="宋体" w:cs="Times New Roman"/>
                      <w:b w:val="0"/>
                      <w:bCs/>
                      <w:color w:val="000000" w:themeColor="text1"/>
                      <w:kern w:val="0"/>
                      <w:sz w:val="21"/>
                      <w:szCs w:val="21"/>
                      <w:lang w:eastAsia="zh-CN"/>
                      <w14:textFill>
                        <w14:solidFill>
                          <w14:schemeClr w14:val="tx1"/>
                        </w14:solidFill>
                      </w14:textFill>
                    </w:rPr>
                    <w:t>（</w:t>
                  </w:r>
                  <w:r>
                    <w:rPr>
                      <w:rFonts w:hint="default" w:ascii="Times New Roman" w:hAnsi="Times New Roman" w:eastAsia="宋体" w:cs="Times New Roman"/>
                      <w:b w:val="0"/>
                      <w:bCs/>
                      <w:color w:val="000000" w:themeColor="text1"/>
                      <w:kern w:val="0"/>
                      <w:sz w:val="21"/>
                      <w:szCs w:val="21"/>
                      <w:lang w:val="en-US" w:eastAsia="zh-CN"/>
                      <w14:textFill>
                        <w14:solidFill>
                          <w14:schemeClr w14:val="tx1"/>
                        </w14:solidFill>
                      </w14:textFill>
                    </w:rPr>
                    <w:t>202</w:t>
                  </w:r>
                  <w:r>
                    <w:rPr>
                      <w:rFonts w:hint="eastAsia" w:cs="Times New Roman"/>
                      <w:b w:val="0"/>
                      <w:bCs/>
                      <w:color w:val="000000" w:themeColor="text1"/>
                      <w:kern w:val="0"/>
                      <w:sz w:val="21"/>
                      <w:szCs w:val="21"/>
                      <w:lang w:val="en-US" w:eastAsia="zh-CN"/>
                      <w14:textFill>
                        <w14:solidFill>
                          <w14:schemeClr w14:val="tx1"/>
                        </w14:solidFill>
                      </w14:textFill>
                    </w:rPr>
                    <w:t>5年版</w:t>
                  </w:r>
                  <w:r>
                    <w:rPr>
                      <w:rFonts w:hint="default" w:ascii="Times New Roman" w:hAnsi="Times New Roman" w:eastAsia="宋体" w:cs="Times New Roman"/>
                      <w:b w:val="0"/>
                      <w:bCs/>
                      <w:color w:val="000000" w:themeColor="text1"/>
                      <w:kern w:val="0"/>
                      <w:sz w:val="21"/>
                      <w:szCs w:val="21"/>
                      <w:lang w:eastAsia="zh-CN"/>
                      <w14:textFill>
                        <w14:solidFill>
                          <w14:schemeClr w14:val="tx1"/>
                        </w14:solidFill>
                      </w14:textFill>
                    </w:rPr>
                    <w:t>）</w:t>
                  </w:r>
                </w:p>
              </w:tc>
              <w:tc>
                <w:tcPr>
                  <w:tcW w:w="800" w:type="dxa"/>
                  <w:tcBorders>
                    <w:tl2br w:val="nil"/>
                    <w:tr2bl w:val="nil"/>
                  </w:tcBorders>
                  <w:noWrap w:val="0"/>
                  <w:vAlign w:val="center"/>
                </w:tcPr>
                <w:p w14:paraId="2595AE6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w:t>
                  </w:r>
                </w:p>
              </w:tc>
              <w:tc>
                <w:tcPr>
                  <w:tcW w:w="871" w:type="dxa"/>
                  <w:tcBorders>
                    <w:tl2br w:val="nil"/>
                    <w:tr2bl w:val="nil"/>
                  </w:tcBorders>
                  <w:noWrap w:val="0"/>
                  <w:vAlign w:val="center"/>
                </w:tcPr>
                <w:p w14:paraId="44B2831A">
                  <w:pPr>
                    <w:pStyle w:val="75"/>
                    <w:pageBreakBefore w:val="0"/>
                    <w:widowControl w:val="0"/>
                    <w:kinsoku/>
                    <w:wordWrap/>
                    <w:overflowPunct/>
                    <w:topLinePunct w:val="0"/>
                    <w:autoSpaceDE/>
                    <w:autoSpaceDN/>
                    <w:bidi w:val="0"/>
                    <w:spacing w:line="240" w:lineRule="auto"/>
                    <w:ind w:firstLine="0" w:firstLineChars="0"/>
                    <w:textAlignment w:val="auto"/>
                    <w:rPr>
                      <w:rFonts w:hint="default"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t>SW17</w:t>
                  </w:r>
                </w:p>
              </w:tc>
              <w:tc>
                <w:tcPr>
                  <w:tcW w:w="1514" w:type="dxa"/>
                  <w:tcBorders>
                    <w:tl2br w:val="nil"/>
                    <w:tr2bl w:val="nil"/>
                  </w:tcBorders>
                  <w:noWrap w:val="0"/>
                  <w:vAlign w:val="center"/>
                </w:tcPr>
                <w:p w14:paraId="573AA9E5">
                  <w:pPr>
                    <w:pStyle w:val="75"/>
                    <w:pageBreakBefore w:val="0"/>
                    <w:widowControl w:val="0"/>
                    <w:kinsoku/>
                    <w:wordWrap/>
                    <w:overflowPunct/>
                    <w:topLinePunct w:val="0"/>
                    <w:autoSpaceDE/>
                    <w:autoSpaceDN/>
                    <w:bidi w:val="0"/>
                    <w:spacing w:line="240" w:lineRule="auto"/>
                    <w:ind w:firstLine="0" w:firstLineChars="0"/>
                    <w:textAlignment w:val="auto"/>
                    <w:rPr>
                      <w:rFonts w:hint="default"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900-0</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03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-S17</w:t>
                  </w:r>
                </w:p>
              </w:tc>
              <w:tc>
                <w:tcPr>
                  <w:tcW w:w="962" w:type="dxa"/>
                  <w:tcBorders>
                    <w:tl2br w:val="nil"/>
                    <w:tr2bl w:val="nil"/>
                  </w:tcBorders>
                  <w:noWrap w:val="0"/>
                  <w:vAlign w:val="center"/>
                </w:tcPr>
                <w:p w14:paraId="07041B3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0.166</w:t>
                  </w:r>
                </w:p>
              </w:tc>
              <w:tc>
                <w:tcPr>
                  <w:tcW w:w="1226" w:type="dxa"/>
                  <w:tcBorders>
                    <w:tl2br w:val="nil"/>
                    <w:tr2bl w:val="nil"/>
                  </w:tcBorders>
                  <w:noWrap w:val="0"/>
                  <w:vAlign w:val="center"/>
                </w:tcPr>
                <w:p w14:paraId="0A9BC83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外售综合利用</w:t>
                  </w:r>
                </w:p>
              </w:tc>
            </w:tr>
            <w:tr w14:paraId="2B8600E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5973C45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废模具</w:t>
                  </w:r>
                </w:p>
              </w:tc>
              <w:tc>
                <w:tcPr>
                  <w:tcW w:w="1350" w:type="dxa"/>
                  <w:tcBorders>
                    <w:tl2br w:val="nil"/>
                    <w:tr2bl w:val="nil"/>
                  </w:tcBorders>
                  <w:noWrap w:val="0"/>
                  <w:vAlign w:val="center"/>
                </w:tcPr>
                <w:p w14:paraId="7A696E0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脱模</w:t>
                  </w:r>
                </w:p>
              </w:tc>
              <w:tc>
                <w:tcPr>
                  <w:tcW w:w="849" w:type="dxa"/>
                  <w:tcBorders>
                    <w:tl2br w:val="nil"/>
                    <w:tr2bl w:val="nil"/>
                  </w:tcBorders>
                  <w:noWrap w:val="0"/>
                  <w:vAlign w:val="center"/>
                </w:tcPr>
                <w:p w14:paraId="7A40C8E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66730C2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废硅胶、废石膏</w:t>
                  </w:r>
                </w:p>
              </w:tc>
              <w:tc>
                <w:tcPr>
                  <w:tcW w:w="1146" w:type="dxa"/>
                  <w:tcBorders>
                    <w:tl2br w:val="nil"/>
                    <w:tr2bl w:val="nil"/>
                  </w:tcBorders>
                  <w:noWrap w:val="0"/>
                  <w:vAlign w:val="center"/>
                </w:tcPr>
                <w:p w14:paraId="5998D71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一般工业固废</w:t>
                  </w:r>
                </w:p>
              </w:tc>
              <w:tc>
                <w:tcPr>
                  <w:tcW w:w="1146" w:type="dxa"/>
                  <w:vMerge w:val="continue"/>
                  <w:tcBorders>
                    <w:tl2br w:val="nil"/>
                    <w:tr2bl w:val="nil"/>
                  </w:tcBorders>
                  <w:noWrap w:val="0"/>
                  <w:vAlign w:val="center"/>
                </w:tcPr>
                <w:p w14:paraId="32441DB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0570155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w:t>
                  </w:r>
                </w:p>
              </w:tc>
              <w:tc>
                <w:tcPr>
                  <w:tcW w:w="871" w:type="dxa"/>
                  <w:tcBorders>
                    <w:tl2br w:val="nil"/>
                    <w:tr2bl w:val="nil"/>
                  </w:tcBorders>
                  <w:noWrap w:val="0"/>
                  <w:vAlign w:val="center"/>
                </w:tcPr>
                <w:p w14:paraId="7957CFEA">
                  <w:pPr>
                    <w:pStyle w:val="75"/>
                    <w:pageBreakBefore w:val="0"/>
                    <w:widowControl w:val="0"/>
                    <w:kinsoku/>
                    <w:wordWrap/>
                    <w:overflowPunct/>
                    <w:topLinePunct w:val="0"/>
                    <w:autoSpaceDE/>
                    <w:autoSpaceDN/>
                    <w:bidi w:val="0"/>
                    <w:spacing w:line="240" w:lineRule="auto"/>
                    <w:ind w:firstLine="0" w:firstLineChars="0"/>
                    <w:textAlignment w:val="auto"/>
                    <w:rPr>
                      <w:rFonts w:hint="default"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t>SW</w:t>
                  </w:r>
                  <w:r>
                    <w:rPr>
                      <w:rFonts w:hint="eastAsia" w:ascii="Times New Roman" w:cs="Times New Roman"/>
                      <w:b w:val="0"/>
                      <w:bCs/>
                      <w:color w:val="000000" w:themeColor="text1"/>
                      <w:spacing w:val="4"/>
                      <w:kern w:val="0"/>
                      <w:sz w:val="21"/>
                      <w:szCs w:val="21"/>
                      <w:highlight w:val="none"/>
                      <w:lang w:val="en-US" w:eastAsia="zh-CN" w:bidi="ar-SA"/>
                      <w14:textFill>
                        <w14:solidFill>
                          <w14:schemeClr w14:val="tx1"/>
                        </w14:solidFill>
                      </w14:textFill>
                    </w:rPr>
                    <w:t>59</w:t>
                  </w:r>
                </w:p>
              </w:tc>
              <w:tc>
                <w:tcPr>
                  <w:tcW w:w="1514" w:type="dxa"/>
                  <w:tcBorders>
                    <w:tl2br w:val="nil"/>
                    <w:tr2bl w:val="nil"/>
                  </w:tcBorders>
                  <w:noWrap w:val="0"/>
                  <w:vAlign w:val="center"/>
                </w:tcPr>
                <w:p w14:paraId="6D0A3EE5">
                  <w:pPr>
                    <w:pStyle w:val="75"/>
                    <w:pageBreakBefore w:val="0"/>
                    <w:widowControl w:val="0"/>
                    <w:kinsoku/>
                    <w:wordWrap/>
                    <w:overflowPunct/>
                    <w:topLinePunct w:val="0"/>
                    <w:autoSpaceDE/>
                    <w:autoSpaceDN/>
                    <w:bidi w:val="0"/>
                    <w:spacing w:line="240" w:lineRule="auto"/>
                    <w:ind w:firstLine="0" w:firstLineChars="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900-099-S</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59</w:t>
                  </w:r>
                </w:p>
              </w:tc>
              <w:tc>
                <w:tcPr>
                  <w:tcW w:w="962" w:type="dxa"/>
                  <w:tcBorders>
                    <w:tl2br w:val="nil"/>
                    <w:tr2bl w:val="nil"/>
                  </w:tcBorders>
                  <w:noWrap w:val="0"/>
                  <w:vAlign w:val="center"/>
                </w:tcPr>
                <w:p w14:paraId="3B97A89C">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4.000</w:t>
                  </w:r>
                </w:p>
              </w:tc>
              <w:tc>
                <w:tcPr>
                  <w:tcW w:w="1226" w:type="dxa"/>
                  <w:tcBorders>
                    <w:tl2br w:val="nil"/>
                    <w:tr2bl w:val="nil"/>
                  </w:tcBorders>
                  <w:noWrap w:val="0"/>
                  <w:vAlign w:val="center"/>
                </w:tcPr>
                <w:p w14:paraId="62DB42A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外售综合利用</w:t>
                  </w:r>
                </w:p>
              </w:tc>
            </w:tr>
            <w:tr w14:paraId="26CBE7A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3262ABA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边角料</w:t>
                  </w:r>
                </w:p>
              </w:tc>
              <w:tc>
                <w:tcPr>
                  <w:tcW w:w="1350" w:type="dxa"/>
                  <w:tcBorders>
                    <w:tl2br w:val="nil"/>
                    <w:tr2bl w:val="nil"/>
                  </w:tcBorders>
                  <w:noWrap w:val="0"/>
                  <w:vAlign w:val="center"/>
                </w:tcPr>
                <w:p w14:paraId="300760D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修边</w:t>
                  </w:r>
                </w:p>
              </w:tc>
              <w:tc>
                <w:tcPr>
                  <w:tcW w:w="849" w:type="dxa"/>
                  <w:tcBorders>
                    <w:tl2br w:val="nil"/>
                    <w:tr2bl w:val="nil"/>
                  </w:tcBorders>
                  <w:noWrap w:val="0"/>
                  <w:vAlign w:val="center"/>
                </w:tcPr>
                <w:p w14:paraId="112EFE6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4A82AF1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废树脂</w:t>
                  </w:r>
                </w:p>
              </w:tc>
              <w:tc>
                <w:tcPr>
                  <w:tcW w:w="1146" w:type="dxa"/>
                  <w:tcBorders>
                    <w:tl2br w:val="nil"/>
                    <w:tr2bl w:val="nil"/>
                  </w:tcBorders>
                  <w:noWrap w:val="0"/>
                  <w:vAlign w:val="center"/>
                </w:tcPr>
                <w:p w14:paraId="68FC27A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一般工业固废</w:t>
                  </w:r>
                </w:p>
              </w:tc>
              <w:tc>
                <w:tcPr>
                  <w:tcW w:w="1146" w:type="dxa"/>
                  <w:vMerge w:val="continue"/>
                  <w:tcBorders>
                    <w:tl2br w:val="nil"/>
                    <w:tr2bl w:val="nil"/>
                  </w:tcBorders>
                  <w:noWrap w:val="0"/>
                  <w:vAlign w:val="center"/>
                </w:tcPr>
                <w:p w14:paraId="790D5D1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0884641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w:t>
                  </w:r>
                </w:p>
              </w:tc>
              <w:tc>
                <w:tcPr>
                  <w:tcW w:w="871" w:type="dxa"/>
                  <w:tcBorders>
                    <w:tl2br w:val="nil"/>
                    <w:tr2bl w:val="nil"/>
                  </w:tcBorders>
                  <w:noWrap w:val="0"/>
                  <w:vAlign w:val="center"/>
                </w:tcPr>
                <w:p w14:paraId="2F71C6B2">
                  <w:pPr>
                    <w:pStyle w:val="75"/>
                    <w:pageBreakBefore w:val="0"/>
                    <w:widowControl w:val="0"/>
                    <w:kinsoku/>
                    <w:wordWrap/>
                    <w:overflowPunct/>
                    <w:topLinePunct w:val="0"/>
                    <w:autoSpaceDE/>
                    <w:autoSpaceDN/>
                    <w:bidi w:val="0"/>
                    <w:spacing w:line="240" w:lineRule="auto"/>
                    <w:ind w:firstLine="0" w:firstLineChars="0"/>
                    <w:textAlignment w:val="auto"/>
                    <w:rPr>
                      <w:rFonts w:hint="default"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t>SW</w:t>
                  </w:r>
                  <w:r>
                    <w:rPr>
                      <w:rFonts w:hint="eastAsia" w:ascii="Times New Roman" w:cs="Times New Roman"/>
                      <w:b w:val="0"/>
                      <w:bCs/>
                      <w:color w:val="000000" w:themeColor="text1"/>
                      <w:spacing w:val="4"/>
                      <w:kern w:val="0"/>
                      <w:sz w:val="21"/>
                      <w:szCs w:val="21"/>
                      <w:highlight w:val="none"/>
                      <w:lang w:val="en-US" w:eastAsia="zh-CN" w:bidi="ar-SA"/>
                      <w14:textFill>
                        <w14:solidFill>
                          <w14:schemeClr w14:val="tx1"/>
                        </w14:solidFill>
                      </w14:textFill>
                    </w:rPr>
                    <w:t>59</w:t>
                  </w:r>
                </w:p>
              </w:tc>
              <w:tc>
                <w:tcPr>
                  <w:tcW w:w="1514" w:type="dxa"/>
                  <w:tcBorders>
                    <w:tl2br w:val="nil"/>
                    <w:tr2bl w:val="nil"/>
                  </w:tcBorders>
                  <w:noWrap w:val="0"/>
                  <w:vAlign w:val="center"/>
                </w:tcPr>
                <w:p w14:paraId="052818FF">
                  <w:pPr>
                    <w:pStyle w:val="75"/>
                    <w:pageBreakBefore w:val="0"/>
                    <w:widowControl w:val="0"/>
                    <w:kinsoku/>
                    <w:wordWrap/>
                    <w:overflowPunct/>
                    <w:topLinePunct w:val="0"/>
                    <w:autoSpaceDE/>
                    <w:autoSpaceDN/>
                    <w:bidi w:val="0"/>
                    <w:spacing w:line="240" w:lineRule="auto"/>
                    <w:ind w:firstLine="0" w:firstLineChars="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900-099-S</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59</w:t>
                  </w:r>
                </w:p>
              </w:tc>
              <w:tc>
                <w:tcPr>
                  <w:tcW w:w="962" w:type="dxa"/>
                  <w:tcBorders>
                    <w:tl2br w:val="nil"/>
                    <w:tr2bl w:val="nil"/>
                  </w:tcBorders>
                  <w:noWrap w:val="0"/>
                  <w:vAlign w:val="center"/>
                </w:tcPr>
                <w:p w14:paraId="1CAC45D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w:t>
                  </w: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450</w:t>
                  </w:r>
                </w:p>
              </w:tc>
              <w:tc>
                <w:tcPr>
                  <w:tcW w:w="1226" w:type="dxa"/>
                  <w:tcBorders>
                    <w:tl2br w:val="nil"/>
                    <w:tr2bl w:val="nil"/>
                  </w:tcBorders>
                  <w:noWrap w:val="0"/>
                  <w:vAlign w:val="center"/>
                </w:tcPr>
                <w:p w14:paraId="338A06F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外售综合利用</w:t>
                  </w:r>
                </w:p>
              </w:tc>
            </w:tr>
            <w:tr w14:paraId="2FA567C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200037A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布袋除尘收集尘</w:t>
                  </w:r>
                </w:p>
              </w:tc>
              <w:tc>
                <w:tcPr>
                  <w:tcW w:w="1350" w:type="dxa"/>
                  <w:tcBorders>
                    <w:tl2br w:val="nil"/>
                    <w:tr2bl w:val="nil"/>
                  </w:tcBorders>
                  <w:noWrap w:val="0"/>
                  <w:vAlign w:val="center"/>
                </w:tcPr>
                <w:p w14:paraId="711115F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布袋除尘</w:t>
                  </w:r>
                </w:p>
              </w:tc>
              <w:tc>
                <w:tcPr>
                  <w:tcW w:w="849" w:type="dxa"/>
                  <w:tcBorders>
                    <w:tl2br w:val="nil"/>
                    <w:tr2bl w:val="nil"/>
                  </w:tcBorders>
                  <w:shd w:val="clear" w:color="auto" w:fill="auto"/>
                  <w:noWrap w:val="0"/>
                  <w:vAlign w:val="center"/>
                </w:tcPr>
                <w:p w14:paraId="573111B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17E3FB2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废树脂</w:t>
                  </w:r>
                </w:p>
              </w:tc>
              <w:tc>
                <w:tcPr>
                  <w:tcW w:w="1146" w:type="dxa"/>
                  <w:tcBorders>
                    <w:tl2br w:val="nil"/>
                    <w:tr2bl w:val="nil"/>
                  </w:tcBorders>
                  <w:noWrap w:val="0"/>
                  <w:vAlign w:val="center"/>
                </w:tcPr>
                <w:p w14:paraId="0936AFE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一般工业固废</w:t>
                  </w:r>
                </w:p>
              </w:tc>
              <w:tc>
                <w:tcPr>
                  <w:tcW w:w="1146" w:type="dxa"/>
                  <w:vMerge w:val="continue"/>
                  <w:tcBorders>
                    <w:tl2br w:val="nil"/>
                    <w:tr2bl w:val="nil"/>
                  </w:tcBorders>
                  <w:noWrap w:val="0"/>
                  <w:vAlign w:val="center"/>
                </w:tcPr>
                <w:p w14:paraId="7C65D71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78BEE23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w:t>
                  </w:r>
                </w:p>
              </w:tc>
              <w:tc>
                <w:tcPr>
                  <w:tcW w:w="871" w:type="dxa"/>
                  <w:tcBorders>
                    <w:tl2br w:val="nil"/>
                    <w:tr2bl w:val="nil"/>
                  </w:tcBorders>
                  <w:shd w:val="clear" w:color="auto" w:fill="auto"/>
                  <w:noWrap w:val="0"/>
                  <w:vAlign w:val="center"/>
                </w:tcPr>
                <w:p w14:paraId="02613D4E">
                  <w:pPr>
                    <w:pStyle w:val="75"/>
                    <w:pageBreakBefore w:val="0"/>
                    <w:widowControl w:val="0"/>
                    <w:kinsoku/>
                    <w:wordWrap/>
                    <w:overflowPunct/>
                    <w:topLinePunct w:val="0"/>
                    <w:autoSpaceDE/>
                    <w:autoSpaceDN/>
                    <w:bidi w:val="0"/>
                    <w:spacing w:line="240" w:lineRule="auto"/>
                    <w:ind w:firstLine="0" w:firstLineChars="0"/>
                    <w:textAlignment w:val="auto"/>
                    <w:rPr>
                      <w:rFonts w:hint="eastAsia" w:ascii="Times New Roman" w:hAnsi="Times New Roman" w:eastAsia="宋体"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t>SW</w:t>
                  </w:r>
                  <w:r>
                    <w:rPr>
                      <w:rFonts w:hint="eastAsia" w:ascii="Times New Roman" w:cs="Times New Roman"/>
                      <w:b w:val="0"/>
                      <w:bCs/>
                      <w:color w:val="000000" w:themeColor="text1"/>
                      <w:spacing w:val="4"/>
                      <w:kern w:val="0"/>
                      <w:sz w:val="21"/>
                      <w:szCs w:val="21"/>
                      <w:highlight w:val="none"/>
                      <w:lang w:val="en-US" w:eastAsia="zh-CN" w:bidi="ar-SA"/>
                      <w14:textFill>
                        <w14:solidFill>
                          <w14:schemeClr w14:val="tx1"/>
                        </w14:solidFill>
                      </w14:textFill>
                    </w:rPr>
                    <w:t>59</w:t>
                  </w:r>
                </w:p>
              </w:tc>
              <w:tc>
                <w:tcPr>
                  <w:tcW w:w="1514" w:type="dxa"/>
                  <w:tcBorders>
                    <w:tl2br w:val="nil"/>
                    <w:tr2bl w:val="nil"/>
                  </w:tcBorders>
                  <w:noWrap w:val="0"/>
                  <w:vAlign w:val="center"/>
                </w:tcPr>
                <w:p w14:paraId="7DB5FB45">
                  <w:pPr>
                    <w:pStyle w:val="75"/>
                    <w:pageBreakBefore w:val="0"/>
                    <w:widowControl w:val="0"/>
                    <w:kinsoku/>
                    <w:wordWrap/>
                    <w:overflowPunct/>
                    <w:topLinePunct w:val="0"/>
                    <w:autoSpaceDE/>
                    <w:autoSpaceDN/>
                    <w:bidi w:val="0"/>
                    <w:spacing w:line="240" w:lineRule="auto"/>
                    <w:ind w:firstLine="0" w:firstLineChars="0"/>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900-099-S</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59</w:t>
                  </w:r>
                </w:p>
              </w:tc>
              <w:tc>
                <w:tcPr>
                  <w:tcW w:w="962" w:type="dxa"/>
                  <w:tcBorders>
                    <w:tl2br w:val="nil"/>
                    <w:tr2bl w:val="nil"/>
                  </w:tcBorders>
                  <w:noWrap w:val="0"/>
                  <w:vAlign w:val="center"/>
                </w:tcPr>
                <w:p w14:paraId="637018E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0.150</w:t>
                  </w:r>
                </w:p>
              </w:tc>
              <w:tc>
                <w:tcPr>
                  <w:tcW w:w="1226" w:type="dxa"/>
                  <w:tcBorders>
                    <w:tl2br w:val="nil"/>
                    <w:tr2bl w:val="nil"/>
                  </w:tcBorders>
                  <w:shd w:val="clear" w:color="auto" w:fill="auto"/>
                  <w:noWrap w:val="0"/>
                  <w:vAlign w:val="center"/>
                </w:tcPr>
                <w:p w14:paraId="0F4B2A1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外售综合利用</w:t>
                  </w:r>
                </w:p>
              </w:tc>
            </w:tr>
            <w:tr w14:paraId="452240B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07B6E43C">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废布袋</w:t>
                  </w:r>
                </w:p>
              </w:tc>
              <w:tc>
                <w:tcPr>
                  <w:tcW w:w="1350" w:type="dxa"/>
                  <w:tcBorders>
                    <w:tl2br w:val="nil"/>
                    <w:tr2bl w:val="nil"/>
                  </w:tcBorders>
                  <w:noWrap w:val="0"/>
                  <w:vAlign w:val="center"/>
                </w:tcPr>
                <w:p w14:paraId="4929AE8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布袋除尘</w:t>
                  </w:r>
                </w:p>
              </w:tc>
              <w:tc>
                <w:tcPr>
                  <w:tcW w:w="849" w:type="dxa"/>
                  <w:tcBorders>
                    <w:tl2br w:val="nil"/>
                    <w:tr2bl w:val="nil"/>
                  </w:tcBorders>
                  <w:shd w:val="clear" w:color="auto" w:fill="auto"/>
                  <w:noWrap w:val="0"/>
                  <w:vAlign w:val="center"/>
                </w:tcPr>
                <w:p w14:paraId="01BC242C">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147E4F2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废布袋</w:t>
                  </w:r>
                </w:p>
              </w:tc>
              <w:tc>
                <w:tcPr>
                  <w:tcW w:w="1146" w:type="dxa"/>
                  <w:tcBorders>
                    <w:tl2br w:val="nil"/>
                    <w:tr2bl w:val="nil"/>
                  </w:tcBorders>
                  <w:noWrap w:val="0"/>
                  <w:vAlign w:val="center"/>
                </w:tcPr>
                <w:p w14:paraId="4D3B445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一般工业固废</w:t>
                  </w:r>
                </w:p>
              </w:tc>
              <w:tc>
                <w:tcPr>
                  <w:tcW w:w="1146" w:type="dxa"/>
                  <w:vMerge w:val="continue"/>
                  <w:tcBorders>
                    <w:tl2br w:val="nil"/>
                    <w:tr2bl w:val="nil"/>
                  </w:tcBorders>
                  <w:noWrap w:val="0"/>
                  <w:vAlign w:val="center"/>
                </w:tcPr>
                <w:p w14:paraId="3A01687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667D3BCC">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w:t>
                  </w:r>
                </w:p>
              </w:tc>
              <w:tc>
                <w:tcPr>
                  <w:tcW w:w="871" w:type="dxa"/>
                  <w:tcBorders>
                    <w:tl2br w:val="nil"/>
                    <w:tr2bl w:val="nil"/>
                  </w:tcBorders>
                  <w:shd w:val="clear" w:color="auto" w:fill="auto"/>
                  <w:noWrap w:val="0"/>
                  <w:vAlign w:val="center"/>
                </w:tcPr>
                <w:p w14:paraId="3490696B">
                  <w:pPr>
                    <w:pStyle w:val="75"/>
                    <w:pageBreakBefore w:val="0"/>
                    <w:widowControl w:val="0"/>
                    <w:kinsoku/>
                    <w:wordWrap/>
                    <w:overflowPunct/>
                    <w:topLinePunct w:val="0"/>
                    <w:autoSpaceDE/>
                    <w:autoSpaceDN/>
                    <w:bidi w:val="0"/>
                    <w:spacing w:line="240" w:lineRule="auto"/>
                    <w:ind w:firstLine="0" w:firstLineChars="0"/>
                    <w:textAlignment w:val="auto"/>
                    <w:rPr>
                      <w:rFonts w:hint="eastAsia" w:ascii="Times New Roman" w:hAnsi="Times New Roman" w:eastAsia="宋体"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t>SW</w:t>
                  </w:r>
                  <w:r>
                    <w:rPr>
                      <w:rFonts w:hint="eastAsia" w:ascii="Times New Roman" w:cs="Times New Roman"/>
                      <w:b w:val="0"/>
                      <w:bCs/>
                      <w:color w:val="000000" w:themeColor="text1"/>
                      <w:spacing w:val="4"/>
                      <w:kern w:val="0"/>
                      <w:sz w:val="21"/>
                      <w:szCs w:val="21"/>
                      <w:highlight w:val="none"/>
                      <w:lang w:val="en-US" w:eastAsia="zh-CN" w:bidi="ar-SA"/>
                      <w14:textFill>
                        <w14:solidFill>
                          <w14:schemeClr w14:val="tx1"/>
                        </w14:solidFill>
                      </w14:textFill>
                    </w:rPr>
                    <w:t>59</w:t>
                  </w:r>
                </w:p>
              </w:tc>
              <w:tc>
                <w:tcPr>
                  <w:tcW w:w="1514" w:type="dxa"/>
                  <w:tcBorders>
                    <w:tl2br w:val="nil"/>
                    <w:tr2bl w:val="nil"/>
                  </w:tcBorders>
                  <w:noWrap w:val="0"/>
                  <w:vAlign w:val="center"/>
                </w:tcPr>
                <w:p w14:paraId="2EBDC9A1">
                  <w:pPr>
                    <w:pStyle w:val="75"/>
                    <w:pageBreakBefore w:val="0"/>
                    <w:widowControl w:val="0"/>
                    <w:kinsoku/>
                    <w:wordWrap/>
                    <w:overflowPunct/>
                    <w:topLinePunct w:val="0"/>
                    <w:autoSpaceDE/>
                    <w:autoSpaceDN/>
                    <w:bidi w:val="0"/>
                    <w:spacing w:line="240" w:lineRule="auto"/>
                    <w:ind w:firstLine="0" w:firstLineChars="0"/>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900-0</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9-S</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59</w:t>
                  </w:r>
                </w:p>
              </w:tc>
              <w:tc>
                <w:tcPr>
                  <w:tcW w:w="962" w:type="dxa"/>
                  <w:tcBorders>
                    <w:tl2br w:val="nil"/>
                    <w:tr2bl w:val="nil"/>
                  </w:tcBorders>
                  <w:noWrap w:val="0"/>
                  <w:vAlign w:val="center"/>
                </w:tcPr>
                <w:p w14:paraId="4579BB9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0.002</w:t>
                  </w:r>
                </w:p>
              </w:tc>
              <w:tc>
                <w:tcPr>
                  <w:tcW w:w="1226" w:type="dxa"/>
                  <w:tcBorders>
                    <w:tl2br w:val="nil"/>
                    <w:tr2bl w:val="nil"/>
                  </w:tcBorders>
                  <w:shd w:val="clear" w:color="auto" w:fill="auto"/>
                  <w:noWrap w:val="0"/>
                  <w:vAlign w:val="center"/>
                </w:tcPr>
                <w:p w14:paraId="64FA5EB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外售综合利用</w:t>
                  </w:r>
                </w:p>
              </w:tc>
            </w:tr>
            <w:tr w14:paraId="0AD7D58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2264B23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车间沉降粉尘</w:t>
                  </w:r>
                </w:p>
              </w:tc>
              <w:tc>
                <w:tcPr>
                  <w:tcW w:w="1350" w:type="dxa"/>
                  <w:tcBorders>
                    <w:tl2br w:val="nil"/>
                    <w:tr2bl w:val="nil"/>
                  </w:tcBorders>
                  <w:noWrap w:val="0"/>
                  <w:vAlign w:val="center"/>
                </w:tcPr>
                <w:p w14:paraId="1C1B559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自然沉降</w:t>
                  </w:r>
                </w:p>
              </w:tc>
              <w:tc>
                <w:tcPr>
                  <w:tcW w:w="849" w:type="dxa"/>
                  <w:tcBorders>
                    <w:tl2br w:val="nil"/>
                    <w:tr2bl w:val="nil"/>
                  </w:tcBorders>
                  <w:shd w:val="clear" w:color="auto" w:fill="auto"/>
                  <w:noWrap w:val="0"/>
                  <w:vAlign w:val="center"/>
                </w:tcPr>
                <w:p w14:paraId="051C5FB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2CE9E9F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石膏、石粉</w:t>
                  </w:r>
                </w:p>
              </w:tc>
              <w:tc>
                <w:tcPr>
                  <w:tcW w:w="1146" w:type="dxa"/>
                  <w:tcBorders>
                    <w:tl2br w:val="nil"/>
                    <w:tr2bl w:val="nil"/>
                  </w:tcBorders>
                  <w:noWrap w:val="0"/>
                  <w:vAlign w:val="center"/>
                </w:tcPr>
                <w:p w14:paraId="02EBF90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一般工业固废</w:t>
                  </w:r>
                </w:p>
              </w:tc>
              <w:tc>
                <w:tcPr>
                  <w:tcW w:w="1146" w:type="dxa"/>
                  <w:vMerge w:val="continue"/>
                  <w:tcBorders>
                    <w:tl2br w:val="nil"/>
                    <w:tr2bl w:val="nil"/>
                  </w:tcBorders>
                  <w:noWrap w:val="0"/>
                  <w:vAlign w:val="center"/>
                </w:tcPr>
                <w:p w14:paraId="2BBCCD1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7CFFB36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w:t>
                  </w:r>
                </w:p>
              </w:tc>
              <w:tc>
                <w:tcPr>
                  <w:tcW w:w="871" w:type="dxa"/>
                  <w:tcBorders>
                    <w:tl2br w:val="nil"/>
                    <w:tr2bl w:val="nil"/>
                  </w:tcBorders>
                  <w:noWrap w:val="0"/>
                  <w:vAlign w:val="center"/>
                </w:tcPr>
                <w:p w14:paraId="71E152D6">
                  <w:pPr>
                    <w:pStyle w:val="75"/>
                    <w:pageBreakBefore w:val="0"/>
                    <w:widowControl w:val="0"/>
                    <w:kinsoku/>
                    <w:wordWrap/>
                    <w:overflowPunct/>
                    <w:topLinePunct w:val="0"/>
                    <w:autoSpaceDE/>
                    <w:autoSpaceDN/>
                    <w:bidi w:val="0"/>
                    <w:spacing w:line="240" w:lineRule="auto"/>
                    <w:ind w:firstLine="0" w:firstLineChars="0"/>
                    <w:textAlignment w:val="auto"/>
                    <w:rPr>
                      <w:rFonts w:hint="eastAsia"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pacing w:val="4"/>
                      <w:kern w:val="0"/>
                      <w:sz w:val="21"/>
                      <w:szCs w:val="21"/>
                      <w:highlight w:val="none"/>
                      <w:lang w:val="en-US" w:eastAsia="zh-CN" w:bidi="ar-SA"/>
                      <w14:textFill>
                        <w14:solidFill>
                          <w14:schemeClr w14:val="tx1"/>
                        </w14:solidFill>
                      </w14:textFill>
                    </w:rPr>
                    <w:t>SW</w:t>
                  </w:r>
                  <w:r>
                    <w:rPr>
                      <w:rFonts w:hint="eastAsia" w:ascii="Times New Roman" w:cs="Times New Roman"/>
                      <w:b w:val="0"/>
                      <w:bCs/>
                      <w:color w:val="000000" w:themeColor="text1"/>
                      <w:spacing w:val="4"/>
                      <w:kern w:val="0"/>
                      <w:sz w:val="21"/>
                      <w:szCs w:val="21"/>
                      <w:highlight w:val="none"/>
                      <w:lang w:val="en-US" w:eastAsia="zh-CN" w:bidi="ar-SA"/>
                      <w14:textFill>
                        <w14:solidFill>
                          <w14:schemeClr w14:val="tx1"/>
                        </w14:solidFill>
                      </w14:textFill>
                    </w:rPr>
                    <w:t>59</w:t>
                  </w:r>
                </w:p>
              </w:tc>
              <w:tc>
                <w:tcPr>
                  <w:tcW w:w="1514" w:type="dxa"/>
                  <w:tcBorders>
                    <w:tl2br w:val="nil"/>
                    <w:tr2bl w:val="nil"/>
                  </w:tcBorders>
                  <w:noWrap w:val="0"/>
                  <w:vAlign w:val="center"/>
                </w:tcPr>
                <w:p w14:paraId="47541CDE">
                  <w:pPr>
                    <w:pStyle w:val="75"/>
                    <w:pageBreakBefore w:val="0"/>
                    <w:widowControl w:val="0"/>
                    <w:kinsoku/>
                    <w:wordWrap/>
                    <w:overflowPunct/>
                    <w:topLinePunct w:val="0"/>
                    <w:autoSpaceDE/>
                    <w:autoSpaceDN/>
                    <w:bidi w:val="0"/>
                    <w:spacing w:line="240" w:lineRule="auto"/>
                    <w:ind w:firstLine="0" w:firstLineChars="0"/>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900-0</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9-S</w:t>
                  </w:r>
                  <w:r>
                    <w:rPr>
                      <w:rFonts w:hint="eastAsia" w:ascii="Times New Roman" w:eastAsia="宋体" w:cs="Times New Roman"/>
                      <w:color w:val="000000" w:themeColor="text1"/>
                      <w:sz w:val="21"/>
                      <w:szCs w:val="21"/>
                      <w:highlight w:val="none"/>
                      <w:lang w:val="en-US" w:eastAsia="zh-CN"/>
                      <w14:textFill>
                        <w14:solidFill>
                          <w14:schemeClr w14:val="tx1"/>
                        </w14:solidFill>
                      </w14:textFill>
                    </w:rPr>
                    <w:t>59</w:t>
                  </w:r>
                </w:p>
              </w:tc>
              <w:tc>
                <w:tcPr>
                  <w:tcW w:w="962" w:type="dxa"/>
                  <w:tcBorders>
                    <w:tl2br w:val="nil"/>
                    <w:tr2bl w:val="nil"/>
                  </w:tcBorders>
                  <w:noWrap w:val="0"/>
                  <w:vAlign w:val="center"/>
                </w:tcPr>
                <w:p w14:paraId="7D5CC84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0.003</w:t>
                  </w:r>
                </w:p>
              </w:tc>
              <w:tc>
                <w:tcPr>
                  <w:tcW w:w="1226" w:type="dxa"/>
                  <w:tcBorders>
                    <w:tl2br w:val="nil"/>
                    <w:tr2bl w:val="nil"/>
                  </w:tcBorders>
                  <w:shd w:val="clear" w:color="auto" w:fill="auto"/>
                  <w:noWrap w:val="0"/>
                  <w:vAlign w:val="center"/>
                </w:tcPr>
                <w:p w14:paraId="0575823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外售综合利用</w:t>
                  </w:r>
                </w:p>
              </w:tc>
            </w:tr>
            <w:tr w14:paraId="502611A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737FD5B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废包装桶</w:t>
                  </w:r>
                </w:p>
              </w:tc>
              <w:tc>
                <w:tcPr>
                  <w:tcW w:w="1350" w:type="dxa"/>
                  <w:tcBorders>
                    <w:tl2br w:val="nil"/>
                    <w:tr2bl w:val="nil"/>
                  </w:tcBorders>
                  <w:noWrap w:val="0"/>
                  <w:vAlign w:val="center"/>
                </w:tcPr>
                <w:p w14:paraId="2621E59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原料包装</w:t>
                  </w:r>
                </w:p>
              </w:tc>
              <w:tc>
                <w:tcPr>
                  <w:tcW w:w="849" w:type="dxa"/>
                  <w:tcBorders>
                    <w:tl2br w:val="nil"/>
                    <w:tr2bl w:val="nil"/>
                  </w:tcBorders>
                  <w:noWrap w:val="0"/>
                  <w:vAlign w:val="center"/>
                </w:tcPr>
                <w:p w14:paraId="31994F3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5102D68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废包装桶、有机物</w:t>
                  </w:r>
                </w:p>
              </w:tc>
              <w:tc>
                <w:tcPr>
                  <w:tcW w:w="1146" w:type="dxa"/>
                  <w:tcBorders>
                    <w:tl2br w:val="nil"/>
                    <w:tr2bl w:val="nil"/>
                  </w:tcBorders>
                  <w:noWrap w:val="0"/>
                  <w:vAlign w:val="center"/>
                </w:tcPr>
                <w:p w14:paraId="5FED158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4DAD4EE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69CDF84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T/In</w:t>
                  </w:r>
                </w:p>
              </w:tc>
              <w:tc>
                <w:tcPr>
                  <w:tcW w:w="871" w:type="dxa"/>
                  <w:tcBorders>
                    <w:tl2br w:val="nil"/>
                    <w:tr2bl w:val="nil"/>
                  </w:tcBorders>
                  <w:noWrap w:val="0"/>
                  <w:vAlign w:val="center"/>
                </w:tcPr>
                <w:p w14:paraId="57CDB3F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514" w:type="dxa"/>
                  <w:tcBorders>
                    <w:tl2br w:val="nil"/>
                    <w:tr2bl w:val="nil"/>
                  </w:tcBorders>
                  <w:noWrap w:val="0"/>
                  <w:vAlign w:val="center"/>
                </w:tcPr>
                <w:p w14:paraId="781F59D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900-041-49</w:t>
                  </w:r>
                </w:p>
              </w:tc>
              <w:tc>
                <w:tcPr>
                  <w:tcW w:w="962" w:type="dxa"/>
                  <w:tcBorders>
                    <w:tl2br w:val="nil"/>
                    <w:tr2bl w:val="nil"/>
                  </w:tcBorders>
                  <w:noWrap w:val="0"/>
                  <w:vAlign w:val="center"/>
                </w:tcPr>
                <w:p w14:paraId="0A3552A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w:t>
                  </w: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580</w:t>
                  </w:r>
                </w:p>
              </w:tc>
              <w:tc>
                <w:tcPr>
                  <w:tcW w:w="1226" w:type="dxa"/>
                  <w:tcBorders>
                    <w:tl2br w:val="nil"/>
                    <w:tr2bl w:val="nil"/>
                  </w:tcBorders>
                  <w:noWrap w:val="0"/>
                  <w:vAlign w:val="center"/>
                </w:tcPr>
                <w:p w14:paraId="0C8EE92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73EC62A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00A4344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漆渣</w:t>
                  </w:r>
                </w:p>
              </w:tc>
              <w:tc>
                <w:tcPr>
                  <w:tcW w:w="1350" w:type="dxa"/>
                  <w:tcBorders>
                    <w:tl2br w:val="nil"/>
                    <w:tr2bl w:val="nil"/>
                  </w:tcBorders>
                  <w:noWrap w:val="0"/>
                  <w:vAlign w:val="center"/>
                </w:tcPr>
                <w:p w14:paraId="44BF97E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喷漆、喷枪清洗</w:t>
                  </w:r>
                </w:p>
              </w:tc>
              <w:tc>
                <w:tcPr>
                  <w:tcW w:w="849" w:type="dxa"/>
                  <w:tcBorders>
                    <w:tl2br w:val="nil"/>
                    <w:tr2bl w:val="nil"/>
                  </w:tcBorders>
                  <w:shd w:val="clear" w:color="auto" w:fill="auto"/>
                  <w:noWrap w:val="0"/>
                  <w:vAlign w:val="center"/>
                </w:tcPr>
                <w:p w14:paraId="07A3A33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1F73D21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漆渣</w:t>
                  </w:r>
                </w:p>
              </w:tc>
              <w:tc>
                <w:tcPr>
                  <w:tcW w:w="1146" w:type="dxa"/>
                  <w:tcBorders>
                    <w:tl2br w:val="nil"/>
                    <w:tr2bl w:val="nil"/>
                  </w:tcBorders>
                  <w:noWrap w:val="0"/>
                  <w:vAlign w:val="center"/>
                </w:tcPr>
                <w:p w14:paraId="518E7B5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24B9A91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34ABDB1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T，I</w:t>
                  </w:r>
                </w:p>
              </w:tc>
              <w:tc>
                <w:tcPr>
                  <w:tcW w:w="871" w:type="dxa"/>
                  <w:tcBorders>
                    <w:tl2br w:val="nil"/>
                    <w:tr2bl w:val="nil"/>
                  </w:tcBorders>
                  <w:noWrap w:val="0"/>
                  <w:vAlign w:val="center"/>
                </w:tcPr>
                <w:p w14:paraId="2A7C9C6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eastAsia="宋体" w:cs="Times New Roman"/>
                      <w:b w:val="0"/>
                      <w:bCs/>
                      <w:color w:val="000000" w:themeColor="text1"/>
                      <w:sz w:val="21"/>
                      <w:szCs w:val="21"/>
                      <w:highlight w:val="none"/>
                      <w:lang w:val="en-US" w:eastAsia="zh-CN"/>
                      <w14:textFill>
                        <w14:solidFill>
                          <w14:schemeClr w14:val="tx1"/>
                        </w14:solidFill>
                      </w14:textFill>
                    </w:rPr>
                    <w:t>HW12</w:t>
                  </w:r>
                </w:p>
              </w:tc>
              <w:tc>
                <w:tcPr>
                  <w:tcW w:w="1514" w:type="dxa"/>
                  <w:tcBorders>
                    <w:tl2br w:val="nil"/>
                    <w:tr2bl w:val="nil"/>
                  </w:tcBorders>
                  <w:noWrap w:val="0"/>
                  <w:vAlign w:val="center"/>
                </w:tcPr>
                <w:p w14:paraId="41E14E71">
                  <w:pPr>
                    <w:pStyle w:val="75"/>
                    <w:pageBreakBefore w:val="0"/>
                    <w:widowControl w:val="0"/>
                    <w:kinsoku/>
                    <w:wordWrap/>
                    <w:overflowPunct/>
                    <w:topLinePunct w:val="0"/>
                    <w:autoSpaceDE/>
                    <w:autoSpaceDN/>
                    <w:bidi w:val="0"/>
                    <w:spacing w:line="240" w:lineRule="auto"/>
                    <w:ind w:firstLine="0" w:firstLineChars="0"/>
                    <w:textAlignment w:val="auto"/>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900-252-12、900-256-12</w:t>
                  </w:r>
                </w:p>
              </w:tc>
              <w:tc>
                <w:tcPr>
                  <w:tcW w:w="962" w:type="dxa"/>
                  <w:tcBorders>
                    <w:tl2br w:val="nil"/>
                    <w:tr2bl w:val="nil"/>
                  </w:tcBorders>
                  <w:noWrap w:val="0"/>
                  <w:vAlign w:val="center"/>
                </w:tcPr>
                <w:p w14:paraId="0519398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0.197</w:t>
                  </w:r>
                </w:p>
              </w:tc>
              <w:tc>
                <w:tcPr>
                  <w:tcW w:w="1226" w:type="dxa"/>
                  <w:tcBorders>
                    <w:tl2br w:val="nil"/>
                    <w:tr2bl w:val="nil"/>
                  </w:tcBorders>
                  <w:noWrap w:val="0"/>
                  <w:vAlign w:val="center"/>
                </w:tcPr>
                <w:p w14:paraId="1D388AB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16F1A79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0BA610D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废彩绘笔</w:t>
                  </w:r>
                </w:p>
              </w:tc>
              <w:tc>
                <w:tcPr>
                  <w:tcW w:w="1350" w:type="dxa"/>
                  <w:tcBorders>
                    <w:tl2br w:val="nil"/>
                    <w:tr2bl w:val="nil"/>
                  </w:tcBorders>
                  <w:noWrap w:val="0"/>
                  <w:vAlign w:val="center"/>
                </w:tcPr>
                <w:p w14:paraId="73F18F2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彩绘</w:t>
                  </w:r>
                </w:p>
              </w:tc>
              <w:tc>
                <w:tcPr>
                  <w:tcW w:w="849" w:type="dxa"/>
                  <w:tcBorders>
                    <w:tl2br w:val="nil"/>
                    <w:tr2bl w:val="nil"/>
                  </w:tcBorders>
                  <w:shd w:val="clear" w:color="auto" w:fill="auto"/>
                  <w:noWrap w:val="0"/>
                  <w:vAlign w:val="center"/>
                </w:tcPr>
                <w:p w14:paraId="72651EE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2D3E80E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b w:val="0"/>
                      <w:bCs/>
                      <w:color w:val="000000" w:themeColor="text1"/>
                      <w:sz w:val="21"/>
                      <w:szCs w:val="21"/>
                      <w:highlight w:val="none"/>
                      <w:vertAlign w:val="baseline"/>
                      <w:lang w:val="en-US" w:eastAsia="zh-CN"/>
                      <w14:textFill>
                        <w14:solidFill>
                          <w14:schemeClr w14:val="tx1"/>
                        </w14:solidFill>
                      </w14:textFill>
                    </w:rPr>
                    <w:t>废彩绘笔、有机物</w:t>
                  </w:r>
                </w:p>
              </w:tc>
              <w:tc>
                <w:tcPr>
                  <w:tcW w:w="1146" w:type="dxa"/>
                  <w:tcBorders>
                    <w:tl2br w:val="nil"/>
                    <w:tr2bl w:val="nil"/>
                  </w:tcBorders>
                  <w:noWrap w:val="0"/>
                  <w:vAlign w:val="center"/>
                </w:tcPr>
                <w:p w14:paraId="304C8FF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4BBD5EE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shd w:val="clear" w:color="auto" w:fill="auto"/>
                  <w:noWrap w:val="0"/>
                  <w:vAlign w:val="center"/>
                </w:tcPr>
                <w:p w14:paraId="28D410B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T/In</w:t>
                  </w:r>
                </w:p>
              </w:tc>
              <w:tc>
                <w:tcPr>
                  <w:tcW w:w="871" w:type="dxa"/>
                  <w:tcBorders>
                    <w:tl2br w:val="nil"/>
                    <w:tr2bl w:val="nil"/>
                  </w:tcBorders>
                  <w:shd w:val="clear" w:color="auto" w:fill="auto"/>
                  <w:noWrap w:val="0"/>
                  <w:vAlign w:val="center"/>
                </w:tcPr>
                <w:p w14:paraId="05B17F1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514" w:type="dxa"/>
                  <w:tcBorders>
                    <w:tl2br w:val="nil"/>
                    <w:tr2bl w:val="nil"/>
                  </w:tcBorders>
                  <w:shd w:val="clear" w:color="auto" w:fill="auto"/>
                  <w:noWrap w:val="0"/>
                  <w:vAlign w:val="center"/>
                </w:tcPr>
                <w:p w14:paraId="08F52BE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900-041-49</w:t>
                  </w:r>
                </w:p>
              </w:tc>
              <w:tc>
                <w:tcPr>
                  <w:tcW w:w="962" w:type="dxa"/>
                  <w:tcBorders>
                    <w:tl2br w:val="nil"/>
                    <w:tr2bl w:val="nil"/>
                  </w:tcBorders>
                  <w:noWrap w:val="0"/>
                  <w:vAlign w:val="center"/>
                </w:tcPr>
                <w:p w14:paraId="18D1F12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0.094</w:t>
                  </w:r>
                </w:p>
              </w:tc>
              <w:tc>
                <w:tcPr>
                  <w:tcW w:w="1226" w:type="dxa"/>
                  <w:tcBorders>
                    <w:tl2br w:val="nil"/>
                    <w:tr2bl w:val="nil"/>
                  </w:tcBorders>
                  <w:noWrap w:val="0"/>
                  <w:vAlign w:val="center"/>
                </w:tcPr>
                <w:p w14:paraId="79B7C7E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4F90623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0B24C64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废过滤棉</w:t>
                  </w:r>
                </w:p>
              </w:tc>
              <w:tc>
                <w:tcPr>
                  <w:tcW w:w="1350" w:type="dxa"/>
                  <w:tcBorders>
                    <w:tl2br w:val="nil"/>
                    <w:tr2bl w:val="nil"/>
                  </w:tcBorders>
                  <w:noWrap w:val="0"/>
                  <w:vAlign w:val="center"/>
                </w:tcPr>
                <w:p w14:paraId="73464A3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过滤棉吸附</w:t>
                  </w:r>
                </w:p>
              </w:tc>
              <w:tc>
                <w:tcPr>
                  <w:tcW w:w="849" w:type="dxa"/>
                  <w:tcBorders>
                    <w:tl2br w:val="nil"/>
                    <w:tr2bl w:val="nil"/>
                  </w:tcBorders>
                  <w:noWrap w:val="0"/>
                  <w:vAlign w:val="center"/>
                </w:tcPr>
                <w:p w14:paraId="3AFD31C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00D6A30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废过滤棉、有机物</w:t>
                  </w:r>
                </w:p>
              </w:tc>
              <w:tc>
                <w:tcPr>
                  <w:tcW w:w="1146" w:type="dxa"/>
                  <w:tcBorders>
                    <w:tl2br w:val="nil"/>
                    <w:tr2bl w:val="nil"/>
                  </w:tcBorders>
                  <w:noWrap w:val="0"/>
                  <w:vAlign w:val="center"/>
                </w:tcPr>
                <w:p w14:paraId="68461CC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45A12BB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6EB14C9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T/In</w:t>
                  </w:r>
                </w:p>
              </w:tc>
              <w:tc>
                <w:tcPr>
                  <w:tcW w:w="871" w:type="dxa"/>
                  <w:tcBorders>
                    <w:tl2br w:val="nil"/>
                    <w:tr2bl w:val="nil"/>
                  </w:tcBorders>
                  <w:noWrap w:val="0"/>
                  <w:vAlign w:val="center"/>
                </w:tcPr>
                <w:p w14:paraId="469E311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514" w:type="dxa"/>
                  <w:tcBorders>
                    <w:tl2br w:val="nil"/>
                    <w:tr2bl w:val="nil"/>
                  </w:tcBorders>
                  <w:noWrap w:val="0"/>
                  <w:vAlign w:val="center"/>
                </w:tcPr>
                <w:p w14:paraId="0E91CE4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900-041-49</w:t>
                  </w:r>
                </w:p>
              </w:tc>
              <w:tc>
                <w:tcPr>
                  <w:tcW w:w="962" w:type="dxa"/>
                  <w:tcBorders>
                    <w:tl2br w:val="nil"/>
                    <w:tr2bl w:val="nil"/>
                  </w:tcBorders>
                  <w:noWrap w:val="0"/>
                  <w:vAlign w:val="center"/>
                </w:tcPr>
                <w:p w14:paraId="781D5E7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0.426</w:t>
                  </w:r>
                </w:p>
              </w:tc>
              <w:tc>
                <w:tcPr>
                  <w:tcW w:w="1226" w:type="dxa"/>
                  <w:tcBorders>
                    <w:tl2br w:val="nil"/>
                    <w:tr2bl w:val="nil"/>
                  </w:tcBorders>
                  <w:noWrap w:val="0"/>
                  <w:vAlign w:val="center"/>
                </w:tcPr>
                <w:p w14:paraId="66D3396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21E3290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7376C52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废活性炭</w:t>
                  </w:r>
                </w:p>
              </w:tc>
              <w:tc>
                <w:tcPr>
                  <w:tcW w:w="1350" w:type="dxa"/>
                  <w:tcBorders>
                    <w:tl2br w:val="nil"/>
                    <w:tr2bl w:val="nil"/>
                  </w:tcBorders>
                  <w:noWrap w:val="0"/>
                  <w:vAlign w:val="center"/>
                </w:tcPr>
                <w:p w14:paraId="30B5646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二级活性炭吸附</w:t>
                  </w:r>
                </w:p>
              </w:tc>
              <w:tc>
                <w:tcPr>
                  <w:tcW w:w="849" w:type="dxa"/>
                  <w:tcBorders>
                    <w:tl2br w:val="nil"/>
                    <w:tr2bl w:val="nil"/>
                  </w:tcBorders>
                  <w:noWrap w:val="0"/>
                  <w:vAlign w:val="center"/>
                </w:tcPr>
                <w:p w14:paraId="72E820D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6728CFC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废活性炭、有机物</w:t>
                  </w:r>
                </w:p>
              </w:tc>
              <w:tc>
                <w:tcPr>
                  <w:tcW w:w="1146" w:type="dxa"/>
                  <w:tcBorders>
                    <w:tl2br w:val="nil"/>
                    <w:tr2bl w:val="nil"/>
                  </w:tcBorders>
                  <w:noWrap w:val="0"/>
                  <w:vAlign w:val="center"/>
                </w:tcPr>
                <w:p w14:paraId="2C9A00C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1B9C8D3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5DD175A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T/In</w:t>
                  </w:r>
                </w:p>
              </w:tc>
              <w:tc>
                <w:tcPr>
                  <w:tcW w:w="871" w:type="dxa"/>
                  <w:tcBorders>
                    <w:tl2br w:val="nil"/>
                    <w:tr2bl w:val="nil"/>
                  </w:tcBorders>
                  <w:noWrap w:val="0"/>
                  <w:vAlign w:val="center"/>
                </w:tcPr>
                <w:p w14:paraId="4377B6A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514" w:type="dxa"/>
                  <w:tcBorders>
                    <w:tl2br w:val="nil"/>
                    <w:tr2bl w:val="nil"/>
                  </w:tcBorders>
                  <w:noWrap w:val="0"/>
                  <w:vAlign w:val="center"/>
                </w:tcPr>
                <w:p w14:paraId="72F001C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900-041-49</w:t>
                  </w:r>
                </w:p>
              </w:tc>
              <w:tc>
                <w:tcPr>
                  <w:tcW w:w="962" w:type="dxa"/>
                  <w:tcBorders>
                    <w:tl2br w:val="nil"/>
                    <w:tr2bl w:val="nil"/>
                  </w:tcBorders>
                  <w:noWrap w:val="0"/>
                  <w:vAlign w:val="center"/>
                </w:tcPr>
                <w:p w14:paraId="7713450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5.316</w:t>
                  </w:r>
                </w:p>
              </w:tc>
              <w:tc>
                <w:tcPr>
                  <w:tcW w:w="1226" w:type="dxa"/>
                  <w:tcBorders>
                    <w:tl2br w:val="nil"/>
                    <w:tr2bl w:val="nil"/>
                  </w:tcBorders>
                  <w:noWrap w:val="0"/>
                  <w:vAlign w:val="center"/>
                </w:tcPr>
                <w:p w14:paraId="2744200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70FC360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6C1634A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废机油</w:t>
                  </w:r>
                </w:p>
              </w:tc>
              <w:tc>
                <w:tcPr>
                  <w:tcW w:w="1350" w:type="dxa"/>
                  <w:vMerge w:val="restart"/>
                  <w:tcBorders>
                    <w:tl2br w:val="nil"/>
                    <w:tr2bl w:val="nil"/>
                  </w:tcBorders>
                  <w:noWrap w:val="0"/>
                  <w:vAlign w:val="center"/>
                </w:tcPr>
                <w:p w14:paraId="5A101DD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设备维修</w:t>
                  </w:r>
                </w:p>
                <w:p w14:paraId="1623FDF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保养</w:t>
                  </w:r>
                </w:p>
              </w:tc>
              <w:tc>
                <w:tcPr>
                  <w:tcW w:w="849" w:type="dxa"/>
                  <w:tcBorders>
                    <w:tl2br w:val="nil"/>
                    <w:tr2bl w:val="nil"/>
                  </w:tcBorders>
                  <w:noWrap w:val="0"/>
                  <w:vAlign w:val="center"/>
                </w:tcPr>
                <w:p w14:paraId="5996100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液态</w:t>
                  </w:r>
                </w:p>
              </w:tc>
              <w:tc>
                <w:tcPr>
                  <w:tcW w:w="1153" w:type="dxa"/>
                  <w:tcBorders>
                    <w:tl2br w:val="nil"/>
                    <w:tr2bl w:val="nil"/>
                  </w:tcBorders>
                  <w:noWrap w:val="0"/>
                  <w:vAlign w:val="center"/>
                </w:tcPr>
                <w:p w14:paraId="124F86E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废矿物油</w:t>
                  </w:r>
                </w:p>
              </w:tc>
              <w:tc>
                <w:tcPr>
                  <w:tcW w:w="1146" w:type="dxa"/>
                  <w:tcBorders>
                    <w:tl2br w:val="nil"/>
                    <w:tr2bl w:val="nil"/>
                  </w:tcBorders>
                  <w:noWrap w:val="0"/>
                  <w:vAlign w:val="center"/>
                </w:tcPr>
                <w:p w14:paraId="28C8926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779EA93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5A5411D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w:t>
                  </w:r>
                </w:p>
              </w:tc>
              <w:tc>
                <w:tcPr>
                  <w:tcW w:w="871" w:type="dxa"/>
                  <w:tcBorders>
                    <w:tl2br w:val="nil"/>
                    <w:tr2bl w:val="nil"/>
                  </w:tcBorders>
                  <w:noWrap w:val="0"/>
                  <w:vAlign w:val="center"/>
                </w:tcPr>
                <w:p w14:paraId="55E4AE1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14:textFill>
                        <w14:solidFill>
                          <w14:schemeClr w14:val="tx1"/>
                        </w14:solidFill>
                      </w14:textFill>
                    </w:rPr>
                    <w:t>HW08</w:t>
                  </w:r>
                </w:p>
              </w:tc>
              <w:tc>
                <w:tcPr>
                  <w:tcW w:w="1514" w:type="dxa"/>
                  <w:tcBorders>
                    <w:tl2br w:val="nil"/>
                    <w:tr2bl w:val="nil"/>
                  </w:tcBorders>
                  <w:noWrap w:val="0"/>
                  <w:vAlign w:val="center"/>
                </w:tcPr>
                <w:p w14:paraId="301502B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14:textFill>
                        <w14:solidFill>
                          <w14:schemeClr w14:val="tx1"/>
                        </w14:solidFill>
                      </w14:textFill>
                    </w:rPr>
                    <w:t>900-217-08</w:t>
                  </w:r>
                </w:p>
              </w:tc>
              <w:tc>
                <w:tcPr>
                  <w:tcW w:w="962" w:type="dxa"/>
                  <w:tcBorders>
                    <w:tl2br w:val="nil"/>
                    <w:tr2bl w:val="nil"/>
                  </w:tcBorders>
                  <w:noWrap w:val="0"/>
                  <w:vAlign w:val="center"/>
                </w:tcPr>
                <w:p w14:paraId="7FE77AB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0.050</w:t>
                  </w:r>
                </w:p>
              </w:tc>
              <w:tc>
                <w:tcPr>
                  <w:tcW w:w="1226" w:type="dxa"/>
                  <w:tcBorders>
                    <w:tl2br w:val="nil"/>
                    <w:tr2bl w:val="nil"/>
                  </w:tcBorders>
                  <w:noWrap w:val="0"/>
                  <w:vAlign w:val="center"/>
                </w:tcPr>
                <w:p w14:paraId="6E6AFB0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6D12CB7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197F3C1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废机油桶</w:t>
                  </w:r>
                </w:p>
              </w:tc>
              <w:tc>
                <w:tcPr>
                  <w:tcW w:w="1350" w:type="dxa"/>
                  <w:vMerge w:val="continue"/>
                  <w:tcBorders>
                    <w:tl2br w:val="nil"/>
                    <w:tr2bl w:val="nil"/>
                  </w:tcBorders>
                  <w:noWrap w:val="0"/>
                  <w:vAlign w:val="center"/>
                </w:tcPr>
                <w:p w14:paraId="758D01C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49" w:type="dxa"/>
                  <w:tcBorders>
                    <w:tl2br w:val="nil"/>
                    <w:tr2bl w:val="nil"/>
                  </w:tcBorders>
                  <w:noWrap w:val="0"/>
                  <w:vAlign w:val="center"/>
                </w:tcPr>
                <w:p w14:paraId="5F55B5A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228CF9D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废塑料桶、废矿物油</w:t>
                  </w:r>
                </w:p>
              </w:tc>
              <w:tc>
                <w:tcPr>
                  <w:tcW w:w="1146" w:type="dxa"/>
                  <w:tcBorders>
                    <w:tl2br w:val="nil"/>
                    <w:tr2bl w:val="nil"/>
                  </w:tcBorders>
                  <w:noWrap w:val="0"/>
                  <w:vAlign w:val="center"/>
                </w:tcPr>
                <w:p w14:paraId="21877B9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2DDED45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052F0EF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T，I</w:t>
                  </w:r>
                </w:p>
              </w:tc>
              <w:tc>
                <w:tcPr>
                  <w:tcW w:w="871" w:type="dxa"/>
                  <w:tcBorders>
                    <w:tl2br w:val="nil"/>
                    <w:tr2bl w:val="nil"/>
                  </w:tcBorders>
                  <w:noWrap w:val="0"/>
                  <w:vAlign w:val="center"/>
                </w:tcPr>
                <w:p w14:paraId="6560118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HW08</w:t>
                  </w:r>
                </w:p>
              </w:tc>
              <w:tc>
                <w:tcPr>
                  <w:tcW w:w="1514" w:type="dxa"/>
                  <w:tcBorders>
                    <w:tl2br w:val="nil"/>
                    <w:tr2bl w:val="nil"/>
                  </w:tcBorders>
                  <w:noWrap w:val="0"/>
                  <w:vAlign w:val="center"/>
                </w:tcPr>
                <w:p w14:paraId="1B7A5DB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14:textFill>
                        <w14:solidFill>
                          <w14:schemeClr w14:val="tx1"/>
                        </w14:solidFill>
                      </w14:textFill>
                    </w:rPr>
                    <w:t>900-2</w:t>
                  </w: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49</w:t>
                  </w:r>
                  <w:r>
                    <w:rPr>
                      <w:rFonts w:hint="eastAsia" w:ascii="Times New Roman" w:hAnsi="Times New Roman" w:eastAsia="宋体" w:cs="Times New Roman"/>
                      <w:b w:val="0"/>
                      <w:bCs/>
                      <w:color w:val="000000" w:themeColor="text1"/>
                      <w:sz w:val="21"/>
                      <w:szCs w:val="21"/>
                      <w:highlight w:val="none"/>
                      <w14:textFill>
                        <w14:solidFill>
                          <w14:schemeClr w14:val="tx1"/>
                        </w14:solidFill>
                      </w14:textFill>
                    </w:rPr>
                    <w:t>-08</w:t>
                  </w:r>
                </w:p>
              </w:tc>
              <w:tc>
                <w:tcPr>
                  <w:tcW w:w="962" w:type="dxa"/>
                  <w:tcBorders>
                    <w:tl2br w:val="nil"/>
                    <w:tr2bl w:val="nil"/>
                  </w:tcBorders>
                  <w:noWrap w:val="0"/>
                  <w:vAlign w:val="center"/>
                </w:tcPr>
                <w:p w14:paraId="2CAB4B5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0.003</w:t>
                  </w:r>
                </w:p>
              </w:tc>
              <w:tc>
                <w:tcPr>
                  <w:tcW w:w="1226" w:type="dxa"/>
                  <w:tcBorders>
                    <w:tl2br w:val="nil"/>
                    <w:tr2bl w:val="nil"/>
                  </w:tcBorders>
                  <w:noWrap w:val="0"/>
                  <w:vAlign w:val="center"/>
                </w:tcPr>
                <w:p w14:paraId="0D58759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12735F0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6F3B19C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含油废抹布及劳保用品</w:t>
                  </w:r>
                </w:p>
              </w:tc>
              <w:tc>
                <w:tcPr>
                  <w:tcW w:w="1350" w:type="dxa"/>
                  <w:vMerge w:val="continue"/>
                  <w:tcBorders>
                    <w:tl2br w:val="nil"/>
                    <w:tr2bl w:val="nil"/>
                  </w:tcBorders>
                  <w:noWrap w:val="0"/>
                  <w:vAlign w:val="center"/>
                </w:tcPr>
                <w:p w14:paraId="7BC920A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p>
              </w:tc>
              <w:tc>
                <w:tcPr>
                  <w:tcW w:w="849" w:type="dxa"/>
                  <w:tcBorders>
                    <w:tl2br w:val="nil"/>
                    <w:tr2bl w:val="nil"/>
                  </w:tcBorders>
                  <w:noWrap w:val="0"/>
                  <w:vAlign w:val="center"/>
                </w:tcPr>
                <w:p w14:paraId="0C31642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2BD2195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废抹布、废矿物油等</w:t>
                  </w:r>
                </w:p>
              </w:tc>
              <w:tc>
                <w:tcPr>
                  <w:tcW w:w="1146" w:type="dxa"/>
                  <w:tcBorders>
                    <w:tl2br w:val="nil"/>
                    <w:tr2bl w:val="nil"/>
                  </w:tcBorders>
                  <w:noWrap w:val="0"/>
                  <w:vAlign w:val="center"/>
                </w:tcPr>
                <w:p w14:paraId="153A185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危险废物</w:t>
                  </w:r>
                </w:p>
              </w:tc>
              <w:tc>
                <w:tcPr>
                  <w:tcW w:w="1146" w:type="dxa"/>
                  <w:vMerge w:val="continue"/>
                  <w:tcBorders>
                    <w:tl2br w:val="nil"/>
                    <w:tr2bl w:val="nil"/>
                  </w:tcBorders>
                  <w:noWrap w:val="0"/>
                  <w:vAlign w:val="center"/>
                </w:tcPr>
                <w:p w14:paraId="011A3EC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1D5E326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T/In</w:t>
                  </w:r>
                </w:p>
              </w:tc>
              <w:tc>
                <w:tcPr>
                  <w:tcW w:w="871" w:type="dxa"/>
                  <w:tcBorders>
                    <w:tl2br w:val="nil"/>
                    <w:tr2bl w:val="nil"/>
                  </w:tcBorders>
                  <w:noWrap w:val="0"/>
                  <w:vAlign w:val="center"/>
                </w:tcPr>
                <w:p w14:paraId="625F983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514" w:type="dxa"/>
                  <w:tcBorders>
                    <w:tl2br w:val="nil"/>
                    <w:tr2bl w:val="nil"/>
                  </w:tcBorders>
                  <w:noWrap w:val="0"/>
                  <w:vAlign w:val="center"/>
                </w:tcPr>
                <w:p w14:paraId="7A10848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9000-041-49</w:t>
                  </w:r>
                </w:p>
              </w:tc>
              <w:tc>
                <w:tcPr>
                  <w:tcW w:w="962" w:type="dxa"/>
                  <w:tcBorders>
                    <w:tl2br w:val="nil"/>
                    <w:tr2bl w:val="nil"/>
                  </w:tcBorders>
                  <w:noWrap w:val="0"/>
                  <w:vAlign w:val="center"/>
                </w:tcPr>
                <w:p w14:paraId="09300D5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0.005</w:t>
                  </w:r>
                </w:p>
              </w:tc>
              <w:tc>
                <w:tcPr>
                  <w:tcW w:w="1226" w:type="dxa"/>
                  <w:tcBorders>
                    <w:tl2br w:val="nil"/>
                    <w:tr2bl w:val="nil"/>
                  </w:tcBorders>
                  <w:noWrap w:val="0"/>
                  <w:vAlign w:val="center"/>
                </w:tcPr>
                <w:p w14:paraId="4D86B47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w:t>
                  </w:r>
                  <w:r>
                    <w:rPr>
                      <w:rFonts w:ascii="Times New Roman" w:hAnsi="Times New Roman" w:cs="Times New Roman"/>
                      <w:b w:val="0"/>
                      <w:bCs/>
                      <w:color w:val="000000" w:themeColor="text1"/>
                      <w:sz w:val="21"/>
                      <w:szCs w:val="21"/>
                      <w:highlight w:val="none"/>
                      <w14:textFill>
                        <w14:solidFill>
                          <w14:schemeClr w14:val="tx1"/>
                        </w14:solidFill>
                      </w14:textFill>
                    </w:rPr>
                    <w:t>有资质单位处置</w:t>
                  </w:r>
                </w:p>
              </w:tc>
            </w:tr>
            <w:tr w14:paraId="54C784A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1256" w:type="dxa"/>
                  <w:tcBorders>
                    <w:tl2br w:val="nil"/>
                    <w:tr2bl w:val="nil"/>
                  </w:tcBorders>
                  <w:noWrap w:val="0"/>
                  <w:vAlign w:val="center"/>
                </w:tcPr>
                <w:p w14:paraId="3C59122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生活垃圾</w:t>
                  </w:r>
                </w:p>
              </w:tc>
              <w:tc>
                <w:tcPr>
                  <w:tcW w:w="1350" w:type="dxa"/>
                  <w:tcBorders>
                    <w:tl2br w:val="nil"/>
                    <w:tr2bl w:val="nil"/>
                  </w:tcBorders>
                  <w:noWrap w:val="0"/>
                  <w:vAlign w:val="center"/>
                </w:tcPr>
                <w:p w14:paraId="32D9293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生活办公</w:t>
                  </w:r>
                </w:p>
              </w:tc>
              <w:tc>
                <w:tcPr>
                  <w:tcW w:w="849" w:type="dxa"/>
                  <w:tcBorders>
                    <w:tl2br w:val="nil"/>
                    <w:tr2bl w:val="nil"/>
                  </w:tcBorders>
                  <w:noWrap w:val="0"/>
                  <w:vAlign w:val="center"/>
                </w:tcPr>
                <w:p w14:paraId="05A7BAA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固态</w:t>
                  </w:r>
                </w:p>
              </w:tc>
              <w:tc>
                <w:tcPr>
                  <w:tcW w:w="1153" w:type="dxa"/>
                  <w:tcBorders>
                    <w:tl2br w:val="nil"/>
                    <w:tr2bl w:val="nil"/>
                  </w:tcBorders>
                  <w:noWrap w:val="0"/>
                  <w:vAlign w:val="center"/>
                </w:tcPr>
                <w:p w14:paraId="55E2EAD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w:t>
                  </w:r>
                </w:p>
              </w:tc>
              <w:tc>
                <w:tcPr>
                  <w:tcW w:w="1146" w:type="dxa"/>
                  <w:tcBorders>
                    <w:tl2br w:val="nil"/>
                    <w:tr2bl w:val="nil"/>
                  </w:tcBorders>
                  <w:noWrap w:val="0"/>
                  <w:vAlign w:val="center"/>
                </w:tcPr>
                <w:p w14:paraId="0629413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生活垃圾</w:t>
                  </w:r>
                </w:p>
              </w:tc>
              <w:tc>
                <w:tcPr>
                  <w:tcW w:w="1146" w:type="dxa"/>
                  <w:vMerge w:val="continue"/>
                  <w:tcBorders>
                    <w:tl2br w:val="nil"/>
                    <w:tr2bl w:val="nil"/>
                  </w:tcBorders>
                  <w:noWrap w:val="0"/>
                  <w:vAlign w:val="center"/>
                </w:tcPr>
                <w:p w14:paraId="4D2D633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vertAlign w:val="baseline"/>
                      <w14:textFill>
                        <w14:solidFill>
                          <w14:schemeClr w14:val="tx1"/>
                        </w14:solidFill>
                      </w14:textFill>
                    </w:rPr>
                  </w:pPr>
                </w:p>
              </w:tc>
              <w:tc>
                <w:tcPr>
                  <w:tcW w:w="800" w:type="dxa"/>
                  <w:tcBorders>
                    <w:tl2br w:val="nil"/>
                    <w:tr2bl w:val="nil"/>
                  </w:tcBorders>
                  <w:noWrap w:val="0"/>
                  <w:vAlign w:val="center"/>
                </w:tcPr>
                <w:p w14:paraId="6D28B2D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w:t>
                  </w:r>
                </w:p>
              </w:tc>
              <w:tc>
                <w:tcPr>
                  <w:tcW w:w="871" w:type="dxa"/>
                  <w:tcBorders>
                    <w:tl2br w:val="nil"/>
                    <w:tr2bl w:val="nil"/>
                  </w:tcBorders>
                  <w:noWrap w:val="0"/>
                  <w:vAlign w:val="center"/>
                </w:tcPr>
                <w:p w14:paraId="552B573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1514" w:type="dxa"/>
                  <w:tcBorders>
                    <w:tl2br w:val="nil"/>
                    <w:tr2bl w:val="nil"/>
                  </w:tcBorders>
                  <w:noWrap w:val="0"/>
                  <w:vAlign w:val="center"/>
                </w:tcPr>
                <w:p w14:paraId="7D62DF9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w:t>
                  </w:r>
                </w:p>
              </w:tc>
              <w:tc>
                <w:tcPr>
                  <w:tcW w:w="962" w:type="dxa"/>
                  <w:tcBorders>
                    <w:tl2br w:val="nil"/>
                    <w:tr2bl w:val="nil"/>
                  </w:tcBorders>
                  <w:noWrap w:val="0"/>
                  <w:vAlign w:val="center"/>
                </w:tcPr>
                <w:p w14:paraId="20280E3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13.65</w:t>
                  </w:r>
                </w:p>
              </w:tc>
              <w:tc>
                <w:tcPr>
                  <w:tcW w:w="1226" w:type="dxa"/>
                  <w:tcBorders>
                    <w:tl2br w:val="nil"/>
                    <w:tr2bl w:val="nil"/>
                  </w:tcBorders>
                  <w:noWrap w:val="0"/>
                  <w:vAlign w:val="center"/>
                </w:tcPr>
                <w:p w14:paraId="0AEB0A5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ascii="Times New Roman" w:hAnsi="Times New Roman" w:cs="Times New Roman"/>
                      <w:b w:val="0"/>
                      <w:bCs/>
                      <w:color w:val="000000" w:themeColor="text1"/>
                      <w:sz w:val="21"/>
                      <w:szCs w:val="21"/>
                      <w:highlight w:val="none"/>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交由环卫部门处理</w:t>
                  </w:r>
                </w:p>
              </w:tc>
            </w:tr>
          </w:tbl>
          <w:p w14:paraId="4EACD14A">
            <w:pPr>
              <w:spacing w:before="120" w:beforeLines="50"/>
              <w:ind w:left="480" w:leftChars="200" w:firstLine="0" w:firstLineChars="0"/>
              <w:rPr>
                <w:b/>
                <w:bCs/>
                <w:color w:val="000000" w:themeColor="text1"/>
                <w14:textFill>
                  <w14:solidFill>
                    <w14:schemeClr w14:val="tx1"/>
                  </w14:solidFill>
                </w14:textFill>
              </w:rPr>
            </w:pPr>
            <w:r>
              <w:rPr>
                <w:b/>
                <w:bCs/>
                <w:color w:val="000000" w:themeColor="text1"/>
                <w14:textFill>
                  <w14:solidFill>
                    <w14:schemeClr w14:val="tx1"/>
                  </w14:solidFill>
                </w14:textFill>
              </w:rPr>
              <w:t>2、固体废弃物环境影响分析</w:t>
            </w:r>
          </w:p>
          <w:p w14:paraId="3B992814">
            <w:pPr>
              <w:spacing w:line="360" w:lineRule="auto"/>
              <w:ind w:firstLine="482" w:firstLineChars="200"/>
              <w:rPr>
                <w:rFonts w:hint="eastAsia" w:ascii="Times New Roman" w:hAnsi="Times New Roman" w:eastAsia="宋体" w:cs="Times New Roman"/>
                <w:b/>
                <w:bCs/>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14:textFill>
                  <w14:solidFill>
                    <w14:schemeClr w14:val="tx1"/>
                  </w14:solidFill>
                </w14:textFill>
              </w:rPr>
              <w:t>一般</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工业</w:t>
            </w:r>
            <w:r>
              <w:rPr>
                <w:rFonts w:hint="eastAsia" w:ascii="Times New Roman" w:hAnsi="Times New Roman" w:eastAsia="宋体" w:cs="Times New Roman"/>
                <w:b/>
                <w:bCs/>
                <w:color w:val="000000" w:themeColor="text1"/>
                <w:sz w:val="24"/>
                <w:szCs w:val="24"/>
                <w:highlight w:val="none"/>
                <w14:textFill>
                  <w14:solidFill>
                    <w14:schemeClr w14:val="tx1"/>
                  </w14:solidFill>
                </w14:textFill>
              </w:rPr>
              <w:t>固体废物</w:t>
            </w:r>
          </w:p>
          <w:p w14:paraId="4DB9EDFF">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w:t>
            </w:r>
            <w:r>
              <w:rPr>
                <w:rFonts w:hint="eastAsia" w:eastAsia="宋体" w:cs="Times New Roman"/>
                <w:color w:val="000000" w:themeColor="text1"/>
                <w:sz w:val="24"/>
                <w:szCs w:val="24"/>
                <w:highlight w:val="none"/>
                <w:lang w:val="en-US" w:eastAsia="zh-CN"/>
                <w14:textFill>
                  <w14:solidFill>
                    <w14:schemeClr w14:val="tx1"/>
                  </w14:solidFill>
                </w14:textFill>
              </w:rPr>
              <w:t>废包装袋、废模具、</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边角料、车间沉降粉尘</w:t>
            </w:r>
            <w:r>
              <w:rPr>
                <w:rFonts w:hint="eastAsia" w:eastAsia="宋体" w:cs="Times New Roman"/>
                <w:color w:val="000000" w:themeColor="text1"/>
                <w:sz w:val="24"/>
                <w:szCs w:val="24"/>
                <w:highlight w:val="none"/>
                <w:lang w:val="en-US" w:eastAsia="zh-CN"/>
                <w14:textFill>
                  <w14:solidFill>
                    <w14:schemeClr w14:val="tx1"/>
                  </w14:solidFill>
                </w14:textFill>
              </w:rPr>
              <w:t>、废布袋、布袋除尘收集尘</w:t>
            </w:r>
            <w:r>
              <w:rPr>
                <w:rFonts w:hint="eastAsia" w:ascii="Times New Roman" w:hAnsi="Times New Roman" w:eastAsia="宋体" w:cs="Times New Roman"/>
                <w:color w:val="000000" w:themeColor="text1"/>
                <w:sz w:val="24"/>
                <w:szCs w:val="24"/>
                <w:highlight w:val="none"/>
                <w14:textFill>
                  <w14:solidFill>
                    <w14:schemeClr w14:val="tx1"/>
                  </w14:solidFill>
                </w14:textFill>
              </w:rPr>
              <w:t>收集后全部外售综合利用</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一般工业固体废物贮存过程应满足相应防渗漏、防雨淋、防扬尘等环境保护要求</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项目拟</w:t>
            </w:r>
            <w:r>
              <w:rPr>
                <w:rFonts w:hint="eastAsia" w:ascii="Times New Roman" w:hAnsi="Times New Roman" w:eastAsia="宋体" w:cs="Times New Roman"/>
                <w:color w:val="000000" w:themeColor="text1"/>
                <w:sz w:val="24"/>
                <w:szCs w:val="24"/>
                <w:highlight w:val="none"/>
                <w14:textFill>
                  <w14:solidFill>
                    <w14:schemeClr w14:val="tx1"/>
                  </w14:solidFill>
                </w14:textFill>
              </w:rPr>
              <w:t>在</w:t>
            </w:r>
            <w:r>
              <w:rPr>
                <w:rFonts w:hint="eastAsia" w:eastAsia="宋体" w:cs="Times New Roman"/>
                <w:color w:val="000000" w:themeColor="text1"/>
                <w:sz w:val="24"/>
                <w:szCs w:val="24"/>
                <w:highlight w:val="none"/>
                <w:lang w:val="en-US" w:eastAsia="zh-CN"/>
                <w14:textFill>
                  <w14:solidFill>
                    <w14:schemeClr w14:val="tx1"/>
                  </w14:solidFill>
                </w14:textFill>
              </w:rPr>
              <w:t>成型-坯体车间东侧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设</w:t>
            </w:r>
            <w:r>
              <w:rPr>
                <w:rFonts w:hint="eastAsia" w:ascii="Times New Roman" w:hAnsi="Times New Roman" w:eastAsia="宋体" w:cs="Times New Roman"/>
                <w:color w:val="000000" w:themeColor="text1"/>
                <w:sz w:val="24"/>
                <w:szCs w:val="24"/>
                <w:highlight w:val="none"/>
                <w14:textFill>
                  <w14:solidFill>
                    <w14:schemeClr w14:val="tx1"/>
                  </w14:solidFill>
                </w14:textFill>
              </w:rPr>
              <w:t>1座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一般</w:t>
            </w:r>
            <w:r>
              <w:rPr>
                <w:rFonts w:hint="eastAsia" w:ascii="Times New Roman" w:hAnsi="Times New Roman" w:eastAsia="宋体" w:cs="Times New Roman"/>
                <w:color w:val="000000" w:themeColor="text1"/>
                <w:sz w:val="24"/>
                <w:szCs w:val="24"/>
                <w:highlight w:val="none"/>
                <w14:textFill>
                  <w14:solidFill>
                    <w14:schemeClr w14:val="tx1"/>
                  </w14:solidFill>
                </w14:textFill>
              </w:rPr>
              <w:t>固废暂存</w:t>
            </w:r>
            <w:r>
              <w:rPr>
                <w:rFonts w:hint="eastAsia" w:eastAsia="宋体" w:cs="Times New Roman"/>
                <w:color w:val="000000" w:themeColor="text1"/>
                <w:sz w:val="24"/>
                <w:szCs w:val="24"/>
                <w:highlight w:val="none"/>
                <w:lang w:val="en-US" w:eastAsia="zh-CN"/>
                <w14:textFill>
                  <w14:solidFill>
                    <w14:schemeClr w14:val="tx1"/>
                  </w14:solidFill>
                </w14:textFill>
              </w:rPr>
              <w:t>间</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10</w:t>
            </w:r>
            <w:r>
              <w:rPr>
                <w:rFonts w:hint="eastAsia" w:ascii="Times New Roman" w:hAnsi="Times New Roman" w:eastAsia="宋体" w:cs="Times New Roman"/>
                <w:color w:val="000000" w:themeColor="text1"/>
                <w:sz w:val="24"/>
                <w:szCs w:val="24"/>
                <w:highlight w:val="none"/>
                <w14:textFill>
                  <w14:solidFill>
                    <w14:schemeClr w14:val="tx1"/>
                  </w14:solidFill>
                </w14:textFill>
              </w:rPr>
              <w:t>m</w:t>
            </w:r>
            <w:r>
              <w:rPr>
                <w:rFonts w:hint="eastAsia"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设计最大贮存量为</w:t>
            </w:r>
            <w:r>
              <w:rPr>
                <w:rFonts w:hint="eastAsia" w:eastAsia="宋体" w:cs="Times New Roman"/>
                <w:color w:val="000000" w:themeColor="text1"/>
                <w:sz w:val="24"/>
                <w:szCs w:val="24"/>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项目一般工业固废暂存周期按60d计，则需要暂存的一般工业固废量=（</w:t>
            </w:r>
            <w:r>
              <w:rPr>
                <w:rFonts w:hint="eastAsia" w:eastAsia="宋体" w:cs="Times New Roman"/>
                <w:color w:val="000000" w:themeColor="text1"/>
                <w:sz w:val="24"/>
                <w:szCs w:val="24"/>
                <w:highlight w:val="none"/>
                <w:lang w:val="en-US" w:eastAsia="zh-CN"/>
                <w14:textFill>
                  <w14:solidFill>
                    <w14:schemeClr w14:val="tx1"/>
                  </w14:solidFill>
                </w14:textFill>
              </w:rPr>
              <w:t>0.166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eastAsia="宋体" w:cs="Times New Roman"/>
                <w:color w:val="000000" w:themeColor="text1"/>
                <w:sz w:val="24"/>
                <w:szCs w:val="24"/>
                <w:highlight w:val="none"/>
                <w:lang w:val="en-US" w:eastAsia="zh-CN"/>
                <w14:textFill>
                  <w14:solidFill>
                    <w14:schemeClr w14:val="tx1"/>
                  </w14:solidFill>
                </w14:textFill>
              </w:rPr>
              <w:t>4.0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+0.</w:t>
            </w:r>
            <w:r>
              <w:rPr>
                <w:rFonts w:hint="eastAsia" w:eastAsia="宋体" w:cs="Times New Roman"/>
                <w:color w:val="000000" w:themeColor="text1"/>
                <w:sz w:val="24"/>
                <w:szCs w:val="24"/>
                <w:highlight w:val="none"/>
                <w:lang w:val="en-US" w:eastAsia="zh-CN"/>
                <w14:textFill>
                  <w14:solidFill>
                    <w14:schemeClr w14:val="tx1"/>
                  </w14:solidFill>
                </w14:textFill>
              </w:rPr>
              <w:t>45+0.150+0.002+0.003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eastAsia" w:eastAsia="宋体" w:cs="Times New Roman"/>
                <w:color w:val="000000" w:themeColor="text1"/>
                <w:sz w:val="24"/>
                <w:szCs w:val="24"/>
                <w:highlight w:val="none"/>
                <w:lang w:val="en-US" w:eastAsia="zh-CN"/>
                <w14:textFill>
                  <w14:solidFill>
                    <w14:schemeClr w14:val="tx1"/>
                  </w14:solidFill>
                </w14:textFill>
              </w:rPr>
              <w:t>0.795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t，在一般工业固废暂存库最大贮存量范围内。</w:t>
            </w:r>
            <w:r>
              <w:rPr>
                <w:rFonts w:hint="eastAsia" w:ascii="Times New Roman" w:hAnsi="Times New Roman" w:eastAsia="宋体" w:cs="Times New Roman"/>
                <w:color w:val="000000" w:themeColor="text1"/>
                <w:sz w:val="24"/>
                <w:szCs w:val="24"/>
                <w:highlight w:val="none"/>
                <w14:textFill>
                  <w14:solidFill>
                    <w14:schemeClr w14:val="tx1"/>
                  </w14:solidFill>
                </w14:textFill>
              </w:rPr>
              <w:t>各类固废在送出厂外处理处置前，在厂内分类收集、暂存。</w:t>
            </w:r>
          </w:p>
          <w:p w14:paraId="489E4DEC">
            <w:pPr>
              <w:spacing w:line="360" w:lineRule="auto"/>
              <w:ind w:firstLine="482" w:firstLineChars="200"/>
              <w:rPr>
                <w:rFonts w:hint="eastAsia" w:ascii="Times New Roman" w:hAnsi="Times New Roman" w:eastAsia="宋体" w:cs="Times New Roman"/>
                <w:b/>
                <w:bCs/>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14:textFill>
                  <w14:solidFill>
                    <w14:schemeClr w14:val="tx1"/>
                  </w14:solidFill>
                </w14:textFill>
              </w:rPr>
              <w:t>危险废物</w:t>
            </w:r>
          </w:p>
          <w:p w14:paraId="03D8CA44">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w:t>
            </w:r>
            <w:r>
              <w:rPr>
                <w:rFonts w:hint="eastAsia" w:ascii="Times New Roman" w:hAnsi="Times New Roman" w:eastAsia="宋体" w:cs="Times New Roman"/>
                <w:color w:val="000000" w:themeColor="text1"/>
                <w:sz w:val="24"/>
                <w:szCs w:val="24"/>
                <w:highlight w:val="none"/>
                <w14:textFill>
                  <w14:solidFill>
                    <w14:schemeClr w14:val="tx1"/>
                  </w14:solidFill>
                </w14:textFill>
              </w:rPr>
              <w:t>危险废物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包括废包装桶、</w:t>
            </w:r>
            <w:r>
              <w:rPr>
                <w:rFonts w:hint="eastAsia" w:eastAsia="宋体" w:cs="Times New Roman"/>
                <w:color w:val="000000" w:themeColor="text1"/>
                <w:sz w:val="24"/>
                <w:szCs w:val="24"/>
                <w:highlight w:val="none"/>
                <w:lang w:val="en-US" w:eastAsia="zh-CN"/>
                <w14:textFill>
                  <w14:solidFill>
                    <w14:schemeClr w14:val="tx1"/>
                  </w14:solidFill>
                </w14:textFill>
              </w:rPr>
              <w:t>废彩绘笔、</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废过滤棉、废活性炭、漆渣、废机油、废机油桶、含油废抹布及劳保用品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14:textFill>
                  <w14:solidFill>
                    <w14:schemeClr w14:val="tx1"/>
                  </w14:solidFill>
                </w14:textFill>
              </w:rPr>
              <w:t>危险废物应当按照危险废物的有关规定和要求对其贮存、运输，</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采用密闭容器收集后</w:t>
            </w:r>
            <w:r>
              <w:rPr>
                <w:rFonts w:hint="eastAsia" w:ascii="Times New Roman" w:hAnsi="Times New Roman" w:eastAsia="宋体" w:cs="Times New Roman"/>
                <w:color w:val="000000" w:themeColor="text1"/>
                <w:sz w:val="24"/>
                <w:szCs w:val="24"/>
                <w:highlight w:val="none"/>
                <w14:textFill>
                  <w14:solidFill>
                    <w14:schemeClr w14:val="tx1"/>
                  </w14:solidFill>
                </w14:textFill>
              </w:rPr>
              <w:t>交由有资质单位处理。项目拟在</w:t>
            </w:r>
            <w:r>
              <w:rPr>
                <w:rFonts w:hint="eastAsia" w:eastAsia="宋体" w:cs="Times New Roman"/>
                <w:color w:val="000000" w:themeColor="text1"/>
                <w:sz w:val="24"/>
                <w:szCs w:val="24"/>
                <w:highlight w:val="none"/>
                <w:lang w:val="en-US" w:eastAsia="zh-CN"/>
                <w14:textFill>
                  <w14:solidFill>
                    <w14:schemeClr w14:val="tx1"/>
                  </w14:solidFill>
                </w14:textFill>
              </w:rPr>
              <w:t>喷漆房东南侧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新建</w:t>
            </w:r>
            <w:r>
              <w:rPr>
                <w:rFonts w:hint="eastAsia" w:ascii="Times New Roman" w:hAnsi="Times New Roman" w:eastAsia="宋体" w:cs="Times New Roman"/>
                <w:color w:val="000000" w:themeColor="text1"/>
                <w:sz w:val="24"/>
                <w:szCs w:val="24"/>
                <w:highlight w:val="none"/>
                <w14:textFill>
                  <w14:solidFill>
                    <w14:schemeClr w14:val="tx1"/>
                  </w14:solidFill>
                </w14:textFill>
              </w:rPr>
              <w:t>1座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危废暂存</w:t>
            </w:r>
            <w:r>
              <w:rPr>
                <w:rFonts w:hint="eastAsia" w:eastAsia="宋体" w:cs="Times New Roman"/>
                <w:color w:val="000000" w:themeColor="text1"/>
                <w:sz w:val="24"/>
                <w:szCs w:val="24"/>
                <w:highlight w:val="none"/>
                <w:lang w:val="en-US" w:eastAsia="zh-CN"/>
                <w14:textFill>
                  <w14:solidFill>
                    <w14:schemeClr w14:val="tx1"/>
                  </w14:solidFill>
                </w14:textFill>
              </w:rPr>
              <w:t>间</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eastAsia="宋体" w:cs="Times New Roman"/>
                <w:color w:val="000000" w:themeColor="text1"/>
                <w:sz w:val="24"/>
                <w:szCs w:val="24"/>
                <w:highlight w:val="none"/>
                <w:lang w:val="en-US" w:eastAsia="zh-CN"/>
                <w14:textFill>
                  <w14:solidFill>
                    <w14:schemeClr w14:val="tx1"/>
                  </w14:solidFill>
                </w14:textFill>
              </w:rPr>
              <w:t>20</w:t>
            </w:r>
            <w:r>
              <w:rPr>
                <w:rFonts w:hint="eastAsia" w:ascii="Times New Roman" w:hAnsi="Times New Roman" w:eastAsia="宋体" w:cs="Times New Roman"/>
                <w:color w:val="000000" w:themeColor="text1"/>
                <w:sz w:val="24"/>
                <w:szCs w:val="24"/>
                <w:highlight w:val="none"/>
                <w14:textFill>
                  <w14:solidFill>
                    <w14:schemeClr w14:val="tx1"/>
                  </w14:solidFill>
                </w14:textFill>
              </w:rPr>
              <w:t>m</w:t>
            </w:r>
            <w:r>
              <w:rPr>
                <w:rFonts w:hint="eastAsia"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最大贮存量为</w:t>
            </w:r>
            <w:r>
              <w:rPr>
                <w:rFonts w:hint="eastAsia" w:eastAsia="宋体" w:cs="Times New Roman"/>
                <w:color w:val="000000" w:themeColor="text1"/>
                <w:sz w:val="24"/>
                <w:szCs w:val="24"/>
                <w:highlight w:val="none"/>
                <w:lang w:val="en-US" w:eastAsia="zh-CN"/>
                <w14:textFill>
                  <w14:solidFill>
                    <w14:schemeClr w14:val="tx1"/>
                  </w14:solidFill>
                </w14:textFill>
              </w:rPr>
              <w:t>10</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w:t>
            </w:r>
            <w:r>
              <w:rPr>
                <w:rFonts w:hint="eastAsia" w:ascii="Times New Roman" w:hAnsi="Times New Roman" w:eastAsia="宋体" w:cs="Times New Roman"/>
                <w:color w:val="000000" w:themeColor="text1"/>
                <w:sz w:val="24"/>
                <w:szCs w:val="24"/>
                <w:highlight w:val="none"/>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项目危废暂存周期按60d计，则需要暂存的危废量=（</w:t>
            </w:r>
            <w:r>
              <w:rPr>
                <w:rFonts w:hint="eastAsia" w:eastAsia="宋体" w:cs="Times New Roman"/>
                <w:color w:val="000000" w:themeColor="text1"/>
                <w:sz w:val="24"/>
                <w:szCs w:val="24"/>
                <w:highlight w:val="none"/>
                <w:lang w:val="en-US" w:eastAsia="zh-CN"/>
                <w14:textFill>
                  <w14:solidFill>
                    <w14:schemeClr w14:val="tx1"/>
                  </w14:solidFill>
                </w14:textFill>
              </w:rPr>
              <w:t>0.58+0.197+0.094+0.426+5.316+0.050+0.003+0.005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eastAsia" w:eastAsia="宋体" w:cs="Times New Roman"/>
                <w:color w:val="000000" w:themeColor="text1"/>
                <w:sz w:val="24"/>
                <w:szCs w:val="24"/>
                <w:highlight w:val="none"/>
                <w:lang w:val="en-US" w:eastAsia="zh-CN"/>
                <w14:textFill>
                  <w14:solidFill>
                    <w14:schemeClr w14:val="tx1"/>
                  </w14:solidFill>
                </w14:textFill>
              </w:rPr>
              <w:t>1.112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t，在本项目危废暂存库最大贮存量范围内。项目危废暂存库应</w:t>
            </w:r>
            <w:r>
              <w:rPr>
                <w:rFonts w:hint="eastAsia" w:ascii="Times New Roman" w:hAnsi="Times New Roman" w:eastAsia="宋体" w:cs="Times New Roman"/>
                <w:color w:val="000000" w:themeColor="text1"/>
                <w:sz w:val="24"/>
                <w:szCs w:val="24"/>
                <w:highlight w:val="none"/>
                <w14:textFill>
                  <w14:solidFill>
                    <w14:schemeClr w14:val="tx1"/>
                  </w14:solidFill>
                </w14:textFill>
              </w:rPr>
              <w:t>按照《危险废物贮存污染控制标准》(GB18597-2023) 要求进行建设</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14:textFill>
                  <w14:solidFill>
                    <w14:schemeClr w14:val="tx1"/>
                  </w14:solidFill>
                </w14:textFill>
              </w:rPr>
              <w:t>防风、防雨、防晒、防渗、防漏、防腐并设警示标志；暂存库地面、墙面裙脚、堵截泄漏的围堰、接触危险废物的隔板和墙体等应采用坚固的材料建造，表面无裂缝；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 厚黏土层（渗透系数不大于10</w:t>
            </w:r>
            <w:r>
              <w:rPr>
                <w:rFonts w:hint="eastAsia" w:ascii="Times New Roman" w:hAnsi="Times New Roman" w:eastAsia="宋体" w:cs="Times New Roman"/>
                <w:color w:val="000000" w:themeColor="text1"/>
                <w:sz w:val="24"/>
                <w:szCs w:val="24"/>
                <w:highlight w:val="none"/>
                <w:vertAlign w:val="superscript"/>
                <w14:textFill>
                  <w14:solidFill>
                    <w14:schemeClr w14:val="tx1"/>
                  </w14:solidFill>
                </w14:textFill>
              </w:rPr>
              <w:t>-7</w:t>
            </w:r>
            <w:r>
              <w:rPr>
                <w:rFonts w:hint="eastAsia" w:ascii="Times New Roman" w:hAnsi="Times New Roman" w:eastAsia="宋体" w:cs="Times New Roman"/>
                <w:color w:val="000000" w:themeColor="text1"/>
                <w:sz w:val="24"/>
                <w:szCs w:val="24"/>
                <w:highlight w:val="none"/>
                <w14:textFill>
                  <w14:solidFill>
                    <w14:schemeClr w14:val="tx1"/>
                  </w14:solidFill>
                </w14:textFill>
              </w:rPr>
              <w:t>cm/s），或至少2 mm 厚高密度聚乙烯膜等人工防渗材料（渗透系数不大于10</w:t>
            </w:r>
            <w:r>
              <w:rPr>
                <w:rFonts w:hint="eastAsia" w:ascii="Times New Roman" w:hAnsi="Times New Roman" w:eastAsia="宋体" w:cs="Times New Roman"/>
                <w:color w:val="000000" w:themeColor="text1"/>
                <w:sz w:val="24"/>
                <w:szCs w:val="24"/>
                <w:highlight w:val="none"/>
                <w:vertAlign w:val="superscript"/>
                <w14:textFill>
                  <w14:solidFill>
                    <w14:schemeClr w14:val="tx1"/>
                  </w14:solidFill>
                </w14:textFill>
              </w:rPr>
              <w:t xml:space="preserve">-10 </w:t>
            </w:r>
            <w:r>
              <w:rPr>
                <w:rFonts w:hint="eastAsia" w:ascii="Times New Roman" w:hAnsi="Times New Roman" w:eastAsia="宋体" w:cs="Times New Roman"/>
                <w:color w:val="000000" w:themeColor="text1"/>
                <w:sz w:val="24"/>
                <w:szCs w:val="24"/>
                <w:highlight w:val="none"/>
                <w14:textFill>
                  <w14:solidFill>
                    <w14:schemeClr w14:val="tx1"/>
                  </w14:solidFill>
                </w14:textFill>
              </w:rPr>
              <w:t>cm/s），或其他防渗性能等效的材料。</w:t>
            </w:r>
          </w:p>
          <w:p w14:paraId="549815B4">
            <w:pPr>
              <w:pStyle w:val="57"/>
              <w:numPr>
                <w:ilvl w:val="3"/>
                <w:numId w:val="19"/>
              </w:numPr>
              <w:rPr>
                <w:rFonts w:hint="eastAsia"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项目危险废物贮存场所（设施）基本情况表</w:t>
            </w:r>
          </w:p>
          <w:tbl>
            <w:tblPr>
              <w:tblStyle w:val="166"/>
              <w:tblW w:w="5003" w:type="pct"/>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2179"/>
              <w:gridCol w:w="2044"/>
              <w:gridCol w:w="1"/>
              <w:gridCol w:w="1724"/>
              <w:gridCol w:w="4"/>
              <w:gridCol w:w="1545"/>
              <w:gridCol w:w="1114"/>
              <w:gridCol w:w="980"/>
              <w:gridCol w:w="979"/>
              <w:gridCol w:w="1019"/>
              <w:gridCol w:w="854"/>
            </w:tblGrid>
            <w:tr w14:paraId="6E6EF2A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875" w:type="pct"/>
                  <w:tcBorders>
                    <w:tl2br w:val="nil"/>
                    <w:tr2bl w:val="nil"/>
                  </w:tcBorders>
                  <w:noWrap w:val="0"/>
                  <w:vAlign w:val="center"/>
                </w:tcPr>
                <w:p w14:paraId="763FFA8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贮存场所(设施)名称</w:t>
                  </w:r>
                </w:p>
              </w:tc>
              <w:tc>
                <w:tcPr>
                  <w:tcW w:w="821" w:type="pct"/>
                  <w:gridSpan w:val="2"/>
                  <w:tcBorders>
                    <w:tl2br w:val="nil"/>
                    <w:tr2bl w:val="nil"/>
                  </w:tcBorders>
                  <w:noWrap w:val="0"/>
                  <w:vAlign w:val="center"/>
                </w:tcPr>
                <w:p w14:paraId="7069AFD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危险废物名称</w:t>
                  </w:r>
                </w:p>
              </w:tc>
              <w:tc>
                <w:tcPr>
                  <w:tcW w:w="694" w:type="pct"/>
                  <w:gridSpan w:val="2"/>
                  <w:tcBorders>
                    <w:tl2br w:val="nil"/>
                    <w:tr2bl w:val="nil"/>
                  </w:tcBorders>
                  <w:noWrap w:val="0"/>
                  <w:vAlign w:val="center"/>
                </w:tcPr>
                <w:p w14:paraId="298C54E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危险废物类别</w:t>
                  </w:r>
                </w:p>
              </w:tc>
              <w:tc>
                <w:tcPr>
                  <w:tcW w:w="620" w:type="pct"/>
                  <w:tcBorders>
                    <w:tl2br w:val="nil"/>
                    <w:tr2bl w:val="nil"/>
                  </w:tcBorders>
                  <w:noWrap w:val="0"/>
                  <w:vAlign w:val="center"/>
                </w:tcPr>
                <w:p w14:paraId="50E576A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危险废物代码</w:t>
                  </w:r>
                </w:p>
              </w:tc>
              <w:tc>
                <w:tcPr>
                  <w:tcW w:w="447" w:type="pct"/>
                  <w:tcBorders>
                    <w:tl2br w:val="nil"/>
                    <w:tr2bl w:val="nil"/>
                  </w:tcBorders>
                  <w:noWrap w:val="0"/>
                  <w:vAlign w:val="center"/>
                </w:tcPr>
                <w:p w14:paraId="0422758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位置</w:t>
                  </w:r>
                </w:p>
              </w:tc>
              <w:tc>
                <w:tcPr>
                  <w:tcW w:w="393" w:type="pct"/>
                  <w:tcBorders>
                    <w:tl2br w:val="nil"/>
                    <w:tr2bl w:val="nil"/>
                  </w:tcBorders>
                  <w:noWrap w:val="0"/>
                  <w:vAlign w:val="center"/>
                </w:tcPr>
                <w:p w14:paraId="60090D1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占地面积</w:t>
                  </w:r>
                </w:p>
              </w:tc>
              <w:tc>
                <w:tcPr>
                  <w:tcW w:w="393" w:type="pct"/>
                  <w:tcBorders>
                    <w:tl2br w:val="nil"/>
                    <w:tr2bl w:val="nil"/>
                  </w:tcBorders>
                  <w:noWrap w:val="0"/>
                  <w:vAlign w:val="center"/>
                </w:tcPr>
                <w:p w14:paraId="34FA6EF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贮存方式</w:t>
                  </w:r>
                </w:p>
              </w:tc>
              <w:tc>
                <w:tcPr>
                  <w:tcW w:w="409" w:type="pct"/>
                  <w:tcBorders>
                    <w:tl2br w:val="nil"/>
                    <w:tr2bl w:val="nil"/>
                  </w:tcBorders>
                  <w:noWrap w:val="0"/>
                  <w:vAlign w:val="center"/>
                </w:tcPr>
                <w:p w14:paraId="322AB67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贮存能力/t</w:t>
                  </w:r>
                </w:p>
              </w:tc>
              <w:tc>
                <w:tcPr>
                  <w:tcW w:w="343" w:type="pct"/>
                  <w:tcBorders>
                    <w:tl2br w:val="nil"/>
                    <w:tr2bl w:val="nil"/>
                  </w:tcBorders>
                  <w:noWrap w:val="0"/>
                  <w:vAlign w:val="center"/>
                </w:tcPr>
                <w:p w14:paraId="2A60483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b w:val="0"/>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贮存周期</w:t>
                  </w:r>
                </w:p>
              </w:tc>
            </w:tr>
            <w:tr w14:paraId="4CFD37E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875" w:type="pct"/>
                  <w:vMerge w:val="restart"/>
                  <w:tcBorders>
                    <w:tl2br w:val="nil"/>
                    <w:tr2bl w:val="nil"/>
                  </w:tcBorders>
                  <w:noWrap w:val="0"/>
                  <w:vAlign w:val="center"/>
                </w:tcPr>
                <w:p w14:paraId="3CE6B55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危废暂存</w:t>
                  </w:r>
                  <w:r>
                    <w:rPr>
                      <w:rFonts w:hint="eastAsia" w:cs="Times New Roman"/>
                      <w:color w:val="000000" w:themeColor="text1"/>
                      <w:sz w:val="21"/>
                      <w:szCs w:val="21"/>
                      <w:highlight w:val="none"/>
                      <w:lang w:val="en-US" w:eastAsia="zh-CN"/>
                      <w14:textFill>
                        <w14:solidFill>
                          <w14:schemeClr w14:val="tx1"/>
                        </w14:solidFill>
                      </w14:textFill>
                    </w:rPr>
                    <w:t>间</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新建</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p>
              </w:tc>
              <w:tc>
                <w:tcPr>
                  <w:tcW w:w="2234" w:type="dxa"/>
                  <w:gridSpan w:val="2"/>
                  <w:tcBorders>
                    <w:tl2br w:val="nil"/>
                    <w:tr2bl w:val="nil"/>
                  </w:tcBorders>
                  <w:noWrap w:val="0"/>
                  <w:vAlign w:val="center"/>
                </w:tcPr>
                <w:p w14:paraId="62639BFC">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废原料包装桶</w:t>
                  </w:r>
                </w:p>
              </w:tc>
              <w:tc>
                <w:tcPr>
                  <w:tcW w:w="1887" w:type="dxa"/>
                  <w:gridSpan w:val="2"/>
                  <w:tcBorders>
                    <w:tl2br w:val="nil"/>
                    <w:tr2bl w:val="nil"/>
                  </w:tcBorders>
                  <w:noWrap w:val="0"/>
                  <w:vAlign w:val="center"/>
                </w:tcPr>
                <w:p w14:paraId="1D5982B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688" w:type="dxa"/>
                  <w:tcBorders>
                    <w:tl2br w:val="nil"/>
                    <w:tr2bl w:val="nil"/>
                  </w:tcBorders>
                  <w:noWrap w:val="0"/>
                  <w:vAlign w:val="center"/>
                </w:tcPr>
                <w:p w14:paraId="6443CF0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9000-041-49</w:t>
                  </w:r>
                </w:p>
              </w:tc>
              <w:tc>
                <w:tcPr>
                  <w:tcW w:w="447" w:type="pct"/>
                  <w:vMerge w:val="restart"/>
                  <w:tcBorders>
                    <w:tl2br w:val="nil"/>
                    <w:tr2bl w:val="nil"/>
                  </w:tcBorders>
                  <w:noWrap w:val="0"/>
                  <w:vAlign w:val="center"/>
                </w:tcPr>
                <w:p w14:paraId="4C41442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eastAsia="宋体" w:cs="Times New Roman"/>
                      <w:color w:val="000000" w:themeColor="text1"/>
                      <w:sz w:val="21"/>
                      <w:szCs w:val="21"/>
                      <w:highlight w:val="none"/>
                      <w:lang w:val="en-US" w:eastAsia="zh-CN"/>
                      <w14:textFill>
                        <w14:solidFill>
                          <w14:schemeClr w14:val="tx1"/>
                        </w14:solidFill>
                      </w14:textFill>
                    </w:rPr>
                    <w:t>喷漆房东南侧</w:t>
                  </w:r>
                </w:p>
              </w:tc>
              <w:tc>
                <w:tcPr>
                  <w:tcW w:w="393" w:type="pct"/>
                  <w:vMerge w:val="restart"/>
                  <w:tcBorders>
                    <w:tl2br w:val="nil"/>
                    <w:tr2bl w:val="nil"/>
                  </w:tcBorders>
                  <w:noWrap w:val="0"/>
                  <w:vAlign w:val="center"/>
                </w:tcPr>
                <w:p w14:paraId="0BF0380C">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20</w:t>
                  </w:r>
                  <w:r>
                    <w:rPr>
                      <w:rFonts w:hint="default" w:ascii="Times New Roman" w:hAnsi="Times New Roman" w:cs="Times New Roman"/>
                      <w:color w:val="000000" w:themeColor="text1"/>
                      <w:sz w:val="21"/>
                      <w:szCs w:val="21"/>
                      <w:highlight w:val="none"/>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2</w:t>
                  </w:r>
                </w:p>
              </w:tc>
              <w:tc>
                <w:tcPr>
                  <w:tcW w:w="393" w:type="pct"/>
                  <w:vMerge w:val="restart"/>
                  <w:tcBorders>
                    <w:tl2br w:val="nil"/>
                    <w:tr2bl w:val="nil"/>
                  </w:tcBorders>
                  <w:noWrap w:val="0"/>
                  <w:vAlign w:val="center"/>
                </w:tcPr>
                <w:p w14:paraId="5CD854C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专用密闭容器贮存</w:t>
                  </w:r>
                </w:p>
              </w:tc>
              <w:tc>
                <w:tcPr>
                  <w:tcW w:w="409" w:type="pct"/>
                  <w:vMerge w:val="restart"/>
                  <w:tcBorders>
                    <w:tl2br w:val="nil"/>
                    <w:tr2bl w:val="nil"/>
                  </w:tcBorders>
                  <w:noWrap w:val="0"/>
                  <w:vAlign w:val="center"/>
                </w:tcPr>
                <w:p w14:paraId="781D535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10</w:t>
                  </w:r>
                </w:p>
              </w:tc>
              <w:tc>
                <w:tcPr>
                  <w:tcW w:w="343" w:type="pct"/>
                  <w:vMerge w:val="restart"/>
                  <w:tcBorders>
                    <w:tl2br w:val="nil"/>
                    <w:tr2bl w:val="nil"/>
                  </w:tcBorders>
                  <w:noWrap w:val="0"/>
                  <w:vAlign w:val="center"/>
                </w:tcPr>
                <w:p w14:paraId="5B6C6BC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60d</w:t>
                  </w:r>
                </w:p>
              </w:tc>
            </w:tr>
            <w:tr w14:paraId="2C8EFA5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875" w:type="pct"/>
                  <w:vMerge w:val="continue"/>
                  <w:tcBorders>
                    <w:tl2br w:val="nil"/>
                    <w:tr2bl w:val="nil"/>
                  </w:tcBorders>
                  <w:noWrap w:val="0"/>
                  <w:vAlign w:val="center"/>
                </w:tcPr>
                <w:p w14:paraId="732A24A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234" w:type="dxa"/>
                  <w:gridSpan w:val="2"/>
                  <w:tcBorders>
                    <w:tl2br w:val="nil"/>
                    <w:tr2bl w:val="nil"/>
                  </w:tcBorders>
                  <w:noWrap w:val="0"/>
                  <w:vAlign w:val="center"/>
                </w:tcPr>
                <w:p w14:paraId="0EBBF87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废过滤棉</w:t>
                  </w:r>
                </w:p>
              </w:tc>
              <w:tc>
                <w:tcPr>
                  <w:tcW w:w="1887" w:type="dxa"/>
                  <w:gridSpan w:val="2"/>
                  <w:tcBorders>
                    <w:tl2br w:val="nil"/>
                    <w:tr2bl w:val="nil"/>
                  </w:tcBorders>
                  <w:noWrap w:val="0"/>
                  <w:vAlign w:val="center"/>
                </w:tcPr>
                <w:p w14:paraId="1E49574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688" w:type="dxa"/>
                  <w:tcBorders>
                    <w:tl2br w:val="nil"/>
                    <w:tr2bl w:val="nil"/>
                  </w:tcBorders>
                  <w:noWrap w:val="0"/>
                  <w:vAlign w:val="center"/>
                </w:tcPr>
                <w:p w14:paraId="5381398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9000-041-49</w:t>
                  </w:r>
                </w:p>
              </w:tc>
              <w:tc>
                <w:tcPr>
                  <w:tcW w:w="447" w:type="pct"/>
                  <w:vMerge w:val="continue"/>
                  <w:tcBorders>
                    <w:tl2br w:val="nil"/>
                    <w:tr2bl w:val="nil"/>
                  </w:tcBorders>
                  <w:noWrap w:val="0"/>
                  <w:vAlign w:val="center"/>
                </w:tcPr>
                <w:p w14:paraId="20B7691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57BD563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4501DF2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09" w:type="pct"/>
                  <w:vMerge w:val="continue"/>
                  <w:tcBorders>
                    <w:tl2br w:val="nil"/>
                    <w:tr2bl w:val="nil"/>
                  </w:tcBorders>
                  <w:noWrap w:val="0"/>
                  <w:vAlign w:val="center"/>
                </w:tcPr>
                <w:p w14:paraId="6BDB4C1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43" w:type="pct"/>
                  <w:vMerge w:val="continue"/>
                  <w:tcBorders>
                    <w:tl2br w:val="nil"/>
                    <w:tr2bl w:val="nil"/>
                  </w:tcBorders>
                  <w:noWrap w:val="0"/>
                  <w:vAlign w:val="center"/>
                </w:tcPr>
                <w:p w14:paraId="0F7D859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1F02487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875" w:type="pct"/>
                  <w:vMerge w:val="continue"/>
                  <w:tcBorders>
                    <w:tl2br w:val="nil"/>
                    <w:tr2bl w:val="nil"/>
                  </w:tcBorders>
                  <w:noWrap w:val="0"/>
                  <w:vAlign w:val="center"/>
                </w:tcPr>
                <w:p w14:paraId="118C5AC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234" w:type="dxa"/>
                  <w:gridSpan w:val="2"/>
                  <w:tcBorders>
                    <w:tl2br w:val="nil"/>
                    <w:tr2bl w:val="nil"/>
                  </w:tcBorders>
                  <w:noWrap w:val="0"/>
                  <w:vAlign w:val="center"/>
                </w:tcPr>
                <w:p w14:paraId="0D774E8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废活性炭</w:t>
                  </w:r>
                </w:p>
              </w:tc>
              <w:tc>
                <w:tcPr>
                  <w:tcW w:w="1887" w:type="dxa"/>
                  <w:gridSpan w:val="2"/>
                  <w:tcBorders>
                    <w:tl2br w:val="nil"/>
                    <w:tr2bl w:val="nil"/>
                  </w:tcBorders>
                  <w:noWrap w:val="0"/>
                  <w:vAlign w:val="center"/>
                </w:tcPr>
                <w:p w14:paraId="62AFD7A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1688" w:type="dxa"/>
                  <w:tcBorders>
                    <w:tl2br w:val="nil"/>
                    <w:tr2bl w:val="nil"/>
                  </w:tcBorders>
                  <w:noWrap w:val="0"/>
                  <w:vAlign w:val="center"/>
                </w:tcPr>
                <w:p w14:paraId="1559E8D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9000-041-49</w:t>
                  </w:r>
                </w:p>
              </w:tc>
              <w:tc>
                <w:tcPr>
                  <w:tcW w:w="447" w:type="pct"/>
                  <w:vMerge w:val="continue"/>
                  <w:tcBorders>
                    <w:tl2br w:val="nil"/>
                    <w:tr2bl w:val="nil"/>
                  </w:tcBorders>
                  <w:noWrap w:val="0"/>
                  <w:vAlign w:val="center"/>
                </w:tcPr>
                <w:p w14:paraId="4558ECA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3A24CA72">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3CD1BB6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09" w:type="pct"/>
                  <w:vMerge w:val="continue"/>
                  <w:tcBorders>
                    <w:tl2br w:val="nil"/>
                    <w:tr2bl w:val="nil"/>
                  </w:tcBorders>
                  <w:noWrap w:val="0"/>
                  <w:vAlign w:val="center"/>
                </w:tcPr>
                <w:p w14:paraId="6DBE3826">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43" w:type="pct"/>
                  <w:vMerge w:val="continue"/>
                  <w:tcBorders>
                    <w:tl2br w:val="nil"/>
                    <w:tr2bl w:val="nil"/>
                  </w:tcBorders>
                  <w:noWrap w:val="0"/>
                  <w:vAlign w:val="center"/>
                </w:tcPr>
                <w:p w14:paraId="1F2E673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359F6E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875" w:type="pct"/>
                  <w:vMerge w:val="continue"/>
                  <w:tcBorders>
                    <w:tl2br w:val="nil"/>
                    <w:tr2bl w:val="nil"/>
                  </w:tcBorders>
                  <w:noWrap w:val="0"/>
                  <w:vAlign w:val="center"/>
                </w:tcPr>
                <w:p w14:paraId="1C0783E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2234" w:type="dxa"/>
                  <w:gridSpan w:val="2"/>
                  <w:tcBorders>
                    <w:tl2br w:val="nil"/>
                    <w:tr2bl w:val="nil"/>
                  </w:tcBorders>
                  <w:noWrap w:val="0"/>
                  <w:vAlign w:val="center"/>
                </w:tcPr>
                <w:p w14:paraId="302BC7F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漆渣</w:t>
                  </w:r>
                </w:p>
              </w:tc>
              <w:tc>
                <w:tcPr>
                  <w:tcW w:w="1887" w:type="dxa"/>
                  <w:gridSpan w:val="2"/>
                  <w:tcBorders>
                    <w:tl2br w:val="nil"/>
                    <w:tr2bl w:val="nil"/>
                  </w:tcBorders>
                  <w:noWrap w:val="0"/>
                  <w:vAlign w:val="center"/>
                </w:tcPr>
                <w:p w14:paraId="4EEA41E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HW12</w:t>
                  </w:r>
                </w:p>
              </w:tc>
              <w:tc>
                <w:tcPr>
                  <w:tcW w:w="1688" w:type="dxa"/>
                  <w:tcBorders>
                    <w:tl2br w:val="nil"/>
                    <w:tr2bl w:val="nil"/>
                  </w:tcBorders>
                  <w:noWrap w:val="0"/>
                  <w:vAlign w:val="center"/>
                </w:tcPr>
                <w:p w14:paraId="1475FD2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900-252-12</w:t>
                  </w:r>
                </w:p>
              </w:tc>
              <w:tc>
                <w:tcPr>
                  <w:tcW w:w="447" w:type="pct"/>
                  <w:vMerge w:val="continue"/>
                  <w:tcBorders>
                    <w:tl2br w:val="nil"/>
                    <w:tr2bl w:val="nil"/>
                  </w:tcBorders>
                  <w:noWrap w:val="0"/>
                  <w:vAlign w:val="center"/>
                </w:tcPr>
                <w:p w14:paraId="121DC8A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67D1522C">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7252F99D">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09" w:type="pct"/>
                  <w:vMerge w:val="continue"/>
                  <w:tcBorders>
                    <w:tl2br w:val="nil"/>
                    <w:tr2bl w:val="nil"/>
                  </w:tcBorders>
                  <w:noWrap w:val="0"/>
                  <w:vAlign w:val="center"/>
                </w:tcPr>
                <w:p w14:paraId="6BDCD84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43" w:type="pct"/>
                  <w:vMerge w:val="continue"/>
                  <w:tcBorders>
                    <w:tl2br w:val="nil"/>
                    <w:tr2bl w:val="nil"/>
                  </w:tcBorders>
                  <w:noWrap w:val="0"/>
                  <w:vAlign w:val="center"/>
                </w:tcPr>
                <w:p w14:paraId="1CD5B09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1638ED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875" w:type="pct"/>
                  <w:vMerge w:val="continue"/>
                  <w:tcBorders>
                    <w:tl2br w:val="nil"/>
                    <w:tr2bl w:val="nil"/>
                  </w:tcBorders>
                  <w:noWrap w:val="0"/>
                  <w:vAlign w:val="center"/>
                </w:tcPr>
                <w:p w14:paraId="22E34B7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821" w:type="pct"/>
                  <w:gridSpan w:val="2"/>
                  <w:tcBorders>
                    <w:tl2br w:val="nil"/>
                    <w:tr2bl w:val="nil"/>
                  </w:tcBorders>
                  <w:noWrap w:val="0"/>
                  <w:vAlign w:val="center"/>
                </w:tcPr>
                <w:p w14:paraId="41593F0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废机油</w:t>
                  </w:r>
                </w:p>
              </w:tc>
              <w:tc>
                <w:tcPr>
                  <w:tcW w:w="694" w:type="pct"/>
                  <w:gridSpan w:val="2"/>
                  <w:tcBorders>
                    <w:tl2br w:val="nil"/>
                    <w:tr2bl w:val="nil"/>
                  </w:tcBorders>
                  <w:noWrap w:val="0"/>
                  <w:vAlign w:val="center"/>
                </w:tcPr>
                <w:p w14:paraId="7BDB751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HW08</w:t>
                  </w:r>
                </w:p>
              </w:tc>
              <w:tc>
                <w:tcPr>
                  <w:tcW w:w="620" w:type="pct"/>
                  <w:tcBorders>
                    <w:tl2br w:val="nil"/>
                    <w:tr2bl w:val="nil"/>
                  </w:tcBorders>
                  <w:noWrap w:val="0"/>
                  <w:vAlign w:val="center"/>
                </w:tcPr>
                <w:p w14:paraId="1441219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900-217-08</w:t>
                  </w:r>
                </w:p>
              </w:tc>
              <w:tc>
                <w:tcPr>
                  <w:tcW w:w="447" w:type="pct"/>
                  <w:vMerge w:val="continue"/>
                  <w:tcBorders>
                    <w:tl2br w:val="nil"/>
                    <w:tr2bl w:val="nil"/>
                  </w:tcBorders>
                  <w:noWrap w:val="0"/>
                  <w:vAlign w:val="center"/>
                </w:tcPr>
                <w:p w14:paraId="3F58F748">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1132C7D4">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63E76B9A">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09" w:type="pct"/>
                  <w:vMerge w:val="continue"/>
                  <w:tcBorders>
                    <w:tl2br w:val="nil"/>
                    <w:tr2bl w:val="nil"/>
                  </w:tcBorders>
                  <w:noWrap w:val="0"/>
                  <w:vAlign w:val="center"/>
                </w:tcPr>
                <w:p w14:paraId="7C17017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43" w:type="pct"/>
                  <w:vMerge w:val="continue"/>
                  <w:tcBorders>
                    <w:tl2br w:val="nil"/>
                    <w:tr2bl w:val="nil"/>
                  </w:tcBorders>
                  <w:noWrap w:val="0"/>
                  <w:vAlign w:val="center"/>
                </w:tcPr>
                <w:p w14:paraId="19E4C893">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783136F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875" w:type="pct"/>
                  <w:vMerge w:val="continue"/>
                  <w:tcBorders>
                    <w:tl2br w:val="nil"/>
                    <w:tr2bl w:val="nil"/>
                  </w:tcBorders>
                  <w:noWrap w:val="0"/>
                  <w:vAlign w:val="center"/>
                </w:tcPr>
                <w:p w14:paraId="64A5A92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821" w:type="pct"/>
                  <w:tcBorders>
                    <w:tl2br w:val="nil"/>
                    <w:tr2bl w:val="nil"/>
                  </w:tcBorders>
                  <w:noWrap w:val="0"/>
                  <w:vAlign w:val="center"/>
                </w:tcPr>
                <w:p w14:paraId="281406DC">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废机油桶</w:t>
                  </w:r>
                </w:p>
              </w:tc>
              <w:tc>
                <w:tcPr>
                  <w:tcW w:w="692" w:type="pct"/>
                  <w:gridSpan w:val="2"/>
                  <w:tcBorders>
                    <w:tl2br w:val="nil"/>
                    <w:tr2bl w:val="nil"/>
                  </w:tcBorders>
                  <w:noWrap w:val="0"/>
                  <w:vAlign w:val="center"/>
                </w:tcPr>
                <w:p w14:paraId="4A3F43D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HW08</w:t>
                  </w:r>
                </w:p>
              </w:tc>
              <w:tc>
                <w:tcPr>
                  <w:tcW w:w="622" w:type="pct"/>
                  <w:gridSpan w:val="2"/>
                  <w:tcBorders>
                    <w:tl2br w:val="nil"/>
                    <w:tr2bl w:val="nil"/>
                  </w:tcBorders>
                  <w:noWrap w:val="0"/>
                  <w:vAlign w:val="center"/>
                </w:tcPr>
                <w:p w14:paraId="2783B7CF">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900-2</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49</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-08</w:t>
                  </w:r>
                </w:p>
              </w:tc>
              <w:tc>
                <w:tcPr>
                  <w:tcW w:w="447" w:type="pct"/>
                  <w:vMerge w:val="continue"/>
                  <w:tcBorders>
                    <w:tl2br w:val="nil"/>
                    <w:tr2bl w:val="nil"/>
                  </w:tcBorders>
                  <w:noWrap w:val="0"/>
                  <w:vAlign w:val="center"/>
                </w:tcPr>
                <w:p w14:paraId="273F3B57">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15ACCE2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93" w:type="pct"/>
                  <w:vMerge w:val="continue"/>
                  <w:tcBorders>
                    <w:tl2br w:val="nil"/>
                    <w:tr2bl w:val="nil"/>
                  </w:tcBorders>
                  <w:noWrap w:val="0"/>
                  <w:vAlign w:val="center"/>
                </w:tcPr>
                <w:p w14:paraId="28A7AA5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09" w:type="pct"/>
                  <w:vMerge w:val="continue"/>
                  <w:tcBorders>
                    <w:tl2br w:val="nil"/>
                    <w:tr2bl w:val="nil"/>
                  </w:tcBorders>
                  <w:noWrap w:val="0"/>
                  <w:vAlign w:val="center"/>
                </w:tcPr>
                <w:p w14:paraId="60AEB141">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cs="Times New Roman"/>
                      <w:color w:val="000000" w:themeColor="text1"/>
                      <w:sz w:val="21"/>
                      <w:szCs w:val="21"/>
                      <w:highlight w:val="none"/>
                      <w:lang w:val="en-US" w:eastAsia="zh-CN"/>
                      <w14:textFill>
                        <w14:solidFill>
                          <w14:schemeClr w14:val="tx1"/>
                        </w14:solidFill>
                      </w14:textFill>
                    </w:rPr>
                  </w:pPr>
                </w:p>
              </w:tc>
              <w:tc>
                <w:tcPr>
                  <w:tcW w:w="343" w:type="pct"/>
                  <w:vMerge w:val="continue"/>
                  <w:tcBorders>
                    <w:tl2br w:val="nil"/>
                    <w:tr2bl w:val="nil"/>
                  </w:tcBorders>
                  <w:noWrap w:val="0"/>
                  <w:vAlign w:val="center"/>
                </w:tcPr>
                <w:p w14:paraId="0085A299">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r w14:paraId="14798C5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75" w:type="pct"/>
                  <w:vMerge w:val="continue"/>
                  <w:tcBorders>
                    <w:tl2br w:val="nil"/>
                    <w:tr2bl w:val="nil"/>
                  </w:tcBorders>
                  <w:noWrap w:val="0"/>
                  <w:vAlign w:val="center"/>
                </w:tcPr>
                <w:p w14:paraId="7AD5770B">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821" w:type="pct"/>
                  <w:tcBorders>
                    <w:tl2br w:val="nil"/>
                    <w:tr2bl w:val="nil"/>
                  </w:tcBorders>
                  <w:noWrap w:val="0"/>
                  <w:vAlign w:val="center"/>
                </w:tcPr>
                <w:p w14:paraId="6FA4595D">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含油废抹布及劳保用品</w:t>
                  </w:r>
                </w:p>
              </w:tc>
              <w:tc>
                <w:tcPr>
                  <w:tcW w:w="692" w:type="pct"/>
                  <w:gridSpan w:val="2"/>
                  <w:tcBorders>
                    <w:tl2br w:val="nil"/>
                    <w:tr2bl w:val="nil"/>
                  </w:tcBorders>
                  <w:noWrap w:val="0"/>
                  <w:vAlign w:val="center"/>
                </w:tcPr>
                <w:p w14:paraId="3700D8A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HW49</w:t>
                  </w:r>
                </w:p>
              </w:tc>
              <w:tc>
                <w:tcPr>
                  <w:tcW w:w="622" w:type="pct"/>
                  <w:gridSpan w:val="2"/>
                  <w:tcBorders>
                    <w:tl2br w:val="nil"/>
                    <w:tr2bl w:val="nil"/>
                  </w:tcBorders>
                  <w:noWrap w:val="0"/>
                  <w:vAlign w:val="center"/>
                </w:tcPr>
                <w:p w14:paraId="53832D9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9000-041-49</w:t>
                  </w:r>
                </w:p>
              </w:tc>
              <w:tc>
                <w:tcPr>
                  <w:tcW w:w="447" w:type="pct"/>
                  <w:vMerge w:val="continue"/>
                  <w:tcBorders>
                    <w:tl2br w:val="nil"/>
                    <w:tr2bl w:val="nil"/>
                  </w:tcBorders>
                  <w:noWrap w:val="0"/>
                  <w:vAlign w:val="center"/>
                </w:tcPr>
                <w:p w14:paraId="3B486FEA">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393" w:type="pct"/>
                  <w:vMerge w:val="continue"/>
                  <w:tcBorders>
                    <w:tl2br w:val="nil"/>
                    <w:tr2bl w:val="nil"/>
                  </w:tcBorders>
                  <w:noWrap w:val="0"/>
                  <w:vAlign w:val="center"/>
                </w:tcPr>
                <w:p w14:paraId="7BA791FE">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393" w:type="pct"/>
                  <w:vMerge w:val="continue"/>
                  <w:tcBorders>
                    <w:tl2br w:val="nil"/>
                    <w:tr2bl w:val="nil"/>
                  </w:tcBorders>
                  <w:noWrap w:val="0"/>
                  <w:vAlign w:val="center"/>
                </w:tcPr>
                <w:p w14:paraId="1B9D147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409" w:type="pct"/>
                  <w:vMerge w:val="continue"/>
                  <w:tcBorders>
                    <w:tl2br w:val="nil"/>
                    <w:tr2bl w:val="nil"/>
                  </w:tcBorders>
                  <w:noWrap w:val="0"/>
                  <w:vAlign w:val="center"/>
                </w:tcPr>
                <w:p w14:paraId="5378FE2F">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c>
                <w:tcPr>
                  <w:tcW w:w="343" w:type="pct"/>
                  <w:vMerge w:val="continue"/>
                  <w:tcBorders>
                    <w:tl2br w:val="nil"/>
                    <w:tr2bl w:val="nil"/>
                  </w:tcBorders>
                  <w:noWrap w:val="0"/>
                  <w:vAlign w:val="center"/>
                </w:tcPr>
                <w:p w14:paraId="572319E5">
                  <w:pPr>
                    <w:pStyle w:val="169"/>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cs="Times New Roman"/>
                      <w:color w:val="000000" w:themeColor="text1"/>
                      <w:sz w:val="21"/>
                      <w:szCs w:val="21"/>
                      <w:highlight w:val="none"/>
                      <w14:textFill>
                        <w14:solidFill>
                          <w14:schemeClr w14:val="tx1"/>
                        </w14:solidFill>
                      </w14:textFill>
                    </w:rPr>
                  </w:pPr>
                </w:p>
              </w:tc>
            </w:tr>
          </w:tbl>
          <w:p w14:paraId="67FD84E4">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按照《危险废物贮存污染控制标准》(GB18597-2023)危废贮存要求，项目危废贮存按以下要求进行：</w:t>
            </w:r>
          </w:p>
          <w:p w14:paraId="05FDEA86">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1）存危险废物应根据危险废物的类别、形态、物理化学性质和污染防治要求进行分类贮存，且应避免危险废物与不相容的物质或材料接触。项目</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废机油</w:t>
            </w:r>
            <w:r>
              <w:rPr>
                <w:rFonts w:hint="eastAsia" w:ascii="Times New Roman" w:hAnsi="Times New Roman" w:eastAsia="宋体" w:cs="Times New Roman"/>
                <w:color w:val="000000" w:themeColor="text1"/>
                <w:sz w:val="24"/>
                <w:szCs w:val="24"/>
                <w:highlight w:val="none"/>
                <w14:textFill>
                  <w14:solidFill>
                    <w14:schemeClr w14:val="tx1"/>
                  </w14:solidFill>
                </w14:textFill>
              </w:rPr>
              <w:t>置于密闭容器中贮存。</w:t>
            </w:r>
          </w:p>
          <w:p w14:paraId="4D8EBA2A">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2） 贮存危险废物应根据危险废物的形态、物理化学性质、包装形式和污染物迁移途径，采取措施减少渗滤液及其衍生废物、渗漏的液态废物（简称渗漏液）、VOCs、有毒有害大气污染物和刺激性气味气体等污染物的产生，防止其污染环境。</w:t>
            </w:r>
          </w:p>
          <w:p w14:paraId="7806463B">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3）危险废物贮存过程产生的液态废物和固态废物应分类收集，按其环境管理要求妥善处理。贮存设施或场所、容器和包装物应按HJ 1276 要求设置危险废物贮存设施或场所标志、危险废物贮存分区标志和危险废物标签等危险废物识别标志。</w:t>
            </w:r>
          </w:p>
          <w:p w14:paraId="12CB035B">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4）贮存设施退役时，所有者或运营者应依法履行环境保护责任，退役前应妥善处理处置贮存设施内剩余的危险废物，并对贮存设施进行清理，消除污染；还应依据土壤污染防治相关法律法规履行场地环境风险防控责任。</w:t>
            </w:r>
          </w:p>
          <w:p w14:paraId="2C1030B3">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5）在常温常压下易爆、易燃及排出有毒气体的危险废物应进行预处理，使之稳定后贮存，否则应按易爆、易燃危险品贮存。</w:t>
            </w:r>
          </w:p>
          <w:p w14:paraId="4CEE5813">
            <w:pPr>
              <w:spacing w:line="360" w:lineRule="auto"/>
              <w:ind w:firstLine="480" w:firstLineChars="200"/>
              <w:rPr>
                <w:rFonts w:hint="eastAsia"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6）危险废物贮存除应满足环境保护相关要求外，还应执行国家安全生产、职业健康、交通运输、消防等法律法规和标准的相关要求。</w:t>
            </w:r>
          </w:p>
          <w:p w14:paraId="0302AB2C">
            <w:pPr>
              <w:pStyle w:val="149"/>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（3）生活垃圾</w:t>
            </w:r>
          </w:p>
          <w:p w14:paraId="3FD3F6D1">
            <w:pPr>
              <w:pStyle w:val="149"/>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olor w:val="000000" w:themeColor="text1"/>
                <w:highlight w:val="none"/>
                <w:lang w:val="en-US"/>
                <w14:textFill>
                  <w14:solidFill>
                    <w14:schemeClr w14:val="tx1"/>
                  </w14:solidFill>
                </w14:textFill>
              </w:rPr>
              <w:t>统一收集，交由环卫部门统一处理</w:t>
            </w:r>
            <w:r>
              <w:rPr>
                <w:rFonts w:hint="eastAsia"/>
                <w:color w:val="000000" w:themeColor="text1"/>
                <w:highlight w:val="none"/>
                <w:lang w:val="en-US" w:eastAsia="zh-CN"/>
                <w14:textFill>
                  <w14:solidFill>
                    <w14:schemeClr w14:val="tx1"/>
                  </w14:solidFill>
                </w14:textFill>
              </w:rPr>
              <w:t>。</w:t>
            </w:r>
          </w:p>
          <w:p w14:paraId="27978035">
            <w:pPr>
              <w:pStyle w:val="149"/>
              <w:pageBreakBefore w:val="0"/>
              <w:widowControl w:val="0"/>
              <w:kinsoku/>
              <w:wordWrap/>
              <w:overflowPunct/>
              <w:topLinePunct w:val="0"/>
              <w:autoSpaceDE/>
              <w:autoSpaceDN/>
              <w:bidi w:val="0"/>
              <w:adjustRightInd/>
              <w:snapToGrid/>
              <w:spacing w:line="360" w:lineRule="auto"/>
              <w:ind w:firstLine="480"/>
              <w:textAlignment w:val="auto"/>
              <w:rPr>
                <w:rFonts w:hint="default"/>
                <w:color w:val="000000" w:themeColor="text1"/>
                <w:szCs w:val="28"/>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在严格采取以上措施情况下，本项目营运期产生的各类固体废物均可得到妥善处理和处置，不会对周围环境产生二次污染，对环境影响较小</w:t>
            </w:r>
            <w:r>
              <w:rPr>
                <w:color w:val="000000" w:themeColor="text1"/>
                <w14:textFill>
                  <w14:solidFill>
                    <w14:schemeClr w14:val="tx1"/>
                  </w14:solidFill>
                </w14:textFill>
              </w:rPr>
              <w:t>。</w:t>
            </w:r>
          </w:p>
        </w:tc>
      </w:tr>
    </w:tbl>
    <w:p w14:paraId="4E2782B7">
      <w:pPr>
        <w:ind w:firstLine="0" w:firstLineChars="0"/>
        <w:rPr>
          <w:color w:val="000000" w:themeColor="text1"/>
          <w14:textFill>
            <w14:solidFill>
              <w14:schemeClr w14:val="tx1"/>
            </w14:solidFill>
          </w14:textFill>
        </w:rPr>
        <w:sectPr>
          <w:pgSz w:w="16840" w:h="11907" w:orient="landscape"/>
          <w:pgMar w:top="1440" w:right="1797" w:bottom="1440" w:left="1797" w:header="851" w:footer="1134" w:gutter="0"/>
          <w:pgBorders>
            <w:top w:val="none" w:sz="0" w:space="0"/>
            <w:left w:val="none" w:sz="0" w:space="0"/>
            <w:bottom w:val="none" w:sz="0" w:space="0"/>
            <w:right w:val="none" w:sz="0" w:space="0"/>
          </w:pgBorders>
          <w:cols w:space="0" w:num="1"/>
          <w:docGrid w:linePitch="312" w:charSpace="0"/>
        </w:sectPr>
      </w:pP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8663"/>
      </w:tblGrid>
      <w:tr w14:paraId="694F2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7" w:hRule="atLeast"/>
        </w:trPr>
        <w:tc>
          <w:tcPr>
            <w:tcW w:w="313" w:type="pct"/>
          </w:tcPr>
          <w:p w14:paraId="5CCE7634">
            <w:pPr>
              <w:pStyle w:val="19"/>
              <w:ind w:firstLine="560"/>
              <w:rPr>
                <w:color w:val="000000" w:themeColor="text1"/>
                <w14:textFill>
                  <w14:solidFill>
                    <w14:schemeClr w14:val="tx1"/>
                  </w14:solidFill>
                </w14:textFill>
              </w:rPr>
            </w:pPr>
          </w:p>
        </w:tc>
        <w:tc>
          <w:tcPr>
            <w:tcW w:w="4686" w:type="pct"/>
          </w:tcPr>
          <w:p w14:paraId="3C98A0B0">
            <w:pPr>
              <w:ind w:left="0" w:leftChars="0" w:firstLine="0" w:firstLineChars="0"/>
              <w:rPr>
                <w:b/>
                <w:bCs/>
                <w:color w:val="000000" w:themeColor="text1"/>
                <w14:textFill>
                  <w14:solidFill>
                    <w14:schemeClr w14:val="tx1"/>
                  </w14:solidFill>
                </w14:textFill>
              </w:rPr>
            </w:pPr>
            <w:r>
              <w:rPr>
                <w:b/>
                <w:bCs/>
                <w:color w:val="000000" w:themeColor="text1"/>
                <w14:textFill>
                  <w14:solidFill>
                    <w14:schemeClr w14:val="tx1"/>
                  </w14:solidFill>
                </w14:textFill>
              </w:rPr>
              <w:t>五、地下水及土壤影响分析</w:t>
            </w:r>
          </w:p>
          <w:p w14:paraId="7ADB3BB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地下水及土壤污染类型与污染途径识别</w:t>
            </w:r>
          </w:p>
          <w:p w14:paraId="5D8274F2">
            <w:pPr>
              <w:keepNext w:val="0"/>
              <w:keepLines w:val="0"/>
              <w:pageBreakBefore w:val="0"/>
              <w:widowControl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eastAsia="宋体" w:cs="Times New Roman"/>
                <w:color w:val="000000" w:themeColor="text1"/>
                <w:sz w:val="24"/>
                <w:szCs w:val="24"/>
                <w:lang w:val="en-US" w:eastAsia="zh-CN"/>
                <w14:textFill>
                  <w14:solidFill>
                    <w14:schemeClr w14:val="tx1"/>
                  </w14:solidFill>
                </w14:textFill>
              </w:rPr>
              <w:t>成型、坯体车间、彩绘车间、喷漆房、调漆室</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等</w:t>
            </w:r>
            <w:r>
              <w:rPr>
                <w:rFonts w:hint="default" w:ascii="Times New Roman" w:hAnsi="Times New Roman" w:eastAsia="宋体" w:cs="Times New Roman"/>
                <w:color w:val="000000" w:themeColor="text1"/>
                <w:sz w:val="24"/>
                <w:szCs w:val="24"/>
                <w14:textFill>
                  <w14:solidFill>
                    <w14:schemeClr w14:val="tx1"/>
                  </w14:solidFill>
                </w14:textFill>
              </w:rPr>
              <w:t>地面</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采取</w:t>
            </w:r>
            <w:r>
              <w:rPr>
                <w:rFonts w:hint="default" w:ascii="Times New Roman" w:hAnsi="Times New Roman" w:eastAsia="宋体" w:cs="Times New Roman"/>
                <w:color w:val="000000" w:themeColor="text1"/>
                <w:sz w:val="24"/>
                <w:szCs w:val="24"/>
                <w14:textFill>
                  <w14:solidFill>
                    <w14:schemeClr w14:val="tx1"/>
                  </w14:solidFill>
                </w14:textFill>
              </w:rPr>
              <w:t>硬化处理</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危废暂存</w:t>
            </w:r>
            <w:r>
              <w:rPr>
                <w:rFonts w:hint="eastAsia" w:eastAsia="宋体" w:cs="Times New Roman"/>
                <w:color w:val="000000" w:themeColor="text1"/>
                <w:sz w:val="24"/>
                <w:szCs w:val="24"/>
                <w:lang w:val="en-US" w:eastAsia="zh-CN"/>
                <w14:textFill>
                  <w14:solidFill>
                    <w14:schemeClr w14:val="tx1"/>
                  </w14:solidFill>
                </w14:textFill>
              </w:rPr>
              <w:t>间</w:t>
            </w:r>
            <w:r>
              <w:rPr>
                <w:rFonts w:hint="default" w:ascii="Times New Roman" w:hAnsi="Times New Roman" w:eastAsia="宋体" w:cs="Times New Roman"/>
                <w:color w:val="000000" w:themeColor="text1"/>
                <w:sz w:val="24"/>
                <w:szCs w:val="24"/>
                <w14:textFill>
                  <w14:solidFill>
                    <w14:schemeClr w14:val="tx1"/>
                  </w14:solidFill>
                </w14:textFill>
              </w:rPr>
              <w:t>、一般固废暂存</w:t>
            </w:r>
            <w:r>
              <w:rPr>
                <w:rFonts w:hint="eastAsia" w:eastAsia="宋体" w:cs="Times New Roman"/>
                <w:color w:val="000000" w:themeColor="text1"/>
                <w:sz w:val="24"/>
                <w:szCs w:val="24"/>
                <w:lang w:val="en-US" w:eastAsia="zh-CN"/>
                <w14:textFill>
                  <w14:solidFill>
                    <w14:schemeClr w14:val="tx1"/>
                  </w14:solidFill>
                </w14:textFill>
              </w:rPr>
              <w:t>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等</w:t>
            </w:r>
            <w:r>
              <w:rPr>
                <w:rFonts w:hint="eastAsia" w:ascii="宋体" w:hAnsi="宋体" w:eastAsia="宋体"/>
                <w:color w:val="000000" w:themeColor="text1"/>
                <w:sz w:val="24"/>
                <w:szCs w:val="24"/>
                <w:lang w:val="en-US" w:eastAsia="zh-CN"/>
                <w14:textFill>
                  <w14:solidFill>
                    <w14:schemeClr w14:val="tx1"/>
                  </w14:solidFill>
                </w14:textFill>
              </w:rPr>
              <w:t>采取</w:t>
            </w:r>
            <w:r>
              <w:rPr>
                <w:rFonts w:hint="eastAsia" w:ascii="宋体" w:hAnsi="宋体" w:eastAsia="宋体"/>
                <w:color w:val="000000" w:themeColor="text1"/>
                <w:sz w:val="24"/>
                <w:szCs w:val="24"/>
                <w14:textFill>
                  <w14:solidFill>
                    <w14:schemeClr w14:val="tx1"/>
                  </w14:solidFill>
                </w14:textFill>
              </w:rPr>
              <w:t>防渗</w:t>
            </w:r>
            <w:r>
              <w:rPr>
                <w:rFonts w:hint="eastAsia" w:ascii="宋体" w:hAnsi="宋体" w:eastAsia="宋体"/>
                <w:color w:val="000000" w:themeColor="text1"/>
                <w:sz w:val="24"/>
                <w:szCs w:val="24"/>
                <w:lang w:val="en-US" w:eastAsia="zh-CN"/>
                <w14:textFill>
                  <w14:solidFill>
                    <w14:schemeClr w14:val="tx1"/>
                  </w14:solidFill>
                </w14:textFill>
              </w:rPr>
              <w:t>防漏措施</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且</w:t>
            </w:r>
            <w:r>
              <w:rPr>
                <w:rFonts w:hint="default" w:ascii="Times New Roman" w:hAnsi="Times New Roman" w:eastAsia="宋体" w:cs="Times New Roman"/>
                <w:color w:val="000000" w:themeColor="text1"/>
                <w:sz w:val="24"/>
                <w:szCs w:val="24"/>
                <w14:textFill>
                  <w14:solidFill>
                    <w14:schemeClr w14:val="tx1"/>
                  </w14:solidFill>
                </w14:textFill>
              </w:rPr>
              <w:t xml:space="preserve">按照相关技术规范进行建设；项目化粪池、污水管道等均采取了防腐防渗措施。项目在落实好相关污染防治措施的前提下，不存在垂直入渗，污染地下水、土壤的途径。特殊情况下可能发生污染地下水、土壤的事故类型主要有以下几种： </w:t>
            </w:r>
          </w:p>
          <w:p w14:paraId="6C3EF00A">
            <w:pPr>
              <w:keepNext w:val="0"/>
              <w:keepLines w:val="0"/>
              <w:pageBreakBefore w:val="0"/>
              <w:widowControl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1）化粪池、污水管道等破裂或其他因素导致污水溢出下渗对地下水造成污染； </w:t>
            </w:r>
          </w:p>
          <w:p w14:paraId="2B30F1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危废暂存</w:t>
            </w:r>
            <w:r>
              <w:rPr>
                <w:rFonts w:hint="eastAsia" w:eastAsia="宋体" w:cs="Times New Roman"/>
                <w:color w:val="000000" w:themeColor="text1"/>
                <w:sz w:val="24"/>
                <w:szCs w:val="24"/>
                <w:lang w:val="en-US" w:eastAsia="zh-CN"/>
                <w14:textFill>
                  <w14:solidFill>
                    <w14:schemeClr w14:val="tx1"/>
                  </w14:solidFill>
                </w14:textFill>
              </w:rPr>
              <w:t>间</w:t>
            </w:r>
            <w:r>
              <w:rPr>
                <w:rFonts w:hint="default" w:ascii="Times New Roman" w:hAnsi="Times New Roman" w:eastAsia="宋体" w:cs="Times New Roman"/>
                <w:color w:val="000000" w:themeColor="text1"/>
                <w:sz w:val="24"/>
                <w:szCs w:val="24"/>
                <w14:textFill>
                  <w14:solidFill>
                    <w14:schemeClr w14:val="tx1"/>
                  </w14:solidFill>
                </w14:textFill>
              </w:rPr>
              <w:t>各类危险废物存储管理不善，容器破裂或者随处堆放，有害物质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泄漏至地面</w:t>
            </w:r>
            <w:r>
              <w:rPr>
                <w:rFonts w:hint="default" w:ascii="Times New Roman" w:hAnsi="Times New Roman" w:eastAsia="宋体" w:cs="Times New Roman"/>
                <w:color w:val="000000" w:themeColor="text1"/>
                <w:sz w:val="24"/>
                <w:szCs w:val="24"/>
                <w14:textFill>
                  <w14:solidFill>
                    <w14:schemeClr w14:val="tx1"/>
                  </w14:solidFill>
                </w14:textFill>
              </w:rPr>
              <w:t>，造成地下水、土壤污染；</w:t>
            </w:r>
          </w:p>
          <w:p w14:paraId="3C55697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污染影响分析</w:t>
            </w:r>
          </w:p>
          <w:p w14:paraId="7B6133B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宋体" w:hAnsi="宋体" w:eastAsia="宋体"/>
                <w:b/>
                <w:bCs/>
                <w:color w:val="000000" w:themeColor="text1"/>
                <w:sz w:val="24"/>
                <w:szCs w:val="24"/>
                <w:lang w:val="en-US" w:eastAsia="zh-CN"/>
                <w14:textFill>
                  <w14:solidFill>
                    <w14:schemeClr w14:val="tx1"/>
                  </w14:solidFill>
                </w14:textFill>
              </w:rPr>
            </w:pPr>
            <w:r>
              <w:rPr>
                <w:rFonts w:hint="eastAsia" w:ascii="宋体" w:hAnsi="宋体" w:eastAsia="宋体"/>
                <w:b/>
                <w:bCs/>
                <w:color w:val="000000" w:themeColor="text1"/>
                <w:sz w:val="24"/>
                <w:szCs w:val="24"/>
                <w:lang w:val="en-US" w:eastAsia="zh-CN"/>
                <w14:textFill>
                  <w14:solidFill>
                    <w14:schemeClr w14:val="tx1"/>
                  </w14:solidFill>
                </w14:textFill>
              </w:rPr>
              <w:t>1）废水渗漏对地下水及土壤的影响</w:t>
            </w:r>
          </w:p>
          <w:p w14:paraId="061623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项目对地下水的影响主要来源于</w:t>
            </w:r>
            <w:r>
              <w:rPr>
                <w:rFonts w:hint="eastAsia" w:ascii="宋体" w:hAnsi="宋体" w:eastAsia="宋体"/>
                <w:color w:val="000000" w:themeColor="text1"/>
                <w:sz w:val="24"/>
                <w:szCs w:val="24"/>
                <w:lang w:val="en-US" w:eastAsia="zh-CN"/>
                <w14:textFill>
                  <w14:solidFill>
                    <w14:schemeClr w14:val="tx1"/>
                  </w14:solidFill>
                </w14:textFill>
              </w:rPr>
              <w:t>废水</w:t>
            </w:r>
            <w:r>
              <w:rPr>
                <w:rFonts w:hint="eastAsia" w:ascii="宋体" w:hAnsi="宋体" w:eastAsia="宋体"/>
                <w:color w:val="000000" w:themeColor="text1"/>
                <w:sz w:val="24"/>
                <w:szCs w:val="24"/>
                <w14:textFill>
                  <w14:solidFill>
                    <w14:schemeClr w14:val="tx1"/>
                  </w14:solidFill>
                </w14:textFill>
              </w:rPr>
              <w:t>排放过程中下渗对地下水的影响。项目用水来自市政供水，不取用地下水，不会造成水位下降；项目生活污水经化粪池处理达</w:t>
            </w:r>
            <w:r>
              <w:rPr>
                <w:rFonts w:hint="eastAsia"/>
                <w:color w:val="000000" w:themeColor="text1"/>
                <w14:textFill>
                  <w14:solidFill>
                    <w14:schemeClr w14:val="tx1"/>
                  </w14:solidFill>
                </w14:textFill>
              </w:rPr>
              <w:t>高安市工业园污水处理厂</w:t>
            </w:r>
            <w:r>
              <w:rPr>
                <w:rFonts w:hint="eastAsia" w:ascii="宋体" w:hAnsi="宋体" w:eastAsia="宋体"/>
                <w:color w:val="000000" w:themeColor="text1"/>
                <w:sz w:val="24"/>
                <w:szCs w:val="24"/>
                <w:lang w:val="en-US" w:eastAsia="zh-CN"/>
                <w14:textFill>
                  <w14:solidFill>
                    <w14:schemeClr w14:val="tx1"/>
                  </w14:solidFill>
                </w14:textFill>
              </w:rPr>
              <w:t>接管</w:t>
            </w:r>
            <w:r>
              <w:rPr>
                <w:rFonts w:hint="eastAsia" w:ascii="宋体" w:hAnsi="宋体" w:eastAsia="宋体"/>
                <w:color w:val="000000" w:themeColor="text1"/>
                <w:sz w:val="24"/>
                <w:szCs w:val="24"/>
                <w14:textFill>
                  <w14:solidFill>
                    <w14:schemeClr w14:val="tx1"/>
                  </w14:solidFill>
                </w14:textFill>
              </w:rPr>
              <w:t>标准后由</w:t>
            </w:r>
            <w:r>
              <w:rPr>
                <w:rFonts w:hint="eastAsia" w:ascii="宋体" w:hAnsi="宋体" w:eastAsia="宋体"/>
                <w:color w:val="000000" w:themeColor="text1"/>
                <w:sz w:val="24"/>
                <w:szCs w:val="24"/>
                <w:lang w:val="en-US" w:eastAsia="zh-CN"/>
                <w14:textFill>
                  <w14:solidFill>
                    <w14:schemeClr w14:val="tx1"/>
                  </w14:solidFill>
                </w14:textFill>
              </w:rPr>
              <w:t>园区</w:t>
            </w:r>
            <w:r>
              <w:rPr>
                <w:rFonts w:hint="eastAsia" w:ascii="宋体" w:hAnsi="宋体" w:eastAsia="宋体"/>
                <w:color w:val="000000" w:themeColor="text1"/>
                <w:sz w:val="24"/>
                <w:szCs w:val="24"/>
                <w14:textFill>
                  <w14:solidFill>
                    <w14:schemeClr w14:val="tx1"/>
                  </w14:solidFill>
                </w14:textFill>
              </w:rPr>
              <w:t>污水管网排入</w:t>
            </w:r>
            <w:r>
              <w:rPr>
                <w:rFonts w:hint="eastAsia"/>
                <w:color w:val="000000" w:themeColor="text1"/>
                <w14:textFill>
                  <w14:solidFill>
                    <w14:schemeClr w14:val="tx1"/>
                  </w14:solidFill>
                </w14:textFill>
              </w:rPr>
              <w:t>高安市工业园污水处理厂</w:t>
            </w:r>
            <w:r>
              <w:rPr>
                <w:rFonts w:hint="eastAsia" w:ascii="宋体" w:hAnsi="宋体" w:eastAsia="宋体"/>
                <w:color w:val="000000" w:themeColor="text1"/>
                <w:sz w:val="24"/>
                <w:szCs w:val="24"/>
                <w:lang w:val="en-US" w:eastAsia="zh-CN"/>
                <w14:textFill>
                  <w14:solidFill>
                    <w14:schemeClr w14:val="tx1"/>
                  </w14:solidFill>
                </w14:textFill>
              </w:rPr>
              <w:t>处理，同时加强对化粪池、污水管网的防渗防漏处理，故因化粪池渗漏或污水管道破裂造成污水渗漏导致地下水、土壤受到污染的可能性较小。</w:t>
            </w:r>
          </w:p>
          <w:p w14:paraId="446F00C5">
            <w:pPr>
              <w:keepNext w:val="0"/>
              <w:keepLines w:val="0"/>
              <w:pageBreakBefore w:val="0"/>
              <w:widowControl w:val="0"/>
              <w:kinsoku/>
              <w:wordWrap/>
              <w:overflowPunct/>
              <w:topLinePunct w:val="0"/>
              <w:autoSpaceDE/>
              <w:autoSpaceDN/>
              <w:bidi w:val="0"/>
              <w:adjustRightInd/>
              <w:spacing w:line="360" w:lineRule="auto"/>
              <w:ind w:firstLine="482" w:firstLineChars="200"/>
              <w:jc w:val="left"/>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固废</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暂存对地下水及土壤的影响</w:t>
            </w:r>
          </w:p>
          <w:p w14:paraId="1667E7B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项目危废暂存</w:t>
            </w:r>
            <w:r>
              <w:rPr>
                <w:rFonts w:hint="eastAsia" w:eastAsia="宋体" w:cs="Times New Roman"/>
                <w:color w:val="000000" w:themeColor="text1"/>
                <w:sz w:val="24"/>
                <w:szCs w:val="24"/>
                <w:lang w:val="en-US" w:eastAsia="zh-CN"/>
                <w14:textFill>
                  <w14:solidFill>
                    <w14:schemeClr w14:val="tx1"/>
                  </w14:solidFill>
                </w14:textFill>
              </w:rPr>
              <w:t>间</w:t>
            </w:r>
            <w:r>
              <w:rPr>
                <w:rFonts w:hint="default" w:ascii="Times New Roman" w:hAnsi="Times New Roman" w:eastAsia="宋体" w:cs="Times New Roman"/>
                <w:color w:val="000000" w:themeColor="text1"/>
                <w:sz w:val="24"/>
                <w:szCs w:val="24"/>
                <w14:textFill>
                  <w14:solidFill>
                    <w14:schemeClr w14:val="tx1"/>
                  </w14:solidFill>
                </w14:textFill>
              </w:rPr>
              <w:t>严格按照《危险废物贮存污染控制标准》（GB18597-2023）标准要求建设，</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暂存</w:t>
            </w:r>
            <w:r>
              <w:rPr>
                <w:rFonts w:hint="default" w:ascii="Times New Roman" w:hAnsi="Times New Roman" w:eastAsia="宋体" w:cs="Times New Roman"/>
                <w:color w:val="000000" w:themeColor="text1"/>
                <w:sz w:val="24"/>
                <w:szCs w:val="24"/>
                <w14:textFill>
                  <w14:solidFill>
                    <w14:schemeClr w14:val="tx1"/>
                  </w14:solidFill>
                </w14:textFill>
              </w:rPr>
              <w:t>场地采取防渗、防腐、防雨、防扬撒措施，各类危险废物分类存放，采用密封容器装存后由专人进行厂内转移，防止危险废物遗撒。危险废物中转堆放期不超国家规定，定期交由具有相应经营范围和类别的单位进行资源化、无害化和减量化处理。</w:t>
            </w:r>
            <w:r>
              <w:rPr>
                <w:rFonts w:hint="eastAsia" w:ascii="宋体" w:hAnsi="宋体" w:eastAsia="宋体" w:cs="Times New Roman"/>
                <w:color w:val="000000" w:themeColor="text1"/>
                <w:sz w:val="24"/>
                <w:szCs w:val="24"/>
                <w14:textFill>
                  <w14:solidFill>
                    <w14:schemeClr w14:val="tx1"/>
                  </w14:solidFill>
                </w14:textFill>
              </w:rPr>
              <w:t>一般固体废物在厂内暂存的过程中，需注意防风、防雨、防遗撒。生活垃圾在厂内指定位置存放，不设置露天垃圾桶堆点，定期由环卫部门集中收集处理。通过采取这些措施，并在营运期加强管理，可有效防止固体废物因淋溶或容器破裂等因素产生淋溶液下渗导致地下水、土壤污染。</w:t>
            </w:r>
          </w:p>
          <w:p w14:paraId="65E89FBB">
            <w:pPr>
              <w:pStyle w:val="174"/>
              <w:keepNext w:val="0"/>
              <w:keepLines w:val="0"/>
              <w:pageBreakBefore w:val="0"/>
              <w:widowControl w:val="0"/>
              <w:kinsoku/>
              <w:wordWrap/>
              <w:overflowPunct/>
              <w:topLinePunct w:val="0"/>
              <w:autoSpaceDE/>
              <w:autoSpaceDN/>
              <w:bidi w:val="0"/>
              <w:adjustRightInd/>
              <w:snapToGrid w:val="0"/>
              <w:ind w:firstLine="480"/>
              <w:textAlignment w:val="auto"/>
              <w:rPr>
                <w:rFonts w:hint="default"/>
                <w:b/>
                <w:bCs/>
                <w:color w:val="000000" w:themeColor="text1"/>
                <w:szCs w:val="24"/>
                <w:highlight w:val="none"/>
                <w:lang w:val="en-US" w:eastAsia="zh-CN"/>
                <w14:textFill>
                  <w14:solidFill>
                    <w14:schemeClr w14:val="tx1"/>
                  </w14:solidFill>
                </w14:textFill>
              </w:rPr>
            </w:pPr>
            <w:r>
              <w:rPr>
                <w:rFonts w:hint="eastAsia"/>
                <w:b/>
                <w:bCs/>
                <w:color w:val="000000" w:themeColor="text1"/>
                <w:szCs w:val="24"/>
                <w:highlight w:val="none"/>
                <w:lang w:val="en-US" w:eastAsia="zh-CN"/>
                <w14:textFill>
                  <w14:solidFill>
                    <w14:schemeClr w14:val="tx1"/>
                  </w14:solidFill>
                </w14:textFill>
              </w:rPr>
              <w:t>（3）污染防控措施</w:t>
            </w:r>
          </w:p>
          <w:p w14:paraId="77C05D93">
            <w:pPr>
              <w:pStyle w:val="174"/>
              <w:keepNext w:val="0"/>
              <w:keepLines w:val="0"/>
              <w:pageBreakBefore w:val="0"/>
              <w:widowControl w:val="0"/>
              <w:kinsoku/>
              <w:wordWrap/>
              <w:overflowPunct/>
              <w:topLinePunct w:val="0"/>
              <w:autoSpaceDE/>
              <w:autoSpaceDN/>
              <w:bidi w:val="0"/>
              <w:adjustRightInd/>
              <w:snapToGrid w:val="0"/>
              <w:ind w:firstLine="480"/>
              <w:textAlignment w:val="auto"/>
              <w:rPr>
                <w:color w:val="000000" w:themeColor="text1"/>
                <w:szCs w:val="24"/>
                <w:highlight w:val="none"/>
                <w14:textFill>
                  <w14:solidFill>
                    <w14:schemeClr w14:val="tx1"/>
                  </w14:solidFill>
                </w14:textFill>
              </w:rPr>
            </w:pPr>
            <w:r>
              <w:rPr>
                <w:rFonts w:hint="eastAsia"/>
                <w:color w:val="000000" w:themeColor="text1"/>
                <w:szCs w:val="24"/>
                <w:highlight w:val="none"/>
                <w:lang w:val="en-US" w:eastAsia="zh-CN"/>
                <w14:textFill>
                  <w14:solidFill>
                    <w14:schemeClr w14:val="tx1"/>
                  </w14:solidFill>
                </w14:textFill>
              </w:rPr>
              <w:t>为了进一步防止地下水、土壤污染，按照地下水污染防治</w:t>
            </w:r>
            <w:r>
              <w:rPr>
                <w:rFonts w:hint="eastAsia"/>
                <w:color w:val="000000" w:themeColor="text1"/>
                <w:szCs w:val="24"/>
                <w:highlight w:val="none"/>
                <w:lang w:eastAsia="zh-CN"/>
                <w14:textFill>
                  <w14:solidFill>
                    <w14:schemeClr w14:val="tx1"/>
                  </w14:solidFill>
                </w14:textFill>
              </w:rPr>
              <w:t>“</w:t>
            </w:r>
            <w:r>
              <w:rPr>
                <w:color w:val="000000" w:themeColor="text1"/>
                <w:szCs w:val="24"/>
                <w:highlight w:val="none"/>
                <w14:textFill>
                  <w14:solidFill>
                    <w14:schemeClr w14:val="tx1"/>
                  </w14:solidFill>
                </w14:textFill>
              </w:rPr>
              <w:t>源头控制、分区防治、污染监控、应急响应</w:t>
            </w:r>
            <w:r>
              <w:rPr>
                <w:rFonts w:hint="eastAsia"/>
                <w:color w:val="000000" w:themeColor="text1"/>
                <w:szCs w:val="24"/>
                <w:highlight w:val="none"/>
                <w:lang w:eastAsia="zh-CN"/>
                <w14:textFill>
                  <w14:solidFill>
                    <w14:schemeClr w14:val="tx1"/>
                  </w14:solidFill>
                </w14:textFill>
              </w:rPr>
              <w:t>”</w:t>
            </w:r>
            <w:r>
              <w:rPr>
                <w:color w:val="000000" w:themeColor="text1"/>
                <w:szCs w:val="24"/>
                <w:highlight w:val="none"/>
                <w14:textFill>
                  <w14:solidFill>
                    <w14:schemeClr w14:val="tx1"/>
                  </w14:solidFill>
                </w14:textFill>
              </w:rPr>
              <w:t>相结合的原则，将厂区不同的区域划分为重点防渗区</w:t>
            </w:r>
            <w:r>
              <w:rPr>
                <w:rFonts w:hint="eastAsia"/>
                <w:color w:val="000000" w:themeColor="text1"/>
                <w:szCs w:val="24"/>
                <w:highlight w:val="none"/>
                <w:lang w:eastAsia="zh-CN"/>
                <w14:textFill>
                  <w14:solidFill>
                    <w14:schemeClr w14:val="tx1"/>
                  </w14:solidFill>
                </w14:textFill>
              </w:rPr>
              <w:t>、</w:t>
            </w:r>
            <w:r>
              <w:rPr>
                <w:rFonts w:hint="eastAsia"/>
                <w:color w:val="000000" w:themeColor="text1"/>
                <w:szCs w:val="24"/>
                <w:highlight w:val="none"/>
                <w:lang w:val="en-US" w:eastAsia="zh-CN"/>
                <w14:textFill>
                  <w14:solidFill>
                    <w14:schemeClr w14:val="tx1"/>
                  </w14:solidFill>
                </w14:textFill>
              </w:rPr>
              <w:t>一般防渗区和</w:t>
            </w:r>
            <w:r>
              <w:rPr>
                <w:color w:val="000000" w:themeColor="text1"/>
                <w:szCs w:val="24"/>
                <w:highlight w:val="none"/>
                <w14:textFill>
                  <w14:solidFill>
                    <w14:schemeClr w14:val="tx1"/>
                  </w14:solidFill>
                </w14:textFill>
              </w:rPr>
              <w:t>简单防渗区。</w:t>
            </w:r>
          </w:p>
          <w:p w14:paraId="45AFCCB8">
            <w:pPr>
              <w:pStyle w:val="174"/>
              <w:keepNext w:val="0"/>
              <w:keepLines w:val="0"/>
              <w:pageBreakBefore w:val="0"/>
              <w:widowControl w:val="0"/>
              <w:kinsoku/>
              <w:wordWrap/>
              <w:overflowPunct/>
              <w:topLinePunct w:val="0"/>
              <w:autoSpaceDE/>
              <w:autoSpaceDN/>
              <w:bidi w:val="0"/>
              <w:adjustRightInd/>
              <w:snapToGrid w:val="0"/>
              <w:ind w:firstLine="480"/>
              <w:textAlignment w:val="auto"/>
              <w:rPr>
                <w:color w:val="000000" w:themeColor="text1"/>
                <w:szCs w:val="24"/>
                <w:highlight w:val="none"/>
                <w14:textFill>
                  <w14:solidFill>
                    <w14:schemeClr w14:val="tx1"/>
                  </w14:solidFill>
                </w14:textFill>
              </w:rPr>
            </w:pPr>
            <w:r>
              <w:rPr>
                <w:color w:val="000000" w:themeColor="text1"/>
                <w:szCs w:val="24"/>
                <w:highlight w:val="none"/>
                <w14:textFill>
                  <w14:solidFill>
                    <w14:schemeClr w14:val="tx1"/>
                  </w14:solidFill>
                </w14:textFill>
              </w:rPr>
              <w:fldChar w:fldCharType="begin"/>
            </w:r>
            <w:r>
              <w:rPr>
                <w:color w:val="000000" w:themeColor="text1"/>
                <w:szCs w:val="24"/>
                <w:highlight w:val="none"/>
                <w14:textFill>
                  <w14:solidFill>
                    <w14:schemeClr w14:val="tx1"/>
                  </w14:solidFill>
                </w14:textFill>
              </w:rPr>
              <w:instrText xml:space="preserve"> = 1 \* GB3 </w:instrText>
            </w:r>
            <w:r>
              <w:rPr>
                <w:color w:val="000000" w:themeColor="text1"/>
                <w:szCs w:val="24"/>
                <w:highlight w:val="none"/>
                <w14:textFill>
                  <w14:solidFill>
                    <w14:schemeClr w14:val="tx1"/>
                  </w14:solidFill>
                </w14:textFill>
              </w:rPr>
              <w:fldChar w:fldCharType="separate"/>
            </w:r>
            <w:r>
              <w:rPr>
                <w:color w:val="000000" w:themeColor="text1"/>
                <w:szCs w:val="24"/>
                <w:highlight w:val="none"/>
                <w14:textFill>
                  <w14:solidFill>
                    <w14:schemeClr w14:val="tx1"/>
                  </w14:solidFill>
                </w14:textFill>
              </w:rPr>
              <w:t>①</w:t>
            </w:r>
            <w:r>
              <w:rPr>
                <w:color w:val="000000" w:themeColor="text1"/>
                <w:szCs w:val="24"/>
                <w:highlight w:val="none"/>
                <w14:textFill>
                  <w14:solidFill>
                    <w14:schemeClr w14:val="tx1"/>
                  </w14:solidFill>
                </w14:textFill>
              </w:rPr>
              <w:fldChar w:fldCharType="end"/>
            </w:r>
            <w:r>
              <w:rPr>
                <w:color w:val="000000" w:themeColor="text1"/>
                <w:szCs w:val="24"/>
                <w:highlight w:val="none"/>
                <w14:textFill>
                  <w14:solidFill>
                    <w14:schemeClr w14:val="tx1"/>
                  </w14:solidFill>
                </w14:textFill>
              </w:rPr>
              <w:t>重点防渗区：防渗设计要求等效黏土防渗层 Mb≥6.0m，K≤1×10</w:t>
            </w:r>
            <w:r>
              <w:rPr>
                <w:color w:val="000000" w:themeColor="text1"/>
                <w:szCs w:val="24"/>
                <w:highlight w:val="none"/>
                <w:vertAlign w:val="superscript"/>
                <w14:textFill>
                  <w14:solidFill>
                    <w14:schemeClr w14:val="tx1"/>
                  </w14:solidFill>
                </w14:textFill>
              </w:rPr>
              <w:t>-7</w:t>
            </w:r>
            <w:r>
              <w:rPr>
                <w:color w:val="000000" w:themeColor="text1"/>
                <w:szCs w:val="24"/>
                <w:highlight w:val="none"/>
                <w14:textFill>
                  <w14:solidFill>
                    <w14:schemeClr w14:val="tx1"/>
                  </w14:solidFill>
                </w14:textFill>
              </w:rPr>
              <w:t>cm/s；或参照 GB18598 执行。</w:t>
            </w:r>
          </w:p>
          <w:p w14:paraId="60906F85">
            <w:pPr>
              <w:pStyle w:val="174"/>
              <w:keepNext w:val="0"/>
              <w:keepLines w:val="0"/>
              <w:pageBreakBefore w:val="0"/>
              <w:widowControl w:val="0"/>
              <w:kinsoku/>
              <w:wordWrap/>
              <w:overflowPunct/>
              <w:topLinePunct w:val="0"/>
              <w:autoSpaceDE/>
              <w:autoSpaceDN/>
              <w:bidi w:val="0"/>
              <w:adjustRightInd/>
              <w:snapToGrid w:val="0"/>
              <w:ind w:firstLine="480"/>
              <w:textAlignment w:val="auto"/>
              <w:rPr>
                <w:color w:val="000000" w:themeColor="text1"/>
                <w:szCs w:val="24"/>
                <w:highlight w:val="none"/>
                <w14:textFill>
                  <w14:solidFill>
                    <w14:schemeClr w14:val="tx1"/>
                  </w14:solidFill>
                </w14:textFill>
              </w:rPr>
            </w:pPr>
            <w:r>
              <w:rPr>
                <w:color w:val="000000" w:themeColor="text1"/>
                <w:szCs w:val="24"/>
                <w:highlight w:val="none"/>
                <w14:textFill>
                  <w14:solidFill>
                    <w14:schemeClr w14:val="tx1"/>
                  </w14:solidFill>
                </w14:textFill>
              </w:rPr>
              <w:fldChar w:fldCharType="begin"/>
            </w:r>
            <w:r>
              <w:rPr>
                <w:color w:val="000000" w:themeColor="text1"/>
                <w:szCs w:val="24"/>
                <w:highlight w:val="none"/>
                <w14:textFill>
                  <w14:solidFill>
                    <w14:schemeClr w14:val="tx1"/>
                  </w14:solidFill>
                </w14:textFill>
              </w:rPr>
              <w:instrText xml:space="preserve"> = 2 \* GB3 </w:instrText>
            </w:r>
            <w:r>
              <w:rPr>
                <w:color w:val="000000" w:themeColor="text1"/>
                <w:szCs w:val="24"/>
                <w:highlight w:val="none"/>
                <w14:textFill>
                  <w14:solidFill>
                    <w14:schemeClr w14:val="tx1"/>
                  </w14:solidFill>
                </w14:textFill>
              </w:rPr>
              <w:fldChar w:fldCharType="separate"/>
            </w:r>
            <w:r>
              <w:rPr>
                <w:color w:val="000000" w:themeColor="text1"/>
                <w:szCs w:val="24"/>
                <w:highlight w:val="none"/>
                <w14:textFill>
                  <w14:solidFill>
                    <w14:schemeClr w14:val="tx1"/>
                  </w14:solidFill>
                </w14:textFill>
              </w:rPr>
              <w:t>②</w:t>
            </w:r>
            <w:r>
              <w:rPr>
                <w:color w:val="000000" w:themeColor="text1"/>
                <w:szCs w:val="24"/>
                <w:highlight w:val="none"/>
                <w14:textFill>
                  <w14:solidFill>
                    <w14:schemeClr w14:val="tx1"/>
                  </w14:solidFill>
                </w14:textFill>
              </w:rPr>
              <w:fldChar w:fldCharType="end"/>
            </w:r>
            <w:r>
              <w:rPr>
                <w:color w:val="000000" w:themeColor="text1"/>
                <w:szCs w:val="24"/>
                <w:highlight w:val="none"/>
                <w14:textFill>
                  <w14:solidFill>
                    <w14:schemeClr w14:val="tx1"/>
                  </w14:solidFill>
                </w14:textFill>
              </w:rPr>
              <w:t>一般防渗区：防渗设计要求等效黏土防渗层Mb≥1.5m，渗透系数≤1.0×10</w:t>
            </w:r>
            <w:r>
              <w:rPr>
                <w:color w:val="000000" w:themeColor="text1"/>
                <w:szCs w:val="24"/>
                <w:highlight w:val="none"/>
                <w:vertAlign w:val="superscript"/>
                <w14:textFill>
                  <w14:solidFill>
                    <w14:schemeClr w14:val="tx1"/>
                  </w14:solidFill>
                </w14:textFill>
              </w:rPr>
              <w:t>-7</w:t>
            </w:r>
            <w:r>
              <w:rPr>
                <w:color w:val="000000" w:themeColor="text1"/>
                <w:szCs w:val="24"/>
                <w:highlight w:val="none"/>
                <w14:textFill>
                  <w14:solidFill>
                    <w14:schemeClr w14:val="tx1"/>
                  </w14:solidFill>
                </w14:textFill>
              </w:rPr>
              <w:t>cm/s；或参照 GB16889 执行。</w:t>
            </w:r>
          </w:p>
          <w:p w14:paraId="2461A35E">
            <w:pPr>
              <w:pStyle w:val="174"/>
              <w:keepNext w:val="0"/>
              <w:keepLines w:val="0"/>
              <w:pageBreakBefore w:val="0"/>
              <w:widowControl w:val="0"/>
              <w:kinsoku/>
              <w:wordWrap/>
              <w:overflowPunct/>
              <w:topLinePunct w:val="0"/>
              <w:autoSpaceDE/>
              <w:autoSpaceDN/>
              <w:bidi w:val="0"/>
              <w:adjustRightInd/>
              <w:snapToGrid w:val="0"/>
              <w:ind w:firstLine="480"/>
              <w:textAlignment w:val="auto"/>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 3 \* GB3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③</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t>简单防渗区：一般硬化。</w:t>
            </w:r>
          </w:p>
          <w:p w14:paraId="0E2D4AC0">
            <w:pPr>
              <w:pStyle w:val="174"/>
              <w:keepNext w:val="0"/>
              <w:keepLines w:val="0"/>
              <w:pageBreakBefore w:val="0"/>
              <w:widowControl w:val="0"/>
              <w:kinsoku/>
              <w:wordWrap/>
              <w:overflowPunct/>
              <w:topLinePunct w:val="0"/>
              <w:autoSpaceDE/>
              <w:autoSpaceDN/>
              <w:bidi w:val="0"/>
              <w:adjustRightInd/>
              <w:snapToGrid w:val="0"/>
              <w:ind w:firstLine="480"/>
              <w:textAlignment w:val="auto"/>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根据现场踏勘，租赁的标准厂房各层仅做了一般基础防渗，项目建设单位应按本次环评提出的分区防渗要求，对各层车间、仓库、一般固废暂存库、危废暂存库地面进行相应防渗处理。</w:t>
            </w:r>
          </w:p>
          <w:p w14:paraId="63342666">
            <w:pPr>
              <w:pStyle w:val="57"/>
              <w:numPr>
                <w:ilvl w:val="3"/>
                <w:numId w:val="19"/>
              </w:numPr>
              <w:rPr>
                <w:rFonts w:hint="eastAsia"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项目</w:t>
            </w:r>
            <w:r>
              <w:rPr>
                <w:rFonts w:hint="eastAsia" w:eastAsia="宋体"/>
                <w:color w:val="000000" w:themeColor="text1"/>
                <w:lang w:val="en-US" w:eastAsia="zh-CN"/>
                <w14:textFill>
                  <w14:solidFill>
                    <w14:schemeClr w14:val="tx1"/>
                  </w14:solidFill>
                </w14:textFill>
              </w:rPr>
              <w:t>地下水分区防渗一览</w:t>
            </w:r>
            <w:r>
              <w:rPr>
                <w:rFonts w:hint="eastAsia" w:eastAsia="宋体"/>
                <w:color w:val="000000" w:themeColor="text1"/>
                <w14:textFill>
                  <w14:solidFill>
                    <w14:schemeClr w14:val="tx1"/>
                  </w14:solidFill>
                </w14:textFill>
              </w:rPr>
              <w:t>表</w:t>
            </w:r>
          </w:p>
          <w:tbl>
            <w:tblPr>
              <w:tblStyle w:val="36"/>
              <w:tblW w:w="8377"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637"/>
              <w:gridCol w:w="932"/>
              <w:gridCol w:w="1713"/>
              <w:gridCol w:w="1277"/>
              <w:gridCol w:w="3818"/>
            </w:tblGrid>
            <w:tr w14:paraId="49B287A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98" w:hRule="atLeast"/>
                <w:tblHeader/>
                <w:jc w:val="center"/>
              </w:trPr>
              <w:tc>
                <w:tcPr>
                  <w:tcW w:w="637" w:type="dxa"/>
                  <w:tcBorders>
                    <w:tl2br w:val="nil"/>
                    <w:tr2bl w:val="nil"/>
                  </w:tcBorders>
                  <w:noWrap w:val="0"/>
                  <w:vAlign w:val="center"/>
                </w:tcPr>
                <w:p w14:paraId="669C52B1">
                  <w:pPr>
                    <w:spacing w:line="240" w:lineRule="auto"/>
                    <w:ind w:firstLine="0" w:firstLineChars="0"/>
                    <w:jc w:val="center"/>
                    <w:rPr>
                      <w:rFonts w:ascii="Times New Roman" w:hAnsi="Times New Roman" w:cs="Times New Roman"/>
                      <w:b/>
                      <w:color w:val="000000" w:themeColor="text1"/>
                      <w:sz w:val="21"/>
                      <w:szCs w:val="21"/>
                      <w:highlight w:val="none"/>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编号</w:t>
                  </w:r>
                </w:p>
              </w:tc>
              <w:tc>
                <w:tcPr>
                  <w:tcW w:w="932" w:type="dxa"/>
                  <w:tcBorders>
                    <w:tl2br w:val="nil"/>
                    <w:tr2bl w:val="nil"/>
                  </w:tcBorders>
                  <w:noWrap w:val="0"/>
                  <w:vAlign w:val="center"/>
                </w:tcPr>
                <w:p w14:paraId="244C39A8">
                  <w:pPr>
                    <w:spacing w:line="240" w:lineRule="auto"/>
                    <w:ind w:firstLine="0" w:firstLineChars="0"/>
                    <w:jc w:val="center"/>
                    <w:rPr>
                      <w:rFonts w:ascii="Times New Roman" w:hAnsi="Times New Roman" w:cs="Times New Roman"/>
                      <w:b/>
                      <w:color w:val="000000" w:themeColor="text1"/>
                      <w:sz w:val="21"/>
                      <w:szCs w:val="21"/>
                      <w:highlight w:val="none"/>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防治区分区</w:t>
                  </w:r>
                </w:p>
              </w:tc>
              <w:tc>
                <w:tcPr>
                  <w:tcW w:w="1713" w:type="dxa"/>
                  <w:tcBorders>
                    <w:tl2br w:val="nil"/>
                    <w:tr2bl w:val="nil"/>
                  </w:tcBorders>
                  <w:noWrap w:val="0"/>
                  <w:vAlign w:val="center"/>
                </w:tcPr>
                <w:p w14:paraId="73E50CF1">
                  <w:pPr>
                    <w:spacing w:line="240" w:lineRule="auto"/>
                    <w:ind w:firstLine="0" w:firstLineChars="0"/>
                    <w:jc w:val="center"/>
                    <w:rPr>
                      <w:rFonts w:ascii="Times New Roman" w:hAnsi="Times New Roman" w:cs="Times New Roman"/>
                      <w:b/>
                      <w:color w:val="000000" w:themeColor="text1"/>
                      <w:sz w:val="21"/>
                      <w:szCs w:val="21"/>
                      <w:highlight w:val="none"/>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装置或建构筑物</w:t>
                  </w:r>
                </w:p>
              </w:tc>
              <w:tc>
                <w:tcPr>
                  <w:tcW w:w="1277" w:type="dxa"/>
                  <w:tcBorders>
                    <w:tl2br w:val="nil"/>
                    <w:tr2bl w:val="nil"/>
                  </w:tcBorders>
                  <w:noWrap w:val="0"/>
                  <w:vAlign w:val="center"/>
                </w:tcPr>
                <w:p w14:paraId="5C4BFF8B">
                  <w:pPr>
                    <w:spacing w:line="240" w:lineRule="auto"/>
                    <w:ind w:firstLine="0" w:firstLineChars="0"/>
                    <w:jc w:val="center"/>
                    <w:rPr>
                      <w:rFonts w:ascii="Times New Roman" w:hAnsi="Times New Roman" w:cs="Times New Roman"/>
                      <w:b/>
                      <w:color w:val="000000" w:themeColor="text1"/>
                      <w:sz w:val="21"/>
                      <w:szCs w:val="21"/>
                      <w:highlight w:val="none"/>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防渗区域</w:t>
                  </w:r>
                </w:p>
              </w:tc>
              <w:tc>
                <w:tcPr>
                  <w:tcW w:w="3818" w:type="dxa"/>
                  <w:tcBorders>
                    <w:tl2br w:val="nil"/>
                    <w:tr2bl w:val="nil"/>
                  </w:tcBorders>
                  <w:noWrap w:val="0"/>
                  <w:vAlign w:val="center"/>
                </w:tcPr>
                <w:p w14:paraId="1A5754DF">
                  <w:pPr>
                    <w:spacing w:line="240" w:lineRule="auto"/>
                    <w:ind w:firstLine="0" w:firstLineChars="0"/>
                    <w:jc w:val="center"/>
                    <w:rPr>
                      <w:rFonts w:ascii="Times New Roman" w:hAnsi="Times New Roman" w:cs="Times New Roman"/>
                      <w:b/>
                      <w:color w:val="000000" w:themeColor="text1"/>
                      <w:sz w:val="21"/>
                      <w:szCs w:val="21"/>
                      <w:highlight w:val="none"/>
                      <w14:textFill>
                        <w14:solidFill>
                          <w14:schemeClr w14:val="tx1"/>
                        </w14:solidFill>
                      </w14:textFill>
                    </w:rPr>
                  </w:pPr>
                  <w:r>
                    <w:rPr>
                      <w:rFonts w:ascii="Times New Roman" w:hAnsi="Times New Roman" w:cs="Times New Roman"/>
                      <w:b/>
                      <w:color w:val="000000" w:themeColor="text1"/>
                      <w:sz w:val="21"/>
                      <w:szCs w:val="21"/>
                      <w:highlight w:val="none"/>
                      <w14:textFill>
                        <w14:solidFill>
                          <w14:schemeClr w14:val="tx1"/>
                        </w14:solidFill>
                      </w14:textFill>
                    </w:rPr>
                    <w:t>防渗要求</w:t>
                  </w:r>
                </w:p>
              </w:tc>
            </w:tr>
            <w:tr w14:paraId="2C07FF7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635" w:hRule="atLeast"/>
                <w:jc w:val="center"/>
              </w:trPr>
              <w:tc>
                <w:tcPr>
                  <w:tcW w:w="637" w:type="dxa"/>
                  <w:tcBorders>
                    <w:tl2br w:val="nil"/>
                    <w:tr2bl w:val="nil"/>
                  </w:tcBorders>
                  <w:noWrap w:val="0"/>
                  <w:vAlign w:val="center"/>
                </w:tcPr>
                <w:p w14:paraId="734176D4">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1</w:t>
                  </w:r>
                </w:p>
              </w:tc>
              <w:tc>
                <w:tcPr>
                  <w:tcW w:w="932" w:type="dxa"/>
                  <w:tcBorders>
                    <w:tl2br w:val="nil"/>
                    <w:tr2bl w:val="nil"/>
                  </w:tcBorders>
                  <w:noWrap w:val="0"/>
                  <w:vAlign w:val="center"/>
                </w:tcPr>
                <w:p w14:paraId="2DC35858">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重点防渗区</w:t>
                  </w:r>
                </w:p>
              </w:tc>
              <w:tc>
                <w:tcPr>
                  <w:tcW w:w="1713" w:type="dxa"/>
                  <w:tcBorders>
                    <w:tl2br w:val="nil"/>
                    <w:tr2bl w:val="nil"/>
                  </w:tcBorders>
                  <w:noWrap w:val="0"/>
                  <w:vAlign w:val="center"/>
                </w:tcPr>
                <w:p w14:paraId="19000270">
                  <w:pPr>
                    <w:spacing w:line="240" w:lineRule="auto"/>
                    <w:ind w:firstLine="0" w:firstLineChars="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喷漆室、彩绘车间、调漆室、</w:t>
                  </w:r>
                  <w:r>
                    <w:rPr>
                      <w:rFonts w:ascii="Times New Roman" w:hAnsi="Times New Roman" w:cs="Times New Roman"/>
                      <w:color w:val="000000" w:themeColor="text1"/>
                      <w:sz w:val="21"/>
                      <w:szCs w:val="21"/>
                      <w:highlight w:val="none"/>
                      <w14:textFill>
                        <w14:solidFill>
                          <w14:schemeClr w14:val="tx1"/>
                        </w14:solidFill>
                      </w14:textFill>
                    </w:rPr>
                    <w:t>危废暂存</w:t>
                  </w:r>
                  <w:r>
                    <w:rPr>
                      <w:rFonts w:hint="eastAsia" w:cs="Times New Roman"/>
                      <w:color w:val="000000" w:themeColor="text1"/>
                      <w:sz w:val="21"/>
                      <w:szCs w:val="21"/>
                      <w:highlight w:val="none"/>
                      <w:lang w:val="en-US" w:eastAsia="zh-CN"/>
                      <w14:textFill>
                        <w14:solidFill>
                          <w14:schemeClr w14:val="tx1"/>
                        </w14:solidFill>
                      </w14:textFill>
                    </w:rPr>
                    <w:t>间</w:t>
                  </w:r>
                </w:p>
              </w:tc>
              <w:tc>
                <w:tcPr>
                  <w:tcW w:w="1277" w:type="dxa"/>
                  <w:tcBorders>
                    <w:tl2br w:val="nil"/>
                    <w:tr2bl w:val="nil"/>
                  </w:tcBorders>
                  <w:noWrap w:val="0"/>
                  <w:vAlign w:val="center"/>
                </w:tcPr>
                <w:p w14:paraId="25DBBF79">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地面、裙角</w:t>
                  </w:r>
                </w:p>
              </w:tc>
              <w:tc>
                <w:tcPr>
                  <w:tcW w:w="3818" w:type="dxa"/>
                  <w:tcBorders>
                    <w:tl2br w:val="nil"/>
                    <w:tr2bl w:val="nil"/>
                  </w:tcBorders>
                  <w:noWrap w:val="0"/>
                  <w:vAlign w:val="center"/>
                </w:tcPr>
                <w:p w14:paraId="1EE166B1">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kern w:val="0"/>
                      <w:sz w:val="21"/>
                      <w:szCs w:val="21"/>
                      <w:highlight w:val="none"/>
                      <w14:textFill>
                        <w14:solidFill>
                          <w14:schemeClr w14:val="tx1"/>
                        </w14:solidFill>
                      </w14:textFill>
                    </w:rPr>
                    <w:t>重点防渗区的防渗性能应与6.0m 厚粘土层(渗透系数1.0×10</w:t>
                  </w:r>
                  <w:r>
                    <w:rPr>
                      <w:rFonts w:ascii="Times New Roman" w:hAnsi="Times New Roman" w:cs="Times New Roman"/>
                      <w:color w:val="000000" w:themeColor="text1"/>
                      <w:kern w:val="0"/>
                      <w:sz w:val="21"/>
                      <w:szCs w:val="21"/>
                      <w:highlight w:val="none"/>
                      <w:vertAlign w:val="superscript"/>
                      <w14:textFill>
                        <w14:solidFill>
                          <w14:schemeClr w14:val="tx1"/>
                        </w14:solidFill>
                      </w14:textFill>
                    </w:rPr>
                    <w:t>-7</w:t>
                  </w:r>
                  <w:r>
                    <w:rPr>
                      <w:rFonts w:ascii="Times New Roman" w:hAnsi="Times New Roman" w:cs="Times New Roman"/>
                      <w:color w:val="000000" w:themeColor="text1"/>
                      <w:kern w:val="0"/>
                      <w:sz w:val="21"/>
                      <w:szCs w:val="21"/>
                      <w:highlight w:val="none"/>
                      <w14:textFill>
                        <w14:solidFill>
                          <w14:schemeClr w14:val="tx1"/>
                        </w14:solidFill>
                      </w14:textFill>
                    </w:rPr>
                    <w:t>cm/s)等效；采用至少2 毫米厚的其它人工材料（渗透系数≤10</w:t>
                  </w:r>
                  <w:r>
                    <w:rPr>
                      <w:rFonts w:ascii="Times New Roman" w:hAnsi="Times New Roman" w:cs="Times New Roman"/>
                      <w:color w:val="000000" w:themeColor="text1"/>
                      <w:kern w:val="0"/>
                      <w:sz w:val="21"/>
                      <w:szCs w:val="21"/>
                      <w:highlight w:val="none"/>
                      <w:vertAlign w:val="superscript"/>
                      <w14:textFill>
                        <w14:solidFill>
                          <w14:schemeClr w14:val="tx1"/>
                        </w14:solidFill>
                      </w14:textFill>
                    </w:rPr>
                    <w:t>-7</w:t>
                  </w:r>
                  <w:r>
                    <w:rPr>
                      <w:rFonts w:ascii="Times New Roman" w:hAnsi="Times New Roman" w:cs="Times New Roman"/>
                      <w:color w:val="000000" w:themeColor="text1"/>
                      <w:kern w:val="0"/>
                      <w:sz w:val="21"/>
                      <w:szCs w:val="21"/>
                      <w:highlight w:val="none"/>
                      <w14:textFill>
                        <w14:solidFill>
                          <w14:schemeClr w14:val="tx1"/>
                        </w14:solidFill>
                      </w14:textFill>
                    </w:rPr>
                    <w:t>cm/s）；或面层可采用防渗涂料面层或防渗钢筋钢纤维混凝土面层（渗透系数≤10</w:t>
                  </w:r>
                  <w:r>
                    <w:rPr>
                      <w:rFonts w:ascii="Times New Roman" w:hAnsi="Times New Roman" w:cs="Times New Roman"/>
                      <w:color w:val="000000" w:themeColor="text1"/>
                      <w:kern w:val="0"/>
                      <w:sz w:val="21"/>
                      <w:szCs w:val="21"/>
                      <w:highlight w:val="none"/>
                      <w:vertAlign w:val="superscript"/>
                      <w14:textFill>
                        <w14:solidFill>
                          <w14:schemeClr w14:val="tx1"/>
                        </w14:solidFill>
                      </w14:textFill>
                    </w:rPr>
                    <w:t>-7</w:t>
                  </w:r>
                  <w:r>
                    <w:rPr>
                      <w:rFonts w:ascii="Times New Roman" w:hAnsi="Times New Roman" w:cs="Times New Roman"/>
                      <w:color w:val="000000" w:themeColor="text1"/>
                      <w:kern w:val="0"/>
                      <w:sz w:val="21"/>
                      <w:szCs w:val="21"/>
                      <w:highlight w:val="none"/>
                      <w14:textFill>
                        <w14:solidFill>
                          <w14:schemeClr w14:val="tx1"/>
                        </w14:solidFill>
                      </w14:textFill>
                    </w:rPr>
                    <w:t>cm/s）。</w:t>
                  </w:r>
                </w:p>
              </w:tc>
            </w:tr>
            <w:tr w14:paraId="444B755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362" w:hRule="atLeast"/>
                <w:jc w:val="center"/>
              </w:trPr>
              <w:tc>
                <w:tcPr>
                  <w:tcW w:w="637" w:type="dxa"/>
                  <w:vMerge w:val="restart"/>
                  <w:tcBorders>
                    <w:tl2br w:val="nil"/>
                    <w:tr2bl w:val="nil"/>
                  </w:tcBorders>
                  <w:noWrap w:val="0"/>
                  <w:vAlign w:val="center"/>
                </w:tcPr>
                <w:p w14:paraId="17528420">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2</w:t>
                  </w:r>
                </w:p>
              </w:tc>
              <w:tc>
                <w:tcPr>
                  <w:tcW w:w="932" w:type="dxa"/>
                  <w:vMerge w:val="restart"/>
                  <w:tcBorders>
                    <w:tl2br w:val="nil"/>
                    <w:tr2bl w:val="nil"/>
                  </w:tcBorders>
                  <w:noWrap w:val="0"/>
                  <w:vAlign w:val="center"/>
                </w:tcPr>
                <w:p w14:paraId="0472FFB3">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一般防渗区</w:t>
                  </w:r>
                </w:p>
              </w:tc>
              <w:tc>
                <w:tcPr>
                  <w:tcW w:w="1713" w:type="dxa"/>
                  <w:tcBorders>
                    <w:tl2br w:val="nil"/>
                    <w:tr2bl w:val="nil"/>
                  </w:tcBorders>
                  <w:noWrap w:val="0"/>
                  <w:vAlign w:val="center"/>
                </w:tcPr>
                <w:p w14:paraId="01FBF6EC">
                  <w:pPr>
                    <w:spacing w:line="240" w:lineRule="auto"/>
                    <w:ind w:firstLine="0" w:firstLineChars="0"/>
                    <w:jc w:val="center"/>
                    <w:rPr>
                      <w:rFonts w:hint="default" w:ascii="Times New Roman" w:hAnsi="Times New Roman" w:cs="Times New Roman"/>
                      <w:color w:val="000000" w:themeColor="text1"/>
                      <w:sz w:val="21"/>
                      <w:szCs w:val="21"/>
                      <w:highlight w:val="none"/>
                      <w:lang w:val="en-US"/>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成型、坯体车间、组装车间、包装车间、</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一般固废暂存</w:t>
                  </w:r>
                  <w:r>
                    <w:rPr>
                      <w:rFonts w:hint="eastAsia" w:cs="Times New Roman"/>
                      <w:color w:val="000000" w:themeColor="text1"/>
                      <w:sz w:val="21"/>
                      <w:szCs w:val="21"/>
                      <w:highlight w:val="none"/>
                      <w:lang w:val="en-US" w:eastAsia="zh-CN"/>
                      <w14:textFill>
                        <w14:solidFill>
                          <w14:schemeClr w14:val="tx1"/>
                        </w14:solidFill>
                      </w14:textFill>
                    </w:rPr>
                    <w:t>间</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、原料仓库、成品仓库</w:t>
                  </w:r>
                </w:p>
              </w:tc>
              <w:tc>
                <w:tcPr>
                  <w:tcW w:w="1277" w:type="dxa"/>
                  <w:tcBorders>
                    <w:tl2br w:val="nil"/>
                    <w:tr2bl w:val="nil"/>
                  </w:tcBorders>
                  <w:noWrap w:val="0"/>
                  <w:vAlign w:val="center"/>
                </w:tcPr>
                <w:p w14:paraId="3E27482E">
                  <w:pPr>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地面</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裙角</w:t>
                  </w:r>
                </w:p>
              </w:tc>
              <w:tc>
                <w:tcPr>
                  <w:tcW w:w="3818" w:type="dxa"/>
                  <w:vMerge w:val="restart"/>
                  <w:tcBorders>
                    <w:tl2br w:val="nil"/>
                    <w:tr2bl w:val="nil"/>
                  </w:tcBorders>
                  <w:noWrap w:val="0"/>
                  <w:vAlign w:val="center"/>
                </w:tcPr>
                <w:p w14:paraId="14D98629">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kern w:val="0"/>
                      <w:sz w:val="21"/>
                      <w:szCs w:val="21"/>
                      <w:highlight w:val="none"/>
                      <w14:textFill>
                        <w14:solidFill>
                          <w14:schemeClr w14:val="tx1"/>
                        </w14:solidFill>
                      </w14:textFill>
                    </w:rPr>
                    <w:t>一般防渗区的防渗性能应与1.5m厚粘土层(渗透系数1.0×10</w:t>
                  </w:r>
                  <w:r>
                    <w:rPr>
                      <w:rFonts w:ascii="Times New Roman" w:hAnsi="Times New Roman" w:cs="Times New Roman"/>
                      <w:color w:val="000000" w:themeColor="text1"/>
                      <w:kern w:val="0"/>
                      <w:sz w:val="21"/>
                      <w:szCs w:val="21"/>
                      <w:highlight w:val="none"/>
                      <w:vertAlign w:val="superscript"/>
                      <w14:textFill>
                        <w14:solidFill>
                          <w14:schemeClr w14:val="tx1"/>
                        </w14:solidFill>
                      </w14:textFill>
                    </w:rPr>
                    <w:t>-7</w:t>
                  </w:r>
                  <w:r>
                    <w:rPr>
                      <w:rFonts w:ascii="Times New Roman" w:hAnsi="Times New Roman" w:cs="Times New Roman"/>
                      <w:color w:val="000000" w:themeColor="text1"/>
                      <w:kern w:val="0"/>
                      <w:sz w:val="21"/>
                      <w:szCs w:val="21"/>
                      <w:highlight w:val="none"/>
                      <w14:textFill>
                        <w14:solidFill>
                          <w14:schemeClr w14:val="tx1"/>
                        </w14:solidFill>
                      </w14:textFill>
                    </w:rPr>
                    <w:t>cm/s)等效；采用双层复合防渗结构，基础防渗层为至少1.5 米厚粘土层（渗透系数≤10</w:t>
                  </w:r>
                  <w:r>
                    <w:rPr>
                      <w:rFonts w:ascii="Times New Roman" w:hAnsi="Times New Roman" w:cs="Times New Roman"/>
                      <w:color w:val="000000" w:themeColor="text1"/>
                      <w:kern w:val="0"/>
                      <w:sz w:val="21"/>
                      <w:szCs w:val="21"/>
                      <w:highlight w:val="none"/>
                      <w:vertAlign w:val="superscript"/>
                      <w14:textFill>
                        <w14:solidFill>
                          <w14:schemeClr w14:val="tx1"/>
                        </w14:solidFill>
                      </w14:textFill>
                    </w:rPr>
                    <w:t>-7</w:t>
                  </w:r>
                  <w:r>
                    <w:rPr>
                      <w:rFonts w:ascii="Times New Roman" w:hAnsi="Times New Roman" w:cs="Times New Roman"/>
                      <w:color w:val="000000" w:themeColor="text1"/>
                      <w:kern w:val="0"/>
                      <w:sz w:val="21"/>
                      <w:szCs w:val="21"/>
                      <w:highlight w:val="none"/>
                      <w14:textFill>
                        <w14:solidFill>
                          <w14:schemeClr w14:val="tx1"/>
                        </w14:solidFill>
                      </w14:textFill>
                    </w:rPr>
                    <w:t>cm/s）。</w:t>
                  </w:r>
                </w:p>
              </w:tc>
            </w:tr>
            <w:tr w14:paraId="71E5C33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48" w:hRule="atLeast"/>
                <w:jc w:val="center"/>
              </w:trPr>
              <w:tc>
                <w:tcPr>
                  <w:tcW w:w="637" w:type="dxa"/>
                  <w:vMerge w:val="continue"/>
                  <w:tcBorders>
                    <w:tl2br w:val="nil"/>
                    <w:tr2bl w:val="nil"/>
                  </w:tcBorders>
                  <w:noWrap w:val="0"/>
                  <w:vAlign w:val="center"/>
                </w:tcPr>
                <w:p w14:paraId="76CA88F4">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p>
              </w:tc>
              <w:tc>
                <w:tcPr>
                  <w:tcW w:w="932" w:type="dxa"/>
                  <w:vMerge w:val="continue"/>
                  <w:tcBorders>
                    <w:tl2br w:val="nil"/>
                    <w:tr2bl w:val="nil"/>
                  </w:tcBorders>
                  <w:noWrap w:val="0"/>
                  <w:vAlign w:val="center"/>
                </w:tcPr>
                <w:p w14:paraId="7CD5F0C3">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p>
              </w:tc>
              <w:tc>
                <w:tcPr>
                  <w:tcW w:w="1713" w:type="dxa"/>
                  <w:tcBorders>
                    <w:tl2br w:val="nil"/>
                    <w:tr2bl w:val="nil"/>
                  </w:tcBorders>
                  <w:noWrap w:val="0"/>
                  <w:vAlign w:val="center"/>
                </w:tcPr>
                <w:p w14:paraId="75622545">
                  <w:pPr>
                    <w:spacing w:line="240" w:lineRule="auto"/>
                    <w:ind w:firstLine="0" w:firstLineChars="0"/>
                    <w:jc w:val="center"/>
                    <w:rPr>
                      <w:rFonts w:hint="default" w:ascii="Times New Roman" w:hAnsi="Times New Roman"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化粪池、污水管道池</w:t>
                  </w:r>
                </w:p>
              </w:tc>
              <w:tc>
                <w:tcPr>
                  <w:tcW w:w="1277" w:type="dxa"/>
                  <w:tcBorders>
                    <w:tl2br w:val="nil"/>
                    <w:tr2bl w:val="nil"/>
                  </w:tcBorders>
                  <w:noWrap w:val="0"/>
                  <w:vAlign w:val="center"/>
                </w:tcPr>
                <w:p w14:paraId="4AFF2E3D">
                  <w:pPr>
                    <w:spacing w:line="240" w:lineRule="auto"/>
                    <w:ind w:firstLine="0" w:firstLineChars="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底部、水池、</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管道</w:t>
                  </w:r>
                  <w:r>
                    <w:rPr>
                      <w:rFonts w:ascii="Times New Roman" w:hAnsi="Times New Roman" w:cs="Times New Roman"/>
                      <w:color w:val="000000" w:themeColor="text1"/>
                      <w:sz w:val="21"/>
                      <w:szCs w:val="21"/>
                      <w:highlight w:val="none"/>
                      <w14:textFill>
                        <w14:solidFill>
                          <w14:schemeClr w14:val="tx1"/>
                        </w14:solidFill>
                      </w14:textFill>
                    </w:rPr>
                    <w:t>四周</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等</w:t>
                  </w:r>
                </w:p>
              </w:tc>
              <w:tc>
                <w:tcPr>
                  <w:tcW w:w="3818" w:type="dxa"/>
                  <w:vMerge w:val="continue"/>
                  <w:tcBorders>
                    <w:tl2br w:val="nil"/>
                    <w:tr2bl w:val="nil"/>
                  </w:tcBorders>
                  <w:noWrap w:val="0"/>
                  <w:vAlign w:val="center"/>
                </w:tcPr>
                <w:p w14:paraId="57A8ECC3">
                  <w:pPr>
                    <w:spacing w:line="240" w:lineRule="auto"/>
                    <w:ind w:firstLine="0" w:firstLineChars="0"/>
                    <w:jc w:val="center"/>
                    <w:rPr>
                      <w:rFonts w:ascii="Times New Roman" w:hAnsi="Times New Roman" w:cs="Times New Roman"/>
                      <w:color w:val="000000" w:themeColor="text1"/>
                      <w:kern w:val="0"/>
                      <w:sz w:val="21"/>
                      <w:szCs w:val="21"/>
                      <w:highlight w:val="none"/>
                      <w14:textFill>
                        <w14:solidFill>
                          <w14:schemeClr w14:val="tx1"/>
                        </w14:solidFill>
                      </w14:textFill>
                    </w:rPr>
                  </w:pPr>
                </w:p>
              </w:tc>
            </w:tr>
            <w:tr w14:paraId="22C60CB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146" w:hRule="atLeast"/>
                <w:jc w:val="center"/>
              </w:trPr>
              <w:tc>
                <w:tcPr>
                  <w:tcW w:w="637" w:type="dxa"/>
                  <w:tcBorders>
                    <w:tl2br w:val="nil"/>
                    <w:tr2bl w:val="nil"/>
                  </w:tcBorders>
                  <w:noWrap w:val="0"/>
                  <w:vAlign w:val="center"/>
                </w:tcPr>
                <w:p w14:paraId="6B2B15A7">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3</w:t>
                  </w:r>
                </w:p>
              </w:tc>
              <w:tc>
                <w:tcPr>
                  <w:tcW w:w="932" w:type="dxa"/>
                  <w:tcBorders>
                    <w:tl2br w:val="nil"/>
                    <w:tr2bl w:val="nil"/>
                  </w:tcBorders>
                  <w:noWrap w:val="0"/>
                  <w:vAlign w:val="center"/>
                </w:tcPr>
                <w:p w14:paraId="0A143C2B">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简单防渗区</w:t>
                  </w:r>
                </w:p>
              </w:tc>
              <w:tc>
                <w:tcPr>
                  <w:tcW w:w="1713" w:type="dxa"/>
                  <w:tcBorders>
                    <w:tl2br w:val="nil"/>
                    <w:tr2bl w:val="nil"/>
                  </w:tcBorders>
                  <w:noWrap w:val="0"/>
                  <w:vAlign w:val="center"/>
                </w:tcPr>
                <w:p w14:paraId="20A8E128">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除了重点、一般防渗区以外的区域（</w:t>
                  </w:r>
                  <w:r>
                    <w:rPr>
                      <w:rFonts w:hint="eastAsia" w:cs="Times New Roman"/>
                      <w:color w:val="000000" w:themeColor="text1"/>
                      <w:sz w:val="21"/>
                      <w:szCs w:val="21"/>
                      <w:highlight w:val="none"/>
                      <w:lang w:val="en-US" w:eastAsia="zh-CN"/>
                      <w14:textFill>
                        <w14:solidFill>
                          <w14:schemeClr w14:val="tx1"/>
                        </w14:solidFill>
                      </w14:textFill>
                    </w:rPr>
                    <w:t>办公室、休息室</w:t>
                  </w:r>
                  <w:r>
                    <w:rPr>
                      <w:rFonts w:ascii="Times New Roman" w:hAnsi="Times New Roman" w:cs="Times New Roman"/>
                      <w:color w:val="000000" w:themeColor="text1"/>
                      <w:sz w:val="21"/>
                      <w:szCs w:val="21"/>
                      <w:highlight w:val="none"/>
                      <w14:textFill>
                        <w14:solidFill>
                          <w14:schemeClr w14:val="tx1"/>
                        </w14:solidFill>
                      </w14:textFill>
                    </w:rPr>
                    <w:t>等）</w:t>
                  </w:r>
                </w:p>
              </w:tc>
              <w:tc>
                <w:tcPr>
                  <w:tcW w:w="1277" w:type="dxa"/>
                  <w:tcBorders>
                    <w:tl2br w:val="nil"/>
                    <w:tr2bl w:val="nil"/>
                  </w:tcBorders>
                  <w:noWrap w:val="0"/>
                  <w:vAlign w:val="center"/>
                </w:tcPr>
                <w:p w14:paraId="5067F445">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地面</w:t>
                  </w:r>
                </w:p>
              </w:tc>
              <w:tc>
                <w:tcPr>
                  <w:tcW w:w="3818" w:type="dxa"/>
                  <w:tcBorders>
                    <w:tl2br w:val="nil"/>
                    <w:tr2bl w:val="nil"/>
                  </w:tcBorders>
                  <w:noWrap w:val="0"/>
                  <w:vAlign w:val="center"/>
                </w:tcPr>
                <w:p w14:paraId="077EF203">
                  <w:pPr>
                    <w:spacing w:line="240" w:lineRule="auto"/>
                    <w:ind w:firstLine="0" w:firstLineChars="0"/>
                    <w:jc w:val="center"/>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一般地面硬化</w:t>
                  </w:r>
                </w:p>
              </w:tc>
            </w:tr>
          </w:tbl>
          <w:p w14:paraId="4A6DB6E4">
            <w:pPr>
              <w:ind w:firstLine="480"/>
              <w:rPr>
                <w:color w:val="000000" w:themeColor="text1"/>
                <w14:textFill>
                  <w14:solidFill>
                    <w14:schemeClr w14:val="tx1"/>
                  </w14:solidFill>
                </w14:textFill>
              </w:rPr>
            </w:pPr>
          </w:p>
          <w:p w14:paraId="6699D2F0">
            <w:pPr>
              <w:ind w:firstLine="480"/>
              <w:rPr>
                <w:color w:val="000000" w:themeColor="text1"/>
                <w14:textFill>
                  <w14:solidFill>
                    <w14:schemeClr w14:val="tx1"/>
                  </w14:solidFill>
                </w14:textFill>
              </w:rPr>
            </w:pPr>
          </w:p>
          <w:p w14:paraId="454F45F7">
            <w:pPr>
              <w:ind w:firstLine="480"/>
              <w:rPr>
                <w:color w:val="000000" w:themeColor="text1"/>
                <w14:textFill>
                  <w14:solidFill>
                    <w14:schemeClr w14:val="tx1"/>
                  </w14:solidFill>
                </w14:textFill>
              </w:rPr>
            </w:pPr>
          </w:p>
          <w:p w14:paraId="0B444A23">
            <w:pPr>
              <w:ind w:firstLine="480"/>
              <w:rPr>
                <w:color w:val="000000" w:themeColor="text1"/>
                <w14:textFill>
                  <w14:solidFill>
                    <w14:schemeClr w14:val="tx1"/>
                  </w14:solidFill>
                </w14:textFill>
              </w:rPr>
            </w:pPr>
          </w:p>
          <w:p w14:paraId="0E189EDF">
            <w:pPr>
              <w:ind w:firstLine="480"/>
              <w:rPr>
                <w:color w:val="000000" w:themeColor="text1"/>
                <w14:textFill>
                  <w14:solidFill>
                    <w14:schemeClr w14:val="tx1"/>
                  </w14:solidFill>
                </w14:textFill>
              </w:rPr>
            </w:pPr>
          </w:p>
          <w:p w14:paraId="438AE192">
            <w:pPr>
              <w:pStyle w:val="19"/>
              <w:ind w:firstLine="0" w:firstLineChars="0"/>
              <w:rPr>
                <w:color w:val="000000" w:themeColor="text1"/>
                <w14:textFill>
                  <w14:solidFill>
                    <w14:schemeClr w14:val="tx1"/>
                  </w14:solidFill>
                </w14:textFill>
              </w:rPr>
            </w:pPr>
          </w:p>
        </w:tc>
      </w:tr>
    </w:tbl>
    <w:p w14:paraId="1D423FCE">
      <w:pPr>
        <w:pStyle w:val="19"/>
        <w:ind w:firstLine="0" w:firstLineChars="0"/>
        <w:rPr>
          <w:color w:val="000000" w:themeColor="text1"/>
          <w14:textFill>
            <w14:solidFill>
              <w14:schemeClr w14:val="tx1"/>
            </w14:solidFill>
          </w14:textFill>
        </w:rPr>
        <w:sectPr>
          <w:pgSz w:w="11907" w:h="16840"/>
          <w:pgMar w:top="1797" w:right="1440" w:bottom="1797" w:left="1440" w:header="851" w:footer="1020" w:gutter="0"/>
          <w:pgBorders>
            <w:top w:val="none" w:sz="0" w:space="0"/>
            <w:left w:val="none" w:sz="0" w:space="0"/>
            <w:bottom w:val="none" w:sz="0" w:space="0"/>
            <w:right w:val="none" w:sz="0" w:space="0"/>
          </w:pgBorders>
          <w:cols w:space="0" w:num="1"/>
          <w:docGrid w:linePitch="326" w:charSpace="0"/>
        </w:sectPr>
      </w:pPr>
    </w:p>
    <w:tbl>
      <w:tblPr>
        <w:tblStyle w:val="3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8588"/>
      </w:tblGrid>
      <w:tr w14:paraId="283BC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1" w:hRule="atLeast"/>
          <w:jc w:val="center"/>
        </w:trPr>
        <w:tc>
          <w:tcPr>
            <w:tcW w:w="569" w:type="dxa"/>
            <w:tcBorders>
              <w:tl2br w:val="nil"/>
              <w:tr2bl w:val="nil"/>
            </w:tcBorders>
            <w:tcMar>
              <w:left w:w="28" w:type="dxa"/>
              <w:right w:w="28" w:type="dxa"/>
            </w:tcMar>
            <w:vAlign w:val="center"/>
          </w:tcPr>
          <w:p w14:paraId="11968CB1">
            <w:pPr>
              <w:ind w:firstLine="0" w:firstLineChars="0"/>
              <w:jc w:val="center"/>
              <w:rPr>
                <w:color w:val="000000" w:themeColor="text1"/>
                <w14:textFill>
                  <w14:solidFill>
                    <w14:schemeClr w14:val="tx1"/>
                  </w14:solidFill>
                </w14:textFill>
              </w:rPr>
            </w:pPr>
          </w:p>
        </w:tc>
        <w:tc>
          <w:tcPr>
            <w:tcW w:w="8588" w:type="dxa"/>
            <w:tcBorders>
              <w:tl2br w:val="nil"/>
              <w:tr2bl w:val="nil"/>
            </w:tcBorders>
            <w:vAlign w:val="center"/>
          </w:tcPr>
          <w:p w14:paraId="2AA028A8">
            <w:pPr>
              <w:ind w:left="0" w:leftChars="0" w:firstLine="0" w:firstLineChars="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六</w:t>
            </w:r>
            <w:r>
              <w:rPr>
                <w:b/>
                <w:bCs/>
                <w:color w:val="000000" w:themeColor="text1"/>
                <w14:textFill>
                  <w14:solidFill>
                    <w14:schemeClr w14:val="tx1"/>
                  </w14:solidFill>
                </w14:textFill>
              </w:rPr>
              <w:t>、环境风险分析</w:t>
            </w:r>
          </w:p>
          <w:p w14:paraId="01864D8A">
            <w:pPr>
              <w:pStyle w:val="149"/>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1、环境风险源调查及潜势判定</w:t>
            </w:r>
          </w:p>
          <w:p w14:paraId="33F31C8E">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000000" w:themeColor="text1"/>
                <w:highlight w:val="none"/>
                <w:lang w:val="en-US" w:eastAsia="zh-CN"/>
                <w14:textFill>
                  <w14:solidFill>
                    <w14:schemeClr w14:val="tx1"/>
                  </w14:solidFill>
                </w14:textFill>
              </w:rPr>
            </w:pPr>
            <w:r>
              <w:rPr>
                <w:rFonts w:hint="eastAsia" w:ascii="Times New Roman" w:hAnsi="Times New Roman" w:eastAsia="宋体" w:cs="宋体"/>
                <w:color w:val="000000" w:themeColor="text1"/>
                <w:highlight w:val="none"/>
                <w:lang w:val="en-US" w:eastAsia="zh-CN"/>
                <w14:textFill>
                  <w14:solidFill>
                    <w14:schemeClr w14:val="tx1"/>
                  </w14:solidFill>
                </w14:textFill>
              </w:rPr>
              <w:t>根据</w:t>
            </w:r>
            <w:r>
              <w:rPr>
                <w:rFonts w:hint="eastAsia" w:ascii="Times New Roman" w:hAnsi="Times New Roman" w:eastAsia="宋体" w:cs="宋体"/>
                <w:color w:val="000000" w:themeColor="text1"/>
                <w:highlight w:val="none"/>
                <w14:textFill>
                  <w14:solidFill>
                    <w14:schemeClr w14:val="tx1"/>
                  </w14:solidFill>
                </w14:textFill>
              </w:rPr>
              <w:t>《建设项目环境风险评价技术导则》（HJ169-2018）</w:t>
            </w:r>
            <w:r>
              <w:rPr>
                <w:rFonts w:hint="eastAsia" w:ascii="Times New Roman" w:hAnsi="Times New Roman" w:eastAsia="宋体" w:cs="宋体"/>
                <w:color w:val="000000" w:themeColor="text1"/>
                <w:highlight w:val="none"/>
                <w:lang w:val="en-US" w:eastAsia="zh-CN"/>
                <w14:textFill>
                  <w14:solidFill>
                    <w14:schemeClr w14:val="tx1"/>
                  </w14:solidFill>
                </w14:textFill>
              </w:rPr>
              <w:t>附录B，</w:t>
            </w:r>
            <w:r>
              <w:rPr>
                <w:rFonts w:hint="eastAsia" w:ascii="Times New Roman" w:hAnsi="Times New Roman" w:eastAsia="宋体" w:cs="宋体"/>
                <w:color w:val="000000" w:themeColor="text1"/>
                <w:highlight w:val="none"/>
                <w14:textFill>
                  <w14:solidFill>
                    <w14:schemeClr w14:val="tx1"/>
                  </w14:solidFill>
                </w14:textFill>
              </w:rPr>
              <w:t>本项目涉及的风险物质</w:t>
            </w:r>
            <w:r>
              <w:rPr>
                <w:rFonts w:hint="eastAsia" w:ascii="Times New Roman" w:hAnsi="Times New Roman" w:eastAsia="宋体" w:cs="宋体"/>
                <w:color w:val="000000" w:themeColor="text1"/>
                <w:highlight w:val="none"/>
                <w:lang w:val="en-US" w:eastAsia="zh-CN"/>
                <w14:textFill>
                  <w14:solidFill>
                    <w14:schemeClr w14:val="tx1"/>
                  </w14:solidFill>
                </w14:textFill>
              </w:rPr>
              <w:t>主要为原料</w:t>
            </w:r>
            <w:r>
              <w:rPr>
                <w:rFonts w:hint="eastAsia" w:eastAsia="宋体" w:cs="宋体"/>
                <w:color w:val="000000" w:themeColor="text1"/>
                <w:highlight w:val="none"/>
                <w:lang w:val="en-US" w:eastAsia="zh-CN"/>
                <w14:textFill>
                  <w14:solidFill>
                    <w14:schemeClr w14:val="tx1"/>
                  </w14:solidFill>
                </w14:textFill>
              </w:rPr>
              <w:t>油漆</w:t>
            </w:r>
            <w:r>
              <w:rPr>
                <w:rFonts w:hint="eastAsia" w:ascii="Times New Roman" w:hAnsi="Times New Roman" w:eastAsia="宋体" w:cs="宋体"/>
                <w:color w:val="000000" w:themeColor="text1"/>
                <w:highlight w:val="none"/>
                <w:lang w:val="en-US" w:eastAsia="zh-CN"/>
                <w14:textFill>
                  <w14:solidFill>
                    <w14:schemeClr w14:val="tx1"/>
                  </w14:solidFill>
                </w14:textFill>
              </w:rPr>
              <w:t>、稀释剂中的二甲苯、环己酮</w:t>
            </w:r>
            <w:r>
              <w:rPr>
                <w:rFonts w:hint="eastAsia" w:cs="宋体"/>
                <w:color w:val="000000" w:themeColor="text1"/>
                <w:highlight w:val="none"/>
                <w:lang w:val="en-US" w:eastAsia="zh-CN"/>
                <w14:textFill>
                  <w14:solidFill>
                    <w14:schemeClr w14:val="tx1"/>
                  </w14:solidFill>
                </w14:textFill>
              </w:rPr>
              <w:t>、促进剂中的</w:t>
            </w:r>
            <w:r>
              <w:rPr>
                <w:rFonts w:hint="eastAsia" w:ascii="Times New Roman" w:hAnsi="Times New Roman" w:eastAsia="宋体" w:cs="宋体"/>
                <w:color w:val="000000" w:themeColor="text1"/>
                <w:highlight w:val="none"/>
                <w:lang w:val="en-US" w:eastAsia="zh-CN"/>
                <w14:textFill>
                  <w14:solidFill>
                    <w14:schemeClr w14:val="tx1"/>
                  </w14:solidFill>
                </w14:textFill>
              </w:rPr>
              <w:t>异辛酸铜、异辛酸钴</w:t>
            </w:r>
            <w:r>
              <w:rPr>
                <w:rFonts w:hint="eastAsia" w:cs="宋体"/>
                <w:color w:val="000000" w:themeColor="text1"/>
                <w:highlight w:val="none"/>
                <w:lang w:val="en-US" w:eastAsia="zh-CN"/>
                <w14:textFill>
                  <w14:solidFill>
                    <w14:schemeClr w14:val="tx1"/>
                  </w14:solidFill>
                </w14:textFill>
              </w:rPr>
              <w:t>、</w:t>
            </w:r>
            <w:r>
              <w:rPr>
                <w:rFonts w:hint="eastAsia" w:ascii="Times New Roman" w:hAnsi="Times New Roman" w:eastAsia="宋体" w:cs="宋体"/>
                <w:color w:val="000000" w:themeColor="text1"/>
                <w:highlight w:val="none"/>
                <w:lang w:val="en-US" w:eastAsia="zh-CN"/>
                <w14:textFill>
                  <w14:solidFill>
                    <w14:schemeClr w14:val="tx1"/>
                  </w14:solidFill>
                </w14:textFill>
              </w:rPr>
              <w:t>设备保养产生的废机油</w:t>
            </w:r>
            <w:r>
              <w:rPr>
                <w:rFonts w:hint="eastAsia" w:cs="宋体"/>
                <w:color w:val="000000" w:themeColor="text1"/>
                <w:highlight w:val="none"/>
                <w:lang w:val="en-US" w:eastAsia="zh-CN"/>
                <w14:textFill>
                  <w14:solidFill>
                    <w14:schemeClr w14:val="tx1"/>
                  </w14:solidFill>
                </w14:textFill>
              </w:rPr>
              <w:t>及废气污染物</w:t>
            </w:r>
            <w:r>
              <w:rPr>
                <w:rFonts w:hint="eastAsia" w:ascii="Times New Roman" w:hAnsi="Times New Roman" w:eastAsia="宋体" w:cs="宋体"/>
                <w:color w:val="000000" w:themeColor="text1"/>
                <w:highlight w:val="none"/>
                <w:lang w:val="en-US" w:eastAsia="zh-CN"/>
                <w14:textFill>
                  <w14:solidFill>
                    <w14:schemeClr w14:val="tx1"/>
                  </w14:solidFill>
                </w14:textFill>
              </w:rPr>
              <w:t>。</w:t>
            </w:r>
          </w:p>
          <w:p w14:paraId="534D332B">
            <w:pPr>
              <w:pStyle w:val="57"/>
              <w:numPr>
                <w:ilvl w:val="3"/>
                <w:numId w:val="19"/>
              </w:numPr>
              <w:rPr>
                <w:rFonts w:hint="eastAsia" w:eastAsia="宋体"/>
                <w:color w:val="000000" w:themeColor="text1"/>
                <w14:textFill>
                  <w14:solidFill>
                    <w14:schemeClr w14:val="tx1"/>
                  </w14:solidFill>
                </w14:textFill>
              </w:rPr>
            </w:pPr>
            <w:r>
              <w:rPr>
                <w:rFonts w:hint="eastAsia" w:eastAsia="宋体"/>
                <w:color w:val="000000" w:themeColor="text1"/>
                <w:lang w:val="en-US" w:eastAsia="zh-CN"/>
                <w14:textFill>
                  <w14:solidFill>
                    <w14:schemeClr w14:val="tx1"/>
                  </w14:solidFill>
                </w14:textFill>
              </w:rPr>
              <w:t xml:space="preserve">  </w:t>
            </w:r>
            <w:r>
              <w:rPr>
                <w:rFonts w:hint="eastAsia" w:eastAsia="宋体"/>
                <w:color w:val="000000" w:themeColor="text1"/>
                <w14:textFill>
                  <w14:solidFill>
                    <w14:schemeClr w14:val="tx1"/>
                  </w14:solidFill>
                </w14:textFill>
              </w:rPr>
              <w:t>项目风险物质情况</w:t>
            </w:r>
          </w:p>
          <w:tbl>
            <w:tblPr>
              <w:tblStyle w:val="3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076"/>
              <w:gridCol w:w="1125"/>
              <w:gridCol w:w="939"/>
              <w:gridCol w:w="1252"/>
              <w:gridCol w:w="1398"/>
              <w:gridCol w:w="1880"/>
            </w:tblGrid>
            <w:tr w14:paraId="1E6A8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2EF8BD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序号</w:t>
                  </w:r>
                </w:p>
              </w:tc>
              <w:tc>
                <w:tcPr>
                  <w:tcW w:w="643" w:type="pct"/>
                  <w:tcBorders>
                    <w:tl2br w:val="nil"/>
                    <w:tr2bl w:val="nil"/>
                  </w:tcBorders>
                  <w:noWrap w:val="0"/>
                  <w:vAlign w:val="center"/>
                </w:tcPr>
                <w:p w14:paraId="55E356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名称</w:t>
                  </w:r>
                </w:p>
              </w:tc>
              <w:tc>
                <w:tcPr>
                  <w:tcW w:w="672" w:type="pct"/>
                  <w:tcBorders>
                    <w:tl2br w:val="nil"/>
                    <w:tr2bl w:val="nil"/>
                  </w:tcBorders>
                  <w:noWrap w:val="0"/>
                  <w:vAlign w:val="center"/>
                </w:tcPr>
                <w:p w14:paraId="20A7BA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CAS</w:t>
                  </w:r>
                </w:p>
              </w:tc>
              <w:tc>
                <w:tcPr>
                  <w:tcW w:w="561" w:type="pct"/>
                  <w:tcBorders>
                    <w:tl2br w:val="nil"/>
                    <w:tr2bl w:val="nil"/>
                  </w:tcBorders>
                  <w:noWrap w:val="0"/>
                  <w:vAlign w:val="center"/>
                </w:tcPr>
                <w:p w14:paraId="469BF1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临界量</w:t>
                  </w:r>
                  <w:r>
                    <w:rPr>
                      <w:rFonts w:hint="eastAsia"/>
                      <w:b/>
                      <w:bCs/>
                      <w:color w:val="000000" w:themeColor="text1"/>
                      <w:sz w:val="21"/>
                      <w:szCs w:val="21"/>
                      <w:highlight w:val="none"/>
                      <w14:textFill>
                        <w14:solidFill>
                          <w14:schemeClr w14:val="tx1"/>
                        </w14:solidFill>
                      </w14:textFill>
                    </w:rPr>
                    <w:t>/t</w:t>
                  </w:r>
                </w:p>
              </w:tc>
              <w:tc>
                <w:tcPr>
                  <w:tcW w:w="748" w:type="pct"/>
                  <w:tcBorders>
                    <w:tl2br w:val="nil"/>
                    <w:tr2bl w:val="nil"/>
                  </w:tcBorders>
                  <w:noWrap w:val="0"/>
                  <w:vAlign w:val="center"/>
                </w:tcPr>
                <w:p w14:paraId="1B7A12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贮存位置</w:t>
                  </w:r>
                </w:p>
              </w:tc>
              <w:tc>
                <w:tcPr>
                  <w:tcW w:w="835" w:type="pct"/>
                  <w:tcBorders>
                    <w:tl2br w:val="nil"/>
                    <w:tr2bl w:val="nil"/>
                  </w:tcBorders>
                  <w:noWrap w:val="0"/>
                  <w:vAlign w:val="center"/>
                </w:tcPr>
                <w:p w14:paraId="31872F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最大存在总量</w:t>
                  </w:r>
                  <w:r>
                    <w:rPr>
                      <w:rFonts w:hint="eastAsia"/>
                      <w:b/>
                      <w:bCs/>
                      <w:color w:val="000000" w:themeColor="text1"/>
                      <w:sz w:val="21"/>
                      <w:szCs w:val="21"/>
                      <w:highlight w:val="none"/>
                      <w14:textFill>
                        <w14:solidFill>
                          <w14:schemeClr w14:val="tx1"/>
                        </w14:solidFill>
                      </w14:textFill>
                    </w:rPr>
                    <w:t>/t</w:t>
                  </w:r>
                </w:p>
              </w:tc>
              <w:tc>
                <w:tcPr>
                  <w:tcW w:w="1123" w:type="pct"/>
                  <w:tcBorders>
                    <w:tl2br w:val="nil"/>
                    <w:tr2bl w:val="nil"/>
                  </w:tcBorders>
                  <w:noWrap w:val="0"/>
                  <w:vAlign w:val="center"/>
                </w:tcPr>
                <w:p w14:paraId="2FEBE9E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color w:val="000000" w:themeColor="text1"/>
                      <w:sz w:val="21"/>
                      <w:szCs w:val="21"/>
                      <w:highlight w:val="none"/>
                      <w14:textFill>
                        <w14:solidFill>
                          <w14:schemeClr w14:val="tx1"/>
                        </w14:solidFill>
                      </w14:textFill>
                    </w:rPr>
                  </w:pPr>
                  <w:r>
                    <w:rPr>
                      <w:b/>
                      <w:bCs/>
                      <w:color w:val="000000" w:themeColor="text1"/>
                      <w:sz w:val="21"/>
                      <w:szCs w:val="21"/>
                      <w:highlight w:val="none"/>
                      <w14:textFill>
                        <w14:solidFill>
                          <w14:schemeClr w14:val="tx1"/>
                        </w14:solidFill>
                      </w14:textFill>
                    </w:rPr>
                    <w:t>该种危险物质的Q值</w:t>
                  </w:r>
                </w:p>
              </w:tc>
            </w:tr>
            <w:tr w14:paraId="38DF82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6F07BBF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w:t>
                  </w:r>
                </w:p>
              </w:tc>
              <w:tc>
                <w:tcPr>
                  <w:tcW w:w="643" w:type="pct"/>
                  <w:tcBorders>
                    <w:tl2br w:val="nil"/>
                    <w:tr2bl w:val="nil"/>
                  </w:tcBorders>
                  <w:noWrap w:val="0"/>
                  <w:vAlign w:val="center"/>
                </w:tcPr>
                <w:p w14:paraId="66DF41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二甲苯</w:t>
                  </w:r>
                </w:p>
              </w:tc>
              <w:tc>
                <w:tcPr>
                  <w:tcW w:w="672" w:type="pct"/>
                  <w:tcBorders>
                    <w:tl2br w:val="nil"/>
                    <w:tr2bl w:val="nil"/>
                  </w:tcBorders>
                  <w:noWrap w:val="0"/>
                  <w:vAlign w:val="center"/>
                </w:tcPr>
                <w:p w14:paraId="24C2DF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000000" w:themeColor="text1"/>
                      <w:sz w:val="21"/>
                      <w:szCs w:val="21"/>
                      <w:highlight w:val="none"/>
                      <w14:textFill>
                        <w14:solidFill>
                          <w14:schemeClr w14:val="tx1"/>
                        </w14:solidFill>
                      </w14:textFill>
                    </w:rPr>
                  </w:pPr>
                  <w:r>
                    <w:rPr>
                      <w:color w:val="000000" w:themeColor="text1"/>
                      <w:sz w:val="21"/>
                      <w:szCs w:val="21"/>
                      <w14:textFill>
                        <w14:solidFill>
                          <w14:schemeClr w14:val="tx1"/>
                        </w14:solidFill>
                      </w14:textFill>
                    </w:rPr>
                    <w:t>1330-20-</w:t>
                  </w:r>
                  <w:r>
                    <w:rPr>
                      <w:color w:val="000000" w:themeColor="text1"/>
                      <w:spacing w:val="-10"/>
                      <w:sz w:val="21"/>
                      <w:szCs w:val="21"/>
                      <w14:textFill>
                        <w14:solidFill>
                          <w14:schemeClr w14:val="tx1"/>
                        </w14:solidFill>
                      </w14:textFill>
                    </w:rPr>
                    <w:t>7</w:t>
                  </w:r>
                </w:p>
              </w:tc>
              <w:tc>
                <w:tcPr>
                  <w:tcW w:w="561" w:type="pct"/>
                  <w:tcBorders>
                    <w:tl2br w:val="nil"/>
                    <w:tr2bl w:val="nil"/>
                  </w:tcBorders>
                  <w:noWrap w:val="0"/>
                  <w:vAlign w:val="center"/>
                </w:tcPr>
                <w:p w14:paraId="547E1F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w:t>
                  </w:r>
                </w:p>
              </w:tc>
              <w:tc>
                <w:tcPr>
                  <w:tcW w:w="748" w:type="pct"/>
                  <w:tcBorders>
                    <w:tl2br w:val="nil"/>
                    <w:tr2bl w:val="nil"/>
                  </w:tcBorders>
                  <w:noWrap w:val="0"/>
                  <w:vAlign w:val="center"/>
                </w:tcPr>
                <w:p w14:paraId="20A8AA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原料仓库</w:t>
                  </w:r>
                </w:p>
              </w:tc>
              <w:tc>
                <w:tcPr>
                  <w:tcW w:w="835" w:type="pct"/>
                  <w:tcBorders>
                    <w:tl2br w:val="nil"/>
                    <w:tr2bl w:val="nil"/>
                  </w:tcBorders>
                  <w:noWrap w:val="0"/>
                  <w:vAlign w:val="center"/>
                </w:tcPr>
                <w:p w14:paraId="0B48C0D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0.0875</w:t>
                  </w:r>
                </w:p>
              </w:tc>
              <w:tc>
                <w:tcPr>
                  <w:tcW w:w="1123" w:type="pct"/>
                  <w:tcBorders>
                    <w:tl2br w:val="nil"/>
                    <w:tr2bl w:val="nil"/>
                  </w:tcBorders>
                  <w:noWrap w:val="0"/>
                  <w:vAlign w:val="center"/>
                </w:tcPr>
                <w:p w14:paraId="32FB1B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0.0</w:t>
                  </w:r>
                  <w:r>
                    <w:rPr>
                      <w:rFonts w:hint="eastAsia" w:eastAsia="宋体" w:cs="Times New Roman"/>
                      <w:color w:val="000000" w:themeColor="text1"/>
                      <w:sz w:val="21"/>
                      <w:szCs w:val="21"/>
                      <w:highlight w:val="none"/>
                      <w:lang w:val="en-US" w:eastAsia="zh-CN"/>
                      <w14:textFill>
                        <w14:solidFill>
                          <w14:schemeClr w14:val="tx1"/>
                        </w14:solidFill>
                      </w14:textFill>
                    </w:rPr>
                    <w:t>0875</w:t>
                  </w:r>
                </w:p>
              </w:tc>
            </w:tr>
            <w:tr w14:paraId="7B4C70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50218D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643" w:type="pct"/>
                  <w:tcBorders>
                    <w:tl2br w:val="nil"/>
                    <w:tr2bl w:val="nil"/>
                  </w:tcBorders>
                  <w:noWrap w:val="0"/>
                  <w:vAlign w:val="center"/>
                </w:tcPr>
                <w:p w14:paraId="45EC9D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环己酮</w:t>
                  </w:r>
                </w:p>
              </w:tc>
              <w:tc>
                <w:tcPr>
                  <w:tcW w:w="672" w:type="pct"/>
                  <w:tcBorders>
                    <w:tl2br w:val="nil"/>
                    <w:tr2bl w:val="nil"/>
                  </w:tcBorders>
                  <w:noWrap w:val="0"/>
                  <w:vAlign w:val="center"/>
                </w:tcPr>
                <w:p w14:paraId="65D027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000000" w:themeColor="text1"/>
                      <w:sz w:val="21"/>
                      <w:szCs w:val="21"/>
                      <w:highlight w:val="none"/>
                      <w14:textFill>
                        <w14:solidFill>
                          <w14:schemeClr w14:val="tx1"/>
                        </w14:solidFill>
                      </w14:textFill>
                    </w:rPr>
                  </w:pPr>
                  <w:r>
                    <w:rPr>
                      <w:color w:val="000000" w:themeColor="text1"/>
                      <w:sz w:val="21"/>
                      <w:szCs w:val="21"/>
                      <w14:textFill>
                        <w14:solidFill>
                          <w14:schemeClr w14:val="tx1"/>
                        </w14:solidFill>
                      </w14:textFill>
                    </w:rPr>
                    <w:t>108-94-</w:t>
                  </w:r>
                  <w:r>
                    <w:rPr>
                      <w:color w:val="000000" w:themeColor="text1"/>
                      <w:spacing w:val="-10"/>
                      <w:sz w:val="21"/>
                      <w:szCs w:val="21"/>
                      <w14:textFill>
                        <w14:solidFill>
                          <w14:schemeClr w14:val="tx1"/>
                        </w14:solidFill>
                      </w14:textFill>
                    </w:rPr>
                    <w:t>1</w:t>
                  </w:r>
                </w:p>
              </w:tc>
              <w:tc>
                <w:tcPr>
                  <w:tcW w:w="561" w:type="pct"/>
                  <w:tcBorders>
                    <w:tl2br w:val="nil"/>
                    <w:tr2bl w:val="nil"/>
                  </w:tcBorders>
                  <w:noWrap w:val="0"/>
                  <w:vAlign w:val="center"/>
                </w:tcPr>
                <w:p w14:paraId="0CF289A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w:t>
                  </w:r>
                </w:p>
              </w:tc>
              <w:tc>
                <w:tcPr>
                  <w:tcW w:w="748" w:type="pct"/>
                  <w:tcBorders>
                    <w:tl2br w:val="nil"/>
                    <w:tr2bl w:val="nil"/>
                  </w:tcBorders>
                  <w:noWrap w:val="0"/>
                  <w:vAlign w:val="center"/>
                </w:tcPr>
                <w:p w14:paraId="2A34DBE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原料仓库</w:t>
                  </w:r>
                </w:p>
              </w:tc>
              <w:tc>
                <w:tcPr>
                  <w:tcW w:w="835" w:type="pct"/>
                  <w:tcBorders>
                    <w:tl2br w:val="nil"/>
                    <w:tr2bl w:val="nil"/>
                  </w:tcBorders>
                  <w:noWrap w:val="0"/>
                  <w:vAlign w:val="center"/>
                </w:tcPr>
                <w:p w14:paraId="54ED0D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0.0675</w:t>
                  </w:r>
                </w:p>
              </w:tc>
              <w:tc>
                <w:tcPr>
                  <w:tcW w:w="1123" w:type="pct"/>
                  <w:tcBorders>
                    <w:tl2br w:val="nil"/>
                    <w:tr2bl w:val="nil"/>
                  </w:tcBorders>
                  <w:noWrap w:val="0"/>
                  <w:vAlign w:val="center"/>
                </w:tcPr>
                <w:p w14:paraId="45B010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0.0</w:t>
                  </w:r>
                  <w:r>
                    <w:rPr>
                      <w:rFonts w:hint="eastAsia" w:eastAsia="宋体" w:cs="Times New Roman"/>
                      <w:color w:val="000000" w:themeColor="text1"/>
                      <w:sz w:val="21"/>
                      <w:szCs w:val="21"/>
                      <w:highlight w:val="none"/>
                      <w:lang w:val="en-US" w:eastAsia="zh-CN"/>
                      <w14:textFill>
                        <w14:solidFill>
                          <w14:schemeClr w14:val="tx1"/>
                        </w14:solidFill>
                      </w14:textFill>
                    </w:rPr>
                    <w:t>0675</w:t>
                  </w:r>
                </w:p>
              </w:tc>
            </w:tr>
            <w:tr w14:paraId="7B1C29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6C167A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w:t>
                  </w:r>
                </w:p>
              </w:tc>
              <w:tc>
                <w:tcPr>
                  <w:tcW w:w="643" w:type="pct"/>
                  <w:tcBorders>
                    <w:tl2br w:val="nil"/>
                    <w:tr2bl w:val="nil"/>
                  </w:tcBorders>
                  <w:noWrap w:val="0"/>
                  <w:vAlign w:val="center"/>
                </w:tcPr>
                <w:p w14:paraId="33D4F5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废机油</w:t>
                  </w:r>
                </w:p>
              </w:tc>
              <w:tc>
                <w:tcPr>
                  <w:tcW w:w="672" w:type="pct"/>
                  <w:tcBorders>
                    <w:tl2br w:val="nil"/>
                    <w:tr2bl w:val="nil"/>
                  </w:tcBorders>
                  <w:noWrap w:val="0"/>
                  <w:vAlign w:val="center"/>
                </w:tcPr>
                <w:p w14:paraId="46BA4C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561" w:type="pct"/>
                  <w:tcBorders>
                    <w:tl2br w:val="nil"/>
                    <w:tr2bl w:val="nil"/>
                  </w:tcBorders>
                  <w:noWrap w:val="0"/>
                  <w:vAlign w:val="center"/>
                </w:tcPr>
                <w:p w14:paraId="6C9A67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2500</w:t>
                  </w:r>
                </w:p>
              </w:tc>
              <w:tc>
                <w:tcPr>
                  <w:tcW w:w="748" w:type="pct"/>
                  <w:tcBorders>
                    <w:tl2br w:val="nil"/>
                    <w:tr2bl w:val="nil"/>
                  </w:tcBorders>
                  <w:noWrap w:val="0"/>
                  <w:vAlign w:val="center"/>
                </w:tcPr>
                <w:p w14:paraId="20E6182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危废暂存</w:t>
                  </w:r>
                  <w:r>
                    <w:rPr>
                      <w:rFonts w:hint="eastAsia"/>
                      <w:color w:val="000000" w:themeColor="text1"/>
                      <w:sz w:val="21"/>
                      <w:szCs w:val="21"/>
                      <w:highlight w:val="none"/>
                      <w:lang w:val="en-US" w:eastAsia="zh-CN"/>
                      <w14:textFill>
                        <w14:solidFill>
                          <w14:schemeClr w14:val="tx1"/>
                        </w14:solidFill>
                      </w14:textFill>
                    </w:rPr>
                    <w:t>间</w:t>
                  </w:r>
                </w:p>
              </w:tc>
              <w:tc>
                <w:tcPr>
                  <w:tcW w:w="835" w:type="pct"/>
                  <w:tcBorders>
                    <w:tl2br w:val="nil"/>
                    <w:tr2bl w:val="nil"/>
                  </w:tcBorders>
                  <w:noWrap w:val="0"/>
                  <w:vAlign w:val="center"/>
                </w:tcPr>
                <w:p w14:paraId="78D0B9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0.05</w:t>
                  </w:r>
                </w:p>
              </w:tc>
              <w:tc>
                <w:tcPr>
                  <w:tcW w:w="1123" w:type="pct"/>
                  <w:tcBorders>
                    <w:tl2br w:val="nil"/>
                    <w:tr2bl w:val="nil"/>
                  </w:tcBorders>
                  <w:noWrap w:val="0"/>
                  <w:vAlign w:val="center"/>
                </w:tcPr>
                <w:p w14:paraId="7014BD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0.00002</w:t>
                  </w:r>
                </w:p>
              </w:tc>
            </w:tr>
            <w:tr w14:paraId="09F9C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1261A7A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w:t>
                  </w:r>
                </w:p>
              </w:tc>
              <w:tc>
                <w:tcPr>
                  <w:tcW w:w="643" w:type="pct"/>
                  <w:tcBorders>
                    <w:tl2br w:val="nil"/>
                    <w:tr2bl w:val="nil"/>
                  </w:tcBorders>
                  <w:noWrap w:val="0"/>
                  <w:vAlign w:val="center"/>
                </w:tcPr>
                <w:p w14:paraId="4B4E67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漆渣</w:t>
                  </w:r>
                </w:p>
              </w:tc>
              <w:tc>
                <w:tcPr>
                  <w:tcW w:w="672" w:type="pct"/>
                  <w:tcBorders>
                    <w:tl2br w:val="nil"/>
                    <w:tr2bl w:val="nil"/>
                  </w:tcBorders>
                  <w:noWrap w:val="0"/>
                  <w:vAlign w:val="center"/>
                </w:tcPr>
                <w:p w14:paraId="106D27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w:t>
                  </w:r>
                </w:p>
              </w:tc>
              <w:tc>
                <w:tcPr>
                  <w:tcW w:w="561" w:type="pct"/>
                  <w:tcBorders>
                    <w:tl2br w:val="nil"/>
                    <w:tr2bl w:val="nil"/>
                  </w:tcBorders>
                  <w:noWrap w:val="0"/>
                  <w:vAlign w:val="center"/>
                </w:tcPr>
                <w:p w14:paraId="04AB653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w:t>
                  </w:r>
                </w:p>
              </w:tc>
              <w:tc>
                <w:tcPr>
                  <w:tcW w:w="748" w:type="pct"/>
                  <w:tcBorders>
                    <w:tl2br w:val="nil"/>
                    <w:tr2bl w:val="nil"/>
                  </w:tcBorders>
                  <w:noWrap w:val="0"/>
                  <w:vAlign w:val="center"/>
                </w:tcPr>
                <w:p w14:paraId="4120F2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olor w:val="000000" w:themeColor="text1"/>
                      <w:sz w:val="21"/>
                      <w:szCs w:val="21"/>
                      <w:highlight w:val="none"/>
                      <w:lang w:eastAsia="zh-CN"/>
                      <w14:textFill>
                        <w14:solidFill>
                          <w14:schemeClr w14:val="tx1"/>
                        </w14:solidFill>
                      </w14:textFill>
                    </w:rPr>
                  </w:pPr>
                  <w:r>
                    <w:rPr>
                      <w:color w:val="000000" w:themeColor="text1"/>
                      <w:sz w:val="21"/>
                      <w:szCs w:val="21"/>
                      <w:highlight w:val="none"/>
                      <w14:textFill>
                        <w14:solidFill>
                          <w14:schemeClr w14:val="tx1"/>
                        </w14:solidFill>
                      </w14:textFill>
                    </w:rPr>
                    <w:t>危废暂存</w:t>
                  </w:r>
                  <w:r>
                    <w:rPr>
                      <w:rFonts w:hint="eastAsia"/>
                      <w:color w:val="000000" w:themeColor="text1"/>
                      <w:sz w:val="21"/>
                      <w:szCs w:val="21"/>
                      <w:highlight w:val="none"/>
                      <w:lang w:val="en-US" w:eastAsia="zh-CN"/>
                      <w14:textFill>
                        <w14:solidFill>
                          <w14:schemeClr w14:val="tx1"/>
                        </w14:solidFill>
                      </w14:textFill>
                    </w:rPr>
                    <w:t>间</w:t>
                  </w:r>
                </w:p>
              </w:tc>
              <w:tc>
                <w:tcPr>
                  <w:tcW w:w="835" w:type="pct"/>
                  <w:tcBorders>
                    <w:tl2br w:val="nil"/>
                    <w:tr2bl w:val="nil"/>
                  </w:tcBorders>
                  <w:noWrap w:val="0"/>
                  <w:vAlign w:val="center"/>
                </w:tcPr>
                <w:p w14:paraId="378736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0.033</w:t>
                  </w:r>
                </w:p>
              </w:tc>
              <w:tc>
                <w:tcPr>
                  <w:tcW w:w="1123" w:type="pct"/>
                  <w:tcBorders>
                    <w:tl2br w:val="nil"/>
                    <w:tr2bl w:val="nil"/>
                  </w:tcBorders>
                  <w:noWrap w:val="0"/>
                  <w:vAlign w:val="center"/>
                </w:tcPr>
                <w:p w14:paraId="53CAC3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0.0</w:t>
                  </w:r>
                  <w:r>
                    <w:rPr>
                      <w:rFonts w:hint="eastAsia" w:eastAsia="宋体" w:cs="Times New Roman"/>
                      <w:color w:val="000000" w:themeColor="text1"/>
                      <w:sz w:val="21"/>
                      <w:szCs w:val="21"/>
                      <w:highlight w:val="none"/>
                      <w:lang w:val="en-US" w:eastAsia="zh-CN"/>
                      <w14:textFill>
                        <w14:solidFill>
                          <w14:schemeClr w14:val="tx1"/>
                        </w14:solidFill>
                      </w14:textFill>
                    </w:rPr>
                    <w:t>033</w:t>
                  </w:r>
                </w:p>
              </w:tc>
            </w:tr>
            <w:tr w14:paraId="4F7F6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54A345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w:t>
                  </w:r>
                </w:p>
              </w:tc>
              <w:tc>
                <w:tcPr>
                  <w:tcW w:w="643" w:type="pct"/>
                  <w:tcBorders>
                    <w:tl2br w:val="nil"/>
                    <w:tr2bl w:val="nil"/>
                  </w:tcBorders>
                  <w:noWrap w:val="0"/>
                  <w:vAlign w:val="center"/>
                </w:tcPr>
                <w:p w14:paraId="00D13B3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铜及其化合物（</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异辛酸铜</w:t>
                  </w:r>
                  <w:r>
                    <w:rPr>
                      <w:rFonts w:hint="eastAsia"/>
                      <w:color w:val="000000" w:themeColor="text1"/>
                      <w:sz w:val="21"/>
                      <w:szCs w:val="21"/>
                      <w:highlight w:val="none"/>
                      <w:lang w:val="en-US" w:eastAsia="zh-CN"/>
                      <w14:textFill>
                        <w14:solidFill>
                          <w14:schemeClr w14:val="tx1"/>
                        </w14:solidFill>
                      </w14:textFill>
                    </w:rPr>
                    <w:t>）</w:t>
                  </w:r>
                </w:p>
              </w:tc>
              <w:tc>
                <w:tcPr>
                  <w:tcW w:w="672" w:type="pct"/>
                  <w:tcBorders>
                    <w:tl2br w:val="nil"/>
                    <w:tr2bl w:val="nil"/>
                  </w:tcBorders>
                  <w:noWrap w:val="0"/>
                  <w:vAlign w:val="center"/>
                </w:tcPr>
                <w:p w14:paraId="1650EAF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w:t>
                  </w:r>
                </w:p>
              </w:tc>
              <w:tc>
                <w:tcPr>
                  <w:tcW w:w="561" w:type="pct"/>
                  <w:tcBorders>
                    <w:tl2br w:val="nil"/>
                    <w:tr2bl w:val="nil"/>
                  </w:tcBorders>
                  <w:noWrap w:val="0"/>
                  <w:vAlign w:val="center"/>
                </w:tcPr>
                <w:p w14:paraId="64808C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0.25</w:t>
                  </w:r>
                </w:p>
              </w:tc>
              <w:tc>
                <w:tcPr>
                  <w:tcW w:w="748" w:type="pct"/>
                  <w:tcBorders>
                    <w:tl2br w:val="nil"/>
                    <w:tr2bl w:val="nil"/>
                  </w:tcBorders>
                  <w:noWrap w:val="0"/>
                  <w:vAlign w:val="center"/>
                </w:tcPr>
                <w:p w14:paraId="23AEE1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原料仓库</w:t>
                  </w:r>
                </w:p>
              </w:tc>
              <w:tc>
                <w:tcPr>
                  <w:tcW w:w="835" w:type="pct"/>
                  <w:tcBorders>
                    <w:tl2br w:val="nil"/>
                    <w:tr2bl w:val="nil"/>
                  </w:tcBorders>
                  <w:noWrap w:val="0"/>
                  <w:vAlign w:val="center"/>
                </w:tcPr>
                <w:p w14:paraId="5EF3A1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0.0004</w:t>
                  </w:r>
                </w:p>
              </w:tc>
              <w:tc>
                <w:tcPr>
                  <w:tcW w:w="1123" w:type="pct"/>
                  <w:tcBorders>
                    <w:tl2br w:val="nil"/>
                    <w:tr2bl w:val="nil"/>
                  </w:tcBorders>
                  <w:noWrap w:val="0"/>
                  <w:vAlign w:val="center"/>
                </w:tcPr>
                <w:p w14:paraId="2C1D07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0.0016</w:t>
                  </w:r>
                </w:p>
              </w:tc>
            </w:tr>
            <w:tr w14:paraId="6C69D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3328DC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w:t>
                  </w:r>
                </w:p>
              </w:tc>
              <w:tc>
                <w:tcPr>
                  <w:tcW w:w="643" w:type="pct"/>
                  <w:tcBorders>
                    <w:tl2br w:val="nil"/>
                    <w:tr2bl w:val="nil"/>
                  </w:tcBorders>
                  <w:noWrap w:val="0"/>
                  <w:vAlign w:val="center"/>
                </w:tcPr>
                <w:p w14:paraId="2621DE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钴及其化合物（</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异辛酸钴</w:t>
                  </w:r>
                  <w:r>
                    <w:rPr>
                      <w:rFonts w:hint="eastAsia"/>
                      <w:color w:val="000000" w:themeColor="text1"/>
                      <w:sz w:val="21"/>
                      <w:szCs w:val="21"/>
                      <w:highlight w:val="none"/>
                      <w:lang w:val="en-US" w:eastAsia="zh-CN"/>
                      <w14:textFill>
                        <w14:solidFill>
                          <w14:schemeClr w14:val="tx1"/>
                        </w14:solidFill>
                      </w14:textFill>
                    </w:rPr>
                    <w:t>）</w:t>
                  </w:r>
                </w:p>
              </w:tc>
              <w:tc>
                <w:tcPr>
                  <w:tcW w:w="672" w:type="pct"/>
                  <w:tcBorders>
                    <w:tl2br w:val="nil"/>
                    <w:tr2bl w:val="nil"/>
                  </w:tcBorders>
                  <w:noWrap w:val="0"/>
                  <w:vAlign w:val="center"/>
                </w:tcPr>
                <w:p w14:paraId="4DCA2C5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w:t>
                  </w:r>
                </w:p>
              </w:tc>
              <w:tc>
                <w:tcPr>
                  <w:tcW w:w="561" w:type="pct"/>
                  <w:tcBorders>
                    <w:tl2br w:val="nil"/>
                    <w:tr2bl w:val="nil"/>
                  </w:tcBorders>
                  <w:noWrap w:val="0"/>
                  <w:vAlign w:val="center"/>
                </w:tcPr>
                <w:p w14:paraId="79B74AE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0.25</w:t>
                  </w:r>
                </w:p>
              </w:tc>
              <w:tc>
                <w:tcPr>
                  <w:tcW w:w="748" w:type="pct"/>
                  <w:tcBorders>
                    <w:tl2br w:val="nil"/>
                    <w:tr2bl w:val="nil"/>
                  </w:tcBorders>
                  <w:noWrap w:val="0"/>
                  <w:vAlign w:val="center"/>
                </w:tcPr>
                <w:p w14:paraId="7DBDE1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原料仓库</w:t>
                  </w:r>
                </w:p>
              </w:tc>
              <w:tc>
                <w:tcPr>
                  <w:tcW w:w="835" w:type="pct"/>
                  <w:tcBorders>
                    <w:tl2br w:val="nil"/>
                    <w:tr2bl w:val="nil"/>
                  </w:tcBorders>
                  <w:noWrap w:val="0"/>
                  <w:vAlign w:val="center"/>
                </w:tcPr>
                <w:p w14:paraId="1FC916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0.0012</w:t>
                  </w:r>
                </w:p>
              </w:tc>
              <w:tc>
                <w:tcPr>
                  <w:tcW w:w="1123" w:type="pct"/>
                  <w:tcBorders>
                    <w:tl2br w:val="nil"/>
                    <w:tr2bl w:val="nil"/>
                  </w:tcBorders>
                  <w:noWrap w:val="0"/>
                  <w:vAlign w:val="center"/>
                </w:tcPr>
                <w:p w14:paraId="797601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0.0048</w:t>
                  </w:r>
                </w:p>
              </w:tc>
            </w:tr>
            <w:tr w14:paraId="4BF3E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16" w:type="pct"/>
                  <w:tcBorders>
                    <w:tl2br w:val="nil"/>
                    <w:tr2bl w:val="nil"/>
                  </w:tcBorders>
                  <w:noWrap w:val="0"/>
                  <w:vAlign w:val="center"/>
                </w:tcPr>
                <w:p w14:paraId="3347D92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7</w:t>
                  </w:r>
                </w:p>
              </w:tc>
              <w:tc>
                <w:tcPr>
                  <w:tcW w:w="643" w:type="pct"/>
                  <w:tcBorders>
                    <w:tl2br w:val="nil"/>
                    <w:tr2bl w:val="nil"/>
                  </w:tcBorders>
                  <w:noWrap w:val="0"/>
                  <w:vAlign w:val="center"/>
                </w:tcPr>
                <w:p w14:paraId="7D866BD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废气中二甲苯</w:t>
                  </w:r>
                </w:p>
              </w:tc>
              <w:tc>
                <w:tcPr>
                  <w:tcW w:w="672" w:type="pct"/>
                  <w:tcBorders>
                    <w:tl2br w:val="nil"/>
                    <w:tr2bl w:val="nil"/>
                  </w:tcBorders>
                  <w:shd w:val="clear" w:color="auto" w:fill="auto"/>
                  <w:noWrap w:val="0"/>
                  <w:vAlign w:val="center"/>
                </w:tcPr>
                <w:p w14:paraId="39FBA9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14:textFill>
                        <w14:solidFill>
                          <w14:schemeClr w14:val="tx1"/>
                        </w14:solidFill>
                      </w14:textFill>
                    </w:rPr>
                    <w:t>1330-20-</w:t>
                  </w:r>
                  <w:r>
                    <w:rPr>
                      <w:color w:val="000000" w:themeColor="text1"/>
                      <w:spacing w:val="-10"/>
                      <w:sz w:val="21"/>
                      <w:szCs w:val="21"/>
                      <w14:textFill>
                        <w14:solidFill>
                          <w14:schemeClr w14:val="tx1"/>
                        </w14:solidFill>
                      </w14:textFill>
                    </w:rPr>
                    <w:t>7</w:t>
                  </w:r>
                </w:p>
              </w:tc>
              <w:tc>
                <w:tcPr>
                  <w:tcW w:w="561" w:type="pct"/>
                  <w:tcBorders>
                    <w:tl2br w:val="nil"/>
                    <w:tr2bl w:val="nil"/>
                  </w:tcBorders>
                  <w:shd w:val="clear" w:color="auto" w:fill="auto"/>
                  <w:noWrap w:val="0"/>
                  <w:vAlign w:val="center"/>
                </w:tcPr>
                <w:p w14:paraId="38F1191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w:t>
                  </w:r>
                </w:p>
              </w:tc>
              <w:tc>
                <w:tcPr>
                  <w:tcW w:w="748" w:type="pct"/>
                  <w:tcBorders>
                    <w:tl2br w:val="nil"/>
                    <w:tr2bl w:val="nil"/>
                  </w:tcBorders>
                  <w:noWrap w:val="0"/>
                  <w:vAlign w:val="center"/>
                </w:tcPr>
                <w:p w14:paraId="6A4EA21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废气管道</w:t>
                  </w:r>
                </w:p>
              </w:tc>
              <w:tc>
                <w:tcPr>
                  <w:tcW w:w="835" w:type="pct"/>
                  <w:tcBorders>
                    <w:tl2br w:val="nil"/>
                    <w:tr2bl w:val="nil"/>
                  </w:tcBorders>
                  <w:noWrap w:val="0"/>
                  <w:vAlign w:val="center"/>
                </w:tcPr>
                <w:p w14:paraId="53DC80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0.000353</w:t>
                  </w:r>
                </w:p>
              </w:tc>
              <w:tc>
                <w:tcPr>
                  <w:tcW w:w="1123" w:type="pct"/>
                  <w:tcBorders>
                    <w:tl2br w:val="nil"/>
                    <w:tr2bl w:val="nil"/>
                  </w:tcBorders>
                  <w:noWrap w:val="0"/>
                  <w:vAlign w:val="center"/>
                </w:tcPr>
                <w:p w14:paraId="29455D3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0.0000353</w:t>
                  </w:r>
                </w:p>
              </w:tc>
            </w:tr>
            <w:tr w14:paraId="77948D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876" w:type="pct"/>
                  <w:gridSpan w:val="6"/>
                  <w:tcBorders>
                    <w:tl2br w:val="nil"/>
                    <w:tr2bl w:val="nil"/>
                  </w:tcBorders>
                  <w:noWrap w:val="0"/>
                  <w:vAlign w:val="center"/>
                </w:tcPr>
                <w:p w14:paraId="7C2E93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项目Q值</w:t>
                  </w:r>
                </w:p>
              </w:tc>
              <w:tc>
                <w:tcPr>
                  <w:tcW w:w="1123" w:type="pct"/>
                  <w:tcBorders>
                    <w:tl2br w:val="nil"/>
                    <w:tr2bl w:val="nil"/>
                  </w:tcBorders>
                  <w:noWrap w:val="0"/>
                  <w:vAlign w:val="center"/>
                </w:tcPr>
                <w:p w14:paraId="5D0185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0.0252553</w:t>
                  </w:r>
                </w:p>
              </w:tc>
            </w:tr>
          </w:tbl>
          <w:p w14:paraId="29363EB8">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000000" w:themeColor="text1"/>
                <w:highlight w:val="none"/>
                <w:lang w:val="en-US"/>
                <w14:textFill>
                  <w14:solidFill>
                    <w14:schemeClr w14:val="tx1"/>
                  </w14:solidFill>
                </w14:textFill>
              </w:rPr>
            </w:pPr>
            <w:r>
              <w:rPr>
                <w:color w:val="000000" w:themeColor="text1"/>
                <w:highlight w:val="none"/>
                <w14:textFill>
                  <w14:solidFill>
                    <w14:schemeClr w14:val="tx1"/>
                  </w14:solidFill>
                </w14:textFill>
              </w:rPr>
              <w:t>由上表可知，本项目危险物质数量与临界量比值Q=</w:t>
            </w:r>
            <w:r>
              <w:rPr>
                <w:rFonts w:hint="eastAsia"/>
                <w:color w:val="000000" w:themeColor="text1"/>
                <w:highlight w:val="none"/>
                <w:lang w:val="en-US"/>
                <w14:textFill>
                  <w14:solidFill>
                    <w14:schemeClr w14:val="tx1"/>
                  </w14:solidFill>
                </w14:textFill>
              </w:rPr>
              <w:t>0.</w:t>
            </w:r>
            <w:r>
              <w:rPr>
                <w:rFonts w:hint="eastAsia"/>
                <w:color w:val="000000" w:themeColor="text1"/>
                <w:highlight w:val="none"/>
                <w:lang w:val="en-US" w:eastAsia="zh-CN"/>
                <w14:textFill>
                  <w14:solidFill>
                    <w14:schemeClr w14:val="tx1"/>
                  </w14:solidFill>
                </w14:textFill>
              </w:rPr>
              <w:t>0252553</w:t>
            </w:r>
            <w:r>
              <w:rPr>
                <w:color w:val="000000" w:themeColor="text1"/>
                <w:highlight w:val="none"/>
                <w14:textFill>
                  <w14:solidFill>
                    <w14:schemeClr w14:val="tx1"/>
                  </w14:solidFill>
                </w14:textFill>
              </w:rPr>
              <w:t>，属于Q＜</w:t>
            </w:r>
            <w:r>
              <w:rPr>
                <w:rFonts w:hint="eastAsia"/>
                <w:color w:val="000000" w:themeColor="text1"/>
                <w:highlight w:val="none"/>
                <w:lang w:val="en-US"/>
                <w14:textFill>
                  <w14:solidFill>
                    <w14:schemeClr w14:val="tx1"/>
                  </w14:solidFill>
                </w14:textFill>
              </w:rPr>
              <w:t>1</w:t>
            </w:r>
            <w:r>
              <w:rPr>
                <w:rFonts w:hint="eastAsia"/>
                <w:color w:val="000000" w:themeColor="text1"/>
                <w:highlight w:val="none"/>
                <w14:textFill>
                  <w14:solidFill>
                    <w14:schemeClr w14:val="tx1"/>
                  </w14:solidFill>
                </w14:textFill>
              </w:rPr>
              <w:t>。</w:t>
            </w:r>
            <w:r>
              <w:rPr>
                <w:rFonts w:cs="Times New Roman"/>
                <w:color w:val="000000" w:themeColor="text1"/>
                <w:highlight w:val="none"/>
                <w14:textFill>
                  <w14:solidFill>
                    <w14:schemeClr w14:val="tx1"/>
                  </w14:solidFill>
                </w14:textFill>
              </w:rPr>
              <w:t>项目环境风险潜势为I</w:t>
            </w:r>
            <w:r>
              <w:rPr>
                <w:rFonts w:hint="eastAsia" w:cs="Times New Roman"/>
                <w:color w:val="000000" w:themeColor="text1"/>
                <w:highlight w:val="none"/>
                <w14:textFill>
                  <w14:solidFill>
                    <w14:schemeClr w14:val="tx1"/>
                  </w14:solidFill>
                </w14:textFill>
              </w:rPr>
              <w:t>，</w:t>
            </w:r>
            <w:r>
              <w:rPr>
                <w:rFonts w:hint="eastAsia" w:cs="Times New Roman"/>
                <w:color w:val="000000" w:themeColor="text1"/>
                <w:highlight w:val="none"/>
                <w:lang w:val="en-US"/>
                <w14:textFill>
                  <w14:solidFill>
                    <w14:schemeClr w14:val="tx1"/>
                  </w14:solidFill>
                </w14:textFill>
              </w:rPr>
              <w:t>环境风险评价等级为“简单分析”。</w:t>
            </w:r>
          </w:p>
          <w:p w14:paraId="748C9131">
            <w:pPr>
              <w:pStyle w:val="149"/>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eastAsia="宋体" w:cs="宋体"/>
                <w:b/>
                <w:bCs/>
                <w:color w:val="000000" w:themeColor="text1"/>
                <w:highlight w:val="none"/>
                <w14:textFill>
                  <w14:solidFill>
                    <w14:schemeClr w14:val="tx1"/>
                  </w14:solidFill>
                </w14:textFill>
              </w:rPr>
            </w:pPr>
            <w:r>
              <w:rPr>
                <w:rFonts w:hint="eastAsia" w:eastAsia="宋体" w:cs="宋体"/>
                <w:b/>
                <w:bCs/>
                <w:color w:val="000000" w:themeColor="text1"/>
                <w:highlight w:val="none"/>
                <w:lang w:val="en-US" w:eastAsia="zh-CN"/>
                <w14:textFill>
                  <w14:solidFill>
                    <w14:schemeClr w14:val="tx1"/>
                  </w14:solidFill>
                </w14:textFill>
              </w:rPr>
              <w:t>2、</w:t>
            </w:r>
            <w:r>
              <w:rPr>
                <w:rFonts w:hint="eastAsia" w:eastAsia="宋体" w:cs="宋体"/>
                <w:b/>
                <w:bCs/>
                <w:color w:val="000000" w:themeColor="text1"/>
                <w:highlight w:val="none"/>
                <w14:textFill>
                  <w14:solidFill>
                    <w14:schemeClr w14:val="tx1"/>
                  </w14:solidFill>
                </w14:textFill>
              </w:rPr>
              <w:t>环境风险识别</w:t>
            </w:r>
          </w:p>
          <w:p w14:paraId="5FFC0D84">
            <w:pPr>
              <w:pStyle w:val="57"/>
              <w:numPr>
                <w:ilvl w:val="3"/>
                <w:numId w:val="19"/>
              </w:numPr>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 xml:space="preserve"> 项目环境风险识别表</w:t>
            </w:r>
          </w:p>
          <w:tbl>
            <w:tblPr>
              <w:tblStyle w:val="36"/>
              <w:tblW w:w="8317"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472"/>
              <w:gridCol w:w="831"/>
              <w:gridCol w:w="905"/>
              <w:gridCol w:w="1458"/>
              <w:gridCol w:w="1453"/>
              <w:gridCol w:w="1599"/>
              <w:gridCol w:w="1599"/>
            </w:tblGrid>
            <w:tr w14:paraId="62DA0F8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472" w:type="dxa"/>
                  <w:tcBorders>
                    <w:tl2br w:val="nil"/>
                    <w:tr2bl w:val="nil"/>
                  </w:tcBorders>
                  <w:noWrap w:val="0"/>
                  <w:vAlign w:val="center"/>
                </w:tcPr>
                <w:p w14:paraId="35F36D6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b/>
                      <w:bCs/>
                      <w:color w:val="000000" w:themeColor="text1"/>
                      <w:sz w:val="18"/>
                      <w:szCs w:val="18"/>
                      <w:highlight w:val="none"/>
                      <w14:textFill>
                        <w14:solidFill>
                          <w14:schemeClr w14:val="tx1"/>
                        </w14:solidFill>
                      </w14:textFill>
                    </w:rPr>
                  </w:pPr>
                  <w:r>
                    <w:rPr>
                      <w:rFonts w:hint="eastAsia"/>
                      <w:b/>
                      <w:bCs/>
                      <w:color w:val="000000" w:themeColor="text1"/>
                      <w:sz w:val="18"/>
                      <w:szCs w:val="18"/>
                      <w:highlight w:val="none"/>
                      <w14:textFill>
                        <w14:solidFill>
                          <w14:schemeClr w14:val="tx1"/>
                        </w14:solidFill>
                      </w14:textFill>
                    </w:rPr>
                    <w:t>序号</w:t>
                  </w:r>
                </w:p>
              </w:tc>
              <w:tc>
                <w:tcPr>
                  <w:tcW w:w="831" w:type="dxa"/>
                  <w:tcBorders>
                    <w:tl2br w:val="nil"/>
                    <w:tr2bl w:val="nil"/>
                  </w:tcBorders>
                  <w:noWrap w:val="0"/>
                  <w:vAlign w:val="center"/>
                </w:tcPr>
                <w:p w14:paraId="14960F2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危险</w:t>
                  </w:r>
                </w:p>
                <w:p w14:paraId="2797842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b/>
                      <w:bCs/>
                      <w:color w:val="000000" w:themeColor="text1"/>
                      <w:sz w:val="18"/>
                      <w:szCs w:val="18"/>
                      <w:highlight w:val="none"/>
                      <w:lang w:eastAsia="zh-CN"/>
                      <w14:textFill>
                        <w14:solidFill>
                          <w14:schemeClr w14:val="tx1"/>
                        </w14:solidFill>
                      </w14:textFill>
                    </w:rPr>
                  </w:pPr>
                  <w:r>
                    <w:rPr>
                      <w:rFonts w:hint="eastAsia"/>
                      <w:b/>
                      <w:bCs/>
                      <w:color w:val="000000" w:themeColor="text1"/>
                      <w:sz w:val="18"/>
                      <w:szCs w:val="18"/>
                      <w:highlight w:val="none"/>
                      <w:lang w:val="en-US" w:eastAsia="zh-CN"/>
                      <w14:textFill>
                        <w14:solidFill>
                          <w14:schemeClr w14:val="tx1"/>
                        </w14:solidFill>
                      </w14:textFill>
                    </w:rPr>
                    <w:t>单元</w:t>
                  </w:r>
                </w:p>
              </w:tc>
              <w:tc>
                <w:tcPr>
                  <w:tcW w:w="905" w:type="dxa"/>
                  <w:tcBorders>
                    <w:tl2br w:val="nil"/>
                    <w:tr2bl w:val="nil"/>
                  </w:tcBorders>
                  <w:noWrap w:val="0"/>
                  <w:vAlign w:val="center"/>
                </w:tcPr>
                <w:p w14:paraId="0FAFADC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风险源</w:t>
                  </w:r>
                </w:p>
              </w:tc>
              <w:tc>
                <w:tcPr>
                  <w:tcW w:w="1458" w:type="dxa"/>
                  <w:tcBorders>
                    <w:tl2br w:val="nil"/>
                    <w:tr2bl w:val="nil"/>
                  </w:tcBorders>
                  <w:noWrap w:val="0"/>
                  <w:vAlign w:val="center"/>
                </w:tcPr>
                <w:p w14:paraId="53ED602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主要危险物质</w:t>
                  </w:r>
                </w:p>
              </w:tc>
              <w:tc>
                <w:tcPr>
                  <w:tcW w:w="1453" w:type="dxa"/>
                  <w:tcBorders>
                    <w:tl2br w:val="nil"/>
                    <w:tr2bl w:val="nil"/>
                  </w:tcBorders>
                  <w:noWrap w:val="0"/>
                  <w:vAlign w:val="center"/>
                </w:tcPr>
                <w:p w14:paraId="5B3250C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环境风险类型</w:t>
                  </w:r>
                </w:p>
              </w:tc>
              <w:tc>
                <w:tcPr>
                  <w:tcW w:w="1599" w:type="dxa"/>
                  <w:tcBorders>
                    <w:tl2br w:val="nil"/>
                    <w:tr2bl w:val="nil"/>
                  </w:tcBorders>
                  <w:noWrap w:val="0"/>
                  <w:vAlign w:val="center"/>
                </w:tcPr>
                <w:p w14:paraId="348BCAB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环境影响途径</w:t>
                  </w:r>
                </w:p>
              </w:tc>
              <w:tc>
                <w:tcPr>
                  <w:tcW w:w="1599" w:type="dxa"/>
                  <w:tcBorders>
                    <w:tl2br w:val="nil"/>
                    <w:tr2bl w:val="nil"/>
                  </w:tcBorders>
                  <w:noWrap w:val="0"/>
                  <w:vAlign w:val="center"/>
                </w:tcPr>
                <w:p w14:paraId="55F215F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b/>
                      <w:bCs/>
                      <w:color w:val="000000" w:themeColor="text1"/>
                      <w:sz w:val="18"/>
                      <w:szCs w:val="18"/>
                      <w:highlight w:val="none"/>
                      <w14:textFill>
                        <w14:solidFill>
                          <w14:schemeClr w14:val="tx1"/>
                        </w14:solidFill>
                      </w14:textFill>
                    </w:rPr>
                  </w:pPr>
                  <w:r>
                    <w:rPr>
                      <w:b/>
                      <w:bCs/>
                      <w:color w:val="000000" w:themeColor="text1"/>
                      <w:sz w:val="18"/>
                      <w:szCs w:val="18"/>
                      <w:highlight w:val="none"/>
                      <w14:textFill>
                        <w14:solidFill>
                          <w14:schemeClr w14:val="tx1"/>
                        </w14:solidFill>
                      </w14:textFill>
                    </w:rPr>
                    <w:t>可能受影响的环境敏感目标</w:t>
                  </w:r>
                </w:p>
              </w:tc>
            </w:tr>
            <w:tr w14:paraId="12EC0E7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472" w:type="dxa"/>
                  <w:tcBorders>
                    <w:tl2br w:val="nil"/>
                    <w:tr2bl w:val="nil"/>
                  </w:tcBorders>
                  <w:noWrap w:val="0"/>
                  <w:vAlign w:val="center"/>
                </w:tcPr>
                <w:p w14:paraId="0554B23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1</w:t>
                  </w:r>
                </w:p>
              </w:tc>
              <w:tc>
                <w:tcPr>
                  <w:tcW w:w="831" w:type="dxa"/>
                  <w:tcBorders>
                    <w:tl2br w:val="nil"/>
                    <w:tr2bl w:val="nil"/>
                  </w:tcBorders>
                  <w:noWrap w:val="0"/>
                  <w:vAlign w:val="center"/>
                </w:tcPr>
                <w:p w14:paraId="039D4A3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危废暂存</w:t>
                  </w:r>
                  <w:r>
                    <w:rPr>
                      <w:rFonts w:hint="eastAsia"/>
                      <w:color w:val="000000" w:themeColor="text1"/>
                      <w:sz w:val="18"/>
                      <w:szCs w:val="18"/>
                      <w:highlight w:val="none"/>
                      <w:lang w:val="en-US" w:eastAsia="zh-CN"/>
                      <w14:textFill>
                        <w14:solidFill>
                          <w14:schemeClr w14:val="tx1"/>
                        </w14:solidFill>
                      </w14:textFill>
                    </w:rPr>
                    <w:t>间</w:t>
                  </w:r>
                </w:p>
              </w:tc>
              <w:tc>
                <w:tcPr>
                  <w:tcW w:w="905" w:type="dxa"/>
                  <w:tcBorders>
                    <w:tl2br w:val="nil"/>
                    <w:tr2bl w:val="nil"/>
                  </w:tcBorders>
                  <w:noWrap w:val="0"/>
                  <w:tcMar>
                    <w:top w:w="0" w:type="dxa"/>
                    <w:left w:w="57" w:type="dxa"/>
                    <w:bottom w:w="0" w:type="dxa"/>
                    <w:right w:w="57" w:type="dxa"/>
                  </w:tcMar>
                  <w:vAlign w:val="center"/>
                </w:tcPr>
                <w:p w14:paraId="55C00C1E">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危险废物</w:t>
                  </w:r>
                </w:p>
              </w:tc>
              <w:tc>
                <w:tcPr>
                  <w:tcW w:w="1458" w:type="dxa"/>
                  <w:tcBorders>
                    <w:tl2br w:val="nil"/>
                    <w:tr2bl w:val="nil"/>
                  </w:tcBorders>
                  <w:noWrap w:val="0"/>
                  <w:tcMar>
                    <w:top w:w="0" w:type="dxa"/>
                    <w:left w:w="57" w:type="dxa"/>
                    <w:bottom w:w="0" w:type="dxa"/>
                    <w:right w:w="57" w:type="dxa"/>
                  </w:tcMar>
                  <w:vAlign w:val="center"/>
                </w:tcPr>
                <w:p w14:paraId="1EAD494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18"/>
                      <w:szCs w:val="18"/>
                      <w:highlight w:val="none"/>
                      <w:lang w:val="en-US" w:eastAsia="zh-CN"/>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废包装桶、废过滤棉、废活性炭、漆渣、废机油、废机油桶、含油废抹布等</w:t>
                  </w:r>
                </w:p>
              </w:tc>
              <w:tc>
                <w:tcPr>
                  <w:tcW w:w="1453" w:type="dxa"/>
                  <w:tcBorders>
                    <w:tl2br w:val="nil"/>
                    <w:tr2bl w:val="nil"/>
                  </w:tcBorders>
                  <w:noWrap w:val="0"/>
                  <w:vAlign w:val="center"/>
                </w:tcPr>
                <w:p w14:paraId="621D798B">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泄漏及</w:t>
                  </w:r>
                  <w:r>
                    <w:rPr>
                      <w:color w:val="000000" w:themeColor="text1"/>
                      <w:sz w:val="18"/>
                      <w:szCs w:val="18"/>
                      <w:highlight w:val="none"/>
                      <w14:textFill>
                        <w14:solidFill>
                          <w14:schemeClr w14:val="tx1"/>
                        </w14:solidFill>
                      </w14:textFill>
                    </w:rPr>
                    <w:t>火灾等引发的伴生/次生污染物排放</w:t>
                  </w:r>
                </w:p>
              </w:tc>
              <w:tc>
                <w:tcPr>
                  <w:tcW w:w="1599" w:type="dxa"/>
                  <w:tcBorders>
                    <w:tl2br w:val="nil"/>
                    <w:tr2bl w:val="nil"/>
                  </w:tcBorders>
                  <w:noWrap w:val="0"/>
                  <w:vAlign w:val="center"/>
                </w:tcPr>
                <w:p w14:paraId="0E674E7C">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18"/>
                      <w:szCs w:val="18"/>
                      <w:highlight w:val="none"/>
                      <w14:textFill>
                        <w14:solidFill>
                          <w14:schemeClr w14:val="tx1"/>
                        </w14:solidFill>
                      </w14:textFill>
                    </w:rPr>
                  </w:pPr>
                  <w:r>
                    <w:rPr>
                      <w:rFonts w:hint="eastAsia"/>
                      <w:color w:val="000000" w:themeColor="text1"/>
                      <w:sz w:val="18"/>
                      <w:szCs w:val="18"/>
                      <w:highlight w:val="none"/>
                      <w14:textFill>
                        <w14:solidFill>
                          <w14:schemeClr w14:val="tx1"/>
                        </w14:solidFill>
                      </w14:textFill>
                    </w:rPr>
                    <w:t>容器破损导致物料泄漏，并挥发进入大气和渗入土壤</w:t>
                  </w:r>
                  <w:r>
                    <w:rPr>
                      <w:rFonts w:hint="eastAsia"/>
                      <w:color w:val="000000" w:themeColor="text1"/>
                      <w:sz w:val="18"/>
                      <w:szCs w:val="18"/>
                      <w:highlight w:val="none"/>
                      <w:lang w:eastAsia="zh-CN"/>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地下水以及</w:t>
                  </w:r>
                  <w:r>
                    <w:rPr>
                      <w:color w:val="000000" w:themeColor="text1"/>
                      <w:sz w:val="18"/>
                      <w:szCs w:val="18"/>
                      <w:highlight w:val="none"/>
                      <w14:textFill>
                        <w14:solidFill>
                          <w14:schemeClr w14:val="tx1"/>
                        </w14:solidFill>
                      </w14:textFill>
                    </w:rPr>
                    <w:t>火灾等引发的伴生/次生污染物排放</w:t>
                  </w:r>
                  <w:r>
                    <w:rPr>
                      <w:rFonts w:hint="eastAsia"/>
                      <w:color w:val="000000" w:themeColor="text1"/>
                      <w:sz w:val="18"/>
                      <w:szCs w:val="18"/>
                      <w:highlight w:val="none"/>
                      <w14:textFill>
                        <w14:solidFill>
                          <w14:schemeClr w14:val="tx1"/>
                        </w14:solidFill>
                      </w14:textFill>
                    </w:rPr>
                    <w:t>。</w:t>
                  </w:r>
                </w:p>
              </w:tc>
              <w:tc>
                <w:tcPr>
                  <w:tcW w:w="1599" w:type="dxa"/>
                  <w:tcBorders>
                    <w:tl2br w:val="nil"/>
                    <w:tr2bl w:val="nil"/>
                  </w:tcBorders>
                  <w:noWrap w:val="0"/>
                  <w:vAlign w:val="center"/>
                </w:tcPr>
                <w:p w14:paraId="6F23C6C0">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18"/>
                      <w:szCs w:val="18"/>
                      <w:highlight w:val="none"/>
                      <w:lang w:val="en-US" w:eastAsia="zh-CN"/>
                      <w14:textFill>
                        <w14:solidFill>
                          <w14:schemeClr w14:val="tx1"/>
                        </w14:solidFill>
                      </w14:textFill>
                    </w:rPr>
                  </w:pPr>
                  <w:r>
                    <w:rPr>
                      <w:color w:val="000000" w:themeColor="text1"/>
                      <w:sz w:val="18"/>
                      <w:szCs w:val="18"/>
                      <w:highlight w:val="none"/>
                      <w14:textFill>
                        <w14:solidFill>
                          <w14:schemeClr w14:val="tx1"/>
                        </w14:solidFill>
                      </w14:textFill>
                    </w:rPr>
                    <w:t>周边</w:t>
                  </w:r>
                  <w:r>
                    <w:rPr>
                      <w:rFonts w:hint="eastAsia"/>
                      <w:color w:val="000000" w:themeColor="text1"/>
                      <w:sz w:val="18"/>
                      <w:szCs w:val="18"/>
                      <w:highlight w:val="none"/>
                      <w:lang w:val="en-US" w:eastAsia="zh-CN"/>
                      <w14:textFill>
                        <w14:solidFill>
                          <w14:schemeClr w14:val="tx1"/>
                        </w14:solidFill>
                      </w14:textFill>
                    </w:rPr>
                    <w:t>居民区及土壤、地下水、地表水环境</w:t>
                  </w:r>
                </w:p>
              </w:tc>
            </w:tr>
            <w:tr w14:paraId="143398A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472" w:type="dxa"/>
                  <w:tcBorders>
                    <w:tl2br w:val="nil"/>
                    <w:tr2bl w:val="nil"/>
                  </w:tcBorders>
                  <w:noWrap w:val="0"/>
                  <w:vAlign w:val="center"/>
                </w:tcPr>
                <w:p w14:paraId="4437F9FF">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2</w:t>
                  </w:r>
                </w:p>
              </w:tc>
              <w:tc>
                <w:tcPr>
                  <w:tcW w:w="831" w:type="dxa"/>
                  <w:tcBorders>
                    <w:tl2br w:val="nil"/>
                    <w:tr2bl w:val="nil"/>
                  </w:tcBorders>
                  <w:noWrap w:val="0"/>
                  <w:vAlign w:val="center"/>
                </w:tcPr>
                <w:p w14:paraId="48152AD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原料</w:t>
                  </w:r>
                </w:p>
                <w:p w14:paraId="6D08F93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仓库、成品仓库</w:t>
                  </w:r>
                </w:p>
              </w:tc>
              <w:tc>
                <w:tcPr>
                  <w:tcW w:w="905" w:type="dxa"/>
                  <w:tcBorders>
                    <w:tl2br w:val="nil"/>
                    <w:tr2bl w:val="nil"/>
                  </w:tcBorders>
                  <w:noWrap w:val="0"/>
                  <w:tcMar>
                    <w:top w:w="0" w:type="dxa"/>
                    <w:left w:w="57" w:type="dxa"/>
                    <w:bottom w:w="0" w:type="dxa"/>
                    <w:right w:w="57" w:type="dxa"/>
                  </w:tcMar>
                  <w:vAlign w:val="center"/>
                </w:tcPr>
                <w:p w14:paraId="4261394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原料、产品</w:t>
                  </w:r>
                </w:p>
              </w:tc>
              <w:tc>
                <w:tcPr>
                  <w:tcW w:w="1458" w:type="dxa"/>
                  <w:tcBorders>
                    <w:tl2br w:val="nil"/>
                    <w:tr2bl w:val="nil"/>
                  </w:tcBorders>
                  <w:noWrap w:val="0"/>
                  <w:tcMar>
                    <w:top w:w="0" w:type="dxa"/>
                    <w:left w:w="57" w:type="dxa"/>
                    <w:bottom w:w="0" w:type="dxa"/>
                    <w:right w:w="57" w:type="dxa"/>
                  </w:tcMar>
                  <w:vAlign w:val="center"/>
                </w:tcPr>
                <w:p w14:paraId="6A2CD448">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原料、产品</w:t>
                  </w:r>
                </w:p>
              </w:tc>
              <w:tc>
                <w:tcPr>
                  <w:tcW w:w="1453" w:type="dxa"/>
                  <w:tcBorders>
                    <w:tl2br w:val="nil"/>
                    <w:tr2bl w:val="nil"/>
                  </w:tcBorders>
                  <w:noWrap w:val="0"/>
                  <w:vAlign w:val="center"/>
                </w:tcPr>
                <w:p w14:paraId="1FDB9903">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泄漏及</w:t>
                  </w:r>
                  <w:r>
                    <w:rPr>
                      <w:color w:val="000000" w:themeColor="text1"/>
                      <w:sz w:val="18"/>
                      <w:szCs w:val="18"/>
                      <w:highlight w:val="none"/>
                      <w14:textFill>
                        <w14:solidFill>
                          <w14:schemeClr w14:val="tx1"/>
                        </w14:solidFill>
                      </w14:textFill>
                    </w:rPr>
                    <w:t>火灾等引发的伴生/次生污染物排放</w:t>
                  </w:r>
                </w:p>
              </w:tc>
              <w:tc>
                <w:tcPr>
                  <w:tcW w:w="1599" w:type="dxa"/>
                  <w:tcBorders>
                    <w:tl2br w:val="nil"/>
                    <w:tr2bl w:val="nil"/>
                  </w:tcBorders>
                  <w:noWrap w:val="0"/>
                  <w:vAlign w:val="center"/>
                </w:tcPr>
                <w:p w14:paraId="697B35B2">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14:textFill>
                        <w14:solidFill>
                          <w14:schemeClr w14:val="tx1"/>
                        </w14:solidFill>
                      </w14:textFill>
                    </w:rPr>
                    <w:t>容器破损导致物料泄漏，并挥发进入大气和渗入土壤</w:t>
                  </w:r>
                  <w:r>
                    <w:rPr>
                      <w:rFonts w:hint="eastAsia"/>
                      <w:color w:val="000000" w:themeColor="text1"/>
                      <w:sz w:val="18"/>
                      <w:szCs w:val="18"/>
                      <w:highlight w:val="none"/>
                      <w:lang w:eastAsia="zh-CN"/>
                      <w14:textFill>
                        <w14:solidFill>
                          <w14:schemeClr w14:val="tx1"/>
                        </w14:solidFill>
                      </w14:textFill>
                    </w:rPr>
                    <w:t>、</w:t>
                  </w:r>
                  <w:r>
                    <w:rPr>
                      <w:rFonts w:hint="eastAsia"/>
                      <w:color w:val="000000" w:themeColor="text1"/>
                      <w:sz w:val="18"/>
                      <w:szCs w:val="18"/>
                      <w:highlight w:val="none"/>
                      <w:lang w:val="en-US" w:eastAsia="zh-CN"/>
                      <w14:textFill>
                        <w14:solidFill>
                          <w14:schemeClr w14:val="tx1"/>
                        </w14:solidFill>
                      </w14:textFill>
                    </w:rPr>
                    <w:t>地下水以及</w:t>
                  </w:r>
                  <w:r>
                    <w:rPr>
                      <w:color w:val="000000" w:themeColor="text1"/>
                      <w:sz w:val="18"/>
                      <w:szCs w:val="18"/>
                      <w:highlight w:val="none"/>
                      <w14:textFill>
                        <w14:solidFill>
                          <w14:schemeClr w14:val="tx1"/>
                        </w14:solidFill>
                      </w14:textFill>
                    </w:rPr>
                    <w:t>火灾等引发的伴生/次生污染物排放</w:t>
                  </w:r>
                  <w:r>
                    <w:rPr>
                      <w:rFonts w:hint="eastAsia"/>
                      <w:color w:val="000000" w:themeColor="text1"/>
                      <w:sz w:val="18"/>
                      <w:szCs w:val="18"/>
                      <w:highlight w:val="none"/>
                      <w14:textFill>
                        <w14:solidFill>
                          <w14:schemeClr w14:val="tx1"/>
                        </w14:solidFill>
                      </w14:textFill>
                    </w:rPr>
                    <w:t>。</w:t>
                  </w:r>
                </w:p>
              </w:tc>
              <w:tc>
                <w:tcPr>
                  <w:tcW w:w="1599" w:type="dxa"/>
                  <w:tcBorders>
                    <w:tl2br w:val="nil"/>
                    <w:tr2bl w:val="nil"/>
                  </w:tcBorders>
                  <w:noWrap w:val="0"/>
                  <w:vAlign w:val="center"/>
                </w:tcPr>
                <w:p w14:paraId="53482334">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周边</w:t>
                  </w:r>
                  <w:r>
                    <w:rPr>
                      <w:rFonts w:hint="eastAsia"/>
                      <w:color w:val="000000" w:themeColor="text1"/>
                      <w:sz w:val="18"/>
                      <w:szCs w:val="18"/>
                      <w:highlight w:val="none"/>
                      <w:lang w:val="en-US" w:eastAsia="zh-CN"/>
                      <w14:textFill>
                        <w14:solidFill>
                          <w14:schemeClr w14:val="tx1"/>
                        </w14:solidFill>
                      </w14:textFill>
                    </w:rPr>
                    <w:t>居民区及土壤、地下水、地表水环境</w:t>
                  </w:r>
                </w:p>
              </w:tc>
            </w:tr>
            <w:tr w14:paraId="7916862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83" w:hRule="atLeast"/>
                <w:jc w:val="center"/>
              </w:trPr>
              <w:tc>
                <w:tcPr>
                  <w:tcW w:w="472" w:type="dxa"/>
                  <w:tcBorders>
                    <w:tl2br w:val="nil"/>
                    <w:tr2bl w:val="nil"/>
                  </w:tcBorders>
                  <w:noWrap w:val="0"/>
                  <w:vAlign w:val="center"/>
                </w:tcPr>
                <w:p w14:paraId="59CEA18D">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3</w:t>
                  </w:r>
                </w:p>
              </w:tc>
              <w:tc>
                <w:tcPr>
                  <w:tcW w:w="831" w:type="dxa"/>
                  <w:tcBorders>
                    <w:tl2br w:val="nil"/>
                    <w:tr2bl w:val="nil"/>
                  </w:tcBorders>
                  <w:noWrap w:val="0"/>
                  <w:vAlign w:val="center"/>
                </w:tcPr>
                <w:p w14:paraId="4DA50AD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废气治理设施</w:t>
                  </w:r>
                </w:p>
              </w:tc>
              <w:tc>
                <w:tcPr>
                  <w:tcW w:w="905" w:type="dxa"/>
                  <w:tcBorders>
                    <w:tl2br w:val="nil"/>
                    <w:tr2bl w:val="nil"/>
                  </w:tcBorders>
                  <w:noWrap w:val="0"/>
                  <w:tcMar>
                    <w:top w:w="0" w:type="dxa"/>
                    <w:left w:w="57" w:type="dxa"/>
                    <w:bottom w:w="0" w:type="dxa"/>
                    <w:right w:w="57" w:type="dxa"/>
                  </w:tcMar>
                  <w:vAlign w:val="center"/>
                </w:tcPr>
                <w:p w14:paraId="4300CB9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废气</w:t>
                  </w:r>
                </w:p>
              </w:tc>
              <w:tc>
                <w:tcPr>
                  <w:tcW w:w="1458" w:type="dxa"/>
                  <w:tcBorders>
                    <w:tl2br w:val="nil"/>
                    <w:tr2bl w:val="nil"/>
                  </w:tcBorders>
                  <w:noWrap w:val="0"/>
                  <w:tcMar>
                    <w:top w:w="0" w:type="dxa"/>
                    <w:left w:w="57" w:type="dxa"/>
                    <w:bottom w:w="0" w:type="dxa"/>
                    <w:right w:w="57" w:type="dxa"/>
                  </w:tcMar>
                  <w:vAlign w:val="center"/>
                </w:tcPr>
                <w:p w14:paraId="352A1CC1">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18"/>
                      <w:szCs w:val="18"/>
                      <w:highlight w:val="none"/>
                      <w:lang w:val="en-US" w:eastAsia="zh-CN"/>
                      <w14:textFill>
                        <w14:solidFill>
                          <w14:schemeClr w14:val="tx1"/>
                        </w14:solidFill>
                      </w14:textFill>
                    </w:rPr>
                  </w:pPr>
                  <w:r>
                    <w:rPr>
                      <w:rFonts w:hint="eastAsia" w:eastAsia="宋体"/>
                      <w:color w:val="000000" w:themeColor="text1"/>
                      <w:sz w:val="18"/>
                      <w:szCs w:val="18"/>
                      <w:highlight w:val="none"/>
                      <w:lang w:val="en-US" w:eastAsia="zh-CN"/>
                      <w14:textFill>
                        <w14:solidFill>
                          <w14:schemeClr w14:val="tx1"/>
                        </w14:solidFill>
                      </w14:textFill>
                    </w:rPr>
                    <w:t>颗粒物、TVOC、苯乙烯、二甲苯等</w:t>
                  </w:r>
                </w:p>
              </w:tc>
              <w:tc>
                <w:tcPr>
                  <w:tcW w:w="1453" w:type="dxa"/>
                  <w:tcBorders>
                    <w:tl2br w:val="nil"/>
                    <w:tr2bl w:val="nil"/>
                  </w:tcBorders>
                  <w:noWrap w:val="0"/>
                  <w:vAlign w:val="center"/>
                </w:tcPr>
                <w:p w14:paraId="4230093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废气治理设施故障</w:t>
                  </w:r>
                </w:p>
              </w:tc>
              <w:tc>
                <w:tcPr>
                  <w:tcW w:w="1599" w:type="dxa"/>
                  <w:tcBorders>
                    <w:tl2br w:val="nil"/>
                    <w:tr2bl w:val="nil"/>
                  </w:tcBorders>
                  <w:noWrap w:val="0"/>
                  <w:vAlign w:val="center"/>
                </w:tcPr>
                <w:p w14:paraId="5CE08AF9">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18"/>
                      <w:szCs w:val="18"/>
                      <w:highlight w:val="none"/>
                      <w:lang w:val="en-US" w:eastAsia="zh-CN"/>
                      <w14:textFill>
                        <w14:solidFill>
                          <w14:schemeClr w14:val="tx1"/>
                        </w14:solidFill>
                      </w14:textFill>
                    </w:rPr>
                  </w:pPr>
                  <w:r>
                    <w:rPr>
                      <w:rFonts w:hint="eastAsia"/>
                      <w:color w:val="000000" w:themeColor="text1"/>
                      <w:sz w:val="18"/>
                      <w:szCs w:val="18"/>
                      <w:highlight w:val="none"/>
                      <w:lang w:val="en-US" w:eastAsia="zh-CN"/>
                      <w14:textFill>
                        <w14:solidFill>
                          <w14:schemeClr w14:val="tx1"/>
                        </w14:solidFill>
                      </w14:textFill>
                    </w:rPr>
                    <w:t>污染大气</w:t>
                  </w:r>
                </w:p>
              </w:tc>
              <w:tc>
                <w:tcPr>
                  <w:tcW w:w="1599" w:type="dxa"/>
                  <w:tcBorders>
                    <w:tl2br w:val="nil"/>
                    <w:tr2bl w:val="nil"/>
                  </w:tcBorders>
                  <w:noWrap w:val="0"/>
                  <w:vAlign w:val="center"/>
                </w:tcPr>
                <w:p w14:paraId="4BBA4216">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t>周边</w:t>
                  </w:r>
                  <w:r>
                    <w:rPr>
                      <w:rFonts w:hint="eastAsia"/>
                      <w:color w:val="000000" w:themeColor="text1"/>
                      <w:sz w:val="18"/>
                      <w:szCs w:val="18"/>
                      <w:highlight w:val="none"/>
                      <w:lang w:val="en-US" w:eastAsia="zh-CN"/>
                      <w14:textFill>
                        <w14:solidFill>
                          <w14:schemeClr w14:val="tx1"/>
                        </w14:solidFill>
                      </w14:textFill>
                    </w:rPr>
                    <w:t>居民区</w:t>
                  </w:r>
                </w:p>
              </w:tc>
            </w:tr>
          </w:tbl>
          <w:p w14:paraId="2A43BDCE">
            <w:pPr>
              <w:pStyle w:val="149"/>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eastAsia="宋体" w:cs="宋体"/>
                <w:b/>
                <w:bCs/>
                <w:color w:val="000000" w:themeColor="text1"/>
                <w:highlight w:val="none"/>
                <w:lang w:val="en-US" w:eastAsia="zh-CN"/>
                <w14:textFill>
                  <w14:solidFill>
                    <w14:schemeClr w14:val="tx1"/>
                  </w14:solidFill>
                </w14:textFill>
              </w:rPr>
            </w:pPr>
            <w:r>
              <w:rPr>
                <w:rFonts w:hint="eastAsia" w:eastAsia="宋体" w:cs="宋体"/>
                <w:b/>
                <w:bCs/>
                <w:color w:val="000000" w:themeColor="text1"/>
                <w:highlight w:val="none"/>
                <w:lang w:val="en-US" w:eastAsia="zh-CN"/>
                <w14:textFill>
                  <w14:solidFill>
                    <w14:schemeClr w14:val="tx1"/>
                  </w14:solidFill>
                </w14:textFill>
              </w:rPr>
              <w:t>3、环境风险防范措施</w:t>
            </w:r>
          </w:p>
          <w:p w14:paraId="4216CB65">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火灾事故环境风险防范措施</w:t>
            </w:r>
          </w:p>
          <w:p w14:paraId="46DDFA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 1 \* GB3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①</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车间、仓库等</w:t>
            </w:r>
            <w:r>
              <w:rPr>
                <w:rFonts w:hint="default" w:ascii="Times New Roman" w:hAnsi="Times New Roman" w:eastAsia="宋体" w:cs="Times New Roman"/>
                <w:color w:val="000000" w:themeColor="text1"/>
                <w:sz w:val="24"/>
                <w:szCs w:val="24"/>
                <w:highlight w:val="none"/>
                <w14:textFill>
                  <w14:solidFill>
                    <w14:schemeClr w14:val="tx1"/>
                  </w14:solidFill>
                </w14:textFill>
              </w:rPr>
              <w:t>应配置相应的灭火器类型(干粉灭火器等)与数量，并在火灾危险场所设置报警装置；禁止在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车间、仓库</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等</w:t>
            </w:r>
            <w:r>
              <w:rPr>
                <w:rFonts w:hint="default" w:ascii="Times New Roman" w:hAnsi="Times New Roman" w:eastAsia="宋体" w:cs="Times New Roman"/>
                <w:color w:val="000000" w:themeColor="text1"/>
                <w:sz w:val="24"/>
                <w:szCs w:val="24"/>
                <w:highlight w:val="none"/>
                <w14:textFill>
                  <w14:solidFill>
                    <w14:schemeClr w14:val="tx1"/>
                  </w14:solidFill>
                </w14:textFill>
              </w:rPr>
              <w:t>内使用明火、抽烟等，将危险减小到最低程度。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车间、仓库</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等</w:t>
            </w:r>
            <w:r>
              <w:rPr>
                <w:rFonts w:hint="default" w:ascii="Times New Roman" w:hAnsi="Times New Roman" w:eastAsia="宋体" w:cs="Times New Roman"/>
                <w:color w:val="000000" w:themeColor="text1"/>
                <w:sz w:val="24"/>
                <w:szCs w:val="24"/>
                <w:highlight w:val="none"/>
                <w14:textFill>
                  <w14:solidFill>
                    <w14:schemeClr w14:val="tx1"/>
                  </w14:solidFill>
                </w14:textFill>
              </w:rPr>
              <w:t>明显位置张贴禁用明火的告示；</w:t>
            </w:r>
          </w:p>
          <w:p w14:paraId="336F495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②</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加强警示教育，杜绝各种火种，严禁闲杂人员进入厂区</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62261DE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 3 \* GB3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③</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制定防火规范及要求，对员工进行消防安全知识培训，重点培训岗位防火技术、操作规程、灭火器和消防栓使用办法、疏散逃生知识等，加强员工防火意识，加强防火管理</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515ABB4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④</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对员工进行安全生产培训，制定安全生产操作规范。</w:t>
            </w:r>
          </w:p>
          <w:p w14:paraId="7FA8C855">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危险物质</w:t>
            </w:r>
            <w:r>
              <w:rPr>
                <w:rFonts w:hint="eastAsia" w:cs="Times New Roman"/>
                <w:b/>
                <w:bCs/>
                <w:color w:val="000000" w:themeColor="text1"/>
                <w:sz w:val="24"/>
                <w:szCs w:val="24"/>
                <w:highlight w:val="none"/>
                <w:lang w:val="en-US" w:eastAsia="zh-CN"/>
                <w14:textFill>
                  <w14:solidFill>
                    <w14:schemeClr w14:val="tx1"/>
                  </w14:solidFill>
                </w14:textFill>
              </w:rPr>
              <w:t>、原料</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泄漏风险防范措施</w:t>
            </w:r>
          </w:p>
          <w:p w14:paraId="7CB8875B">
            <w:pPr>
              <w:keepNext w:val="0"/>
              <w:keepLines w:val="0"/>
              <w:pageBreakBefore w:val="0"/>
              <w:kinsoku/>
              <w:wordWrap/>
              <w:overflowPunct/>
              <w:topLinePunct w:val="0"/>
              <w:autoSpaceDE/>
              <w:autoSpaceDN/>
              <w:bidi w:val="0"/>
              <w:adjustRightInd/>
              <w:spacing w:line="360" w:lineRule="auto"/>
              <w:ind w:firstLine="480" w:firstLineChars="200"/>
              <w:jc w:val="both"/>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项目危废暂存</w:t>
            </w:r>
            <w:r>
              <w:rPr>
                <w:rFonts w:hint="eastAsia" w:eastAsia="宋体" w:cs="Times New Roman"/>
                <w:color w:val="000000" w:themeColor="text1"/>
                <w:sz w:val="24"/>
                <w:szCs w:val="24"/>
                <w:lang w:val="en-US" w:eastAsia="zh-CN"/>
                <w14:textFill>
                  <w14:solidFill>
                    <w14:schemeClr w14:val="tx1"/>
                  </w14:solidFill>
                </w14:textFill>
              </w:rPr>
              <w:t>间</w:t>
            </w:r>
            <w:r>
              <w:rPr>
                <w:rFonts w:hint="eastAsia" w:cs="Times New Roman"/>
                <w:color w:val="000000" w:themeColor="text1"/>
                <w:sz w:val="24"/>
                <w:szCs w:val="24"/>
                <w:lang w:val="en-US" w:eastAsia="zh-CN"/>
                <w14:textFill>
                  <w14:solidFill>
                    <w14:schemeClr w14:val="tx1"/>
                  </w14:solidFill>
                </w14:textFill>
              </w:rPr>
              <w:t>、原料仓库</w:t>
            </w:r>
            <w:r>
              <w:rPr>
                <w:rFonts w:hint="default" w:ascii="Times New Roman" w:hAnsi="Times New Roman" w:eastAsia="宋体" w:cs="Times New Roman"/>
                <w:color w:val="000000" w:themeColor="text1"/>
                <w:sz w:val="24"/>
                <w:szCs w:val="24"/>
                <w14:textFill>
                  <w14:solidFill>
                    <w14:schemeClr w14:val="tx1"/>
                  </w14:solidFill>
                </w14:textFill>
              </w:rPr>
              <w:t>应设有专人管理，管理人员配备可靠的个人防护用品。危险废物</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油漆、固化剂、促进剂等</w:t>
            </w:r>
            <w:r>
              <w:rPr>
                <w:rFonts w:hint="default" w:ascii="Times New Roman" w:hAnsi="Times New Roman" w:eastAsia="宋体" w:cs="Times New Roman"/>
                <w:color w:val="000000" w:themeColor="text1"/>
                <w:sz w:val="24"/>
                <w:szCs w:val="24"/>
                <w14:textFill>
                  <w14:solidFill>
                    <w14:schemeClr w14:val="tx1"/>
                  </w14:solidFill>
                </w14:textFill>
              </w:rPr>
              <w:t>入库时，需分区存放，严格检验物品质量、数量、包装情况、有无泄漏。在贮存期内，定期检查，发现其包装破损、渗漏等，及时进行处理。地面应硬底化，保证危废</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原料</w:t>
            </w:r>
            <w:r>
              <w:rPr>
                <w:rFonts w:hint="default" w:ascii="Times New Roman" w:hAnsi="Times New Roman" w:eastAsia="宋体" w:cs="Times New Roman"/>
                <w:color w:val="000000" w:themeColor="text1"/>
                <w:sz w:val="24"/>
                <w:szCs w:val="24"/>
                <w14:textFill>
                  <w14:solidFill>
                    <w14:schemeClr w14:val="tx1"/>
                  </w14:solidFill>
                </w14:textFill>
              </w:rPr>
              <w:t>暂存防渗、防漏。同时配备相应灭火器、沙土箱和适当的空容器、工具，以便发生泄漏时收集溢出的物料，在显眼的地方做好应急物资、防范措施标示</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5F37AD58">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火灾引发的伴生/次生污染风险防范措施</w:t>
            </w:r>
          </w:p>
          <w:p w14:paraId="566765C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①</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车间、仓库</w:t>
            </w:r>
            <w:r>
              <w:rPr>
                <w:rFonts w:hint="eastAsia"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危废暂存</w:t>
            </w:r>
            <w:r>
              <w:rPr>
                <w:rFonts w:hint="eastAsia" w:eastAsia="宋体" w:cs="Times New Roman"/>
                <w:color w:val="000000" w:themeColor="text1"/>
                <w:sz w:val="24"/>
                <w:szCs w:val="24"/>
                <w:highlight w:val="none"/>
                <w:lang w:val="en-US" w:eastAsia="zh-CN"/>
                <w14:textFill>
                  <w14:solidFill>
                    <w14:schemeClr w14:val="tx1"/>
                  </w14:solidFill>
                </w14:textFill>
              </w:rPr>
              <w:t>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等现场配备有毒有害气体报警装置、有效防毒面具、耳罩、口罩、护目镜等防护器具；</w:t>
            </w:r>
          </w:p>
          <w:p w14:paraId="64D6ED4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②</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厂区设立风向标，便于发生火灾伴生/次生污染时厂区员工辨别风向，</w:t>
            </w:r>
            <w:r>
              <w:rPr>
                <w:rFonts w:hint="default" w:ascii="Times New Roman" w:hAnsi="Times New Roman" w:eastAsia="宋体" w:cs="Times New Roman"/>
                <w:color w:val="000000" w:themeColor="text1"/>
                <w:sz w:val="24"/>
                <w:szCs w:val="24"/>
                <w14:textFill>
                  <w14:solidFill>
                    <w14:schemeClr w14:val="tx1"/>
                  </w14:solidFill>
                </w14:textFill>
              </w:rPr>
              <w:t>当产生有毒有害气体时，迅速撤离泄漏污染区人员至上风处，并立即进行隔离。建议应急处理人员从上风处进入现场。尽可能切断泄漏源。合理通风，加速扩散。</w:t>
            </w:r>
          </w:p>
          <w:p w14:paraId="71B25EA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begin"/>
            </w:r>
            <w:r>
              <w:rPr>
                <w:rFonts w:hint="default" w:ascii="Times New Roman" w:hAnsi="Times New Roman" w:eastAsia="宋体" w:cs="Times New Roman"/>
                <w:color w:val="000000" w:themeColor="text1"/>
                <w:sz w:val="24"/>
                <w:szCs w:val="24"/>
                <w:highlight w:val="none"/>
                <w14:textFill>
                  <w14:solidFill>
                    <w14:schemeClr w14:val="tx1"/>
                  </w14:solidFill>
                </w14:textFill>
              </w:rPr>
              <w:instrText xml:space="preserve"> = 3 \* GB3 </w:instrTex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highlight w:val="none"/>
                <w14:textFill>
                  <w14:solidFill>
                    <w14:schemeClr w14:val="tx1"/>
                  </w14:solidFill>
                </w14:textFill>
              </w:rPr>
              <w:t>③</w:t>
            </w:r>
            <w:r>
              <w:rPr>
                <w:rFonts w:hint="default" w:ascii="Times New Roman" w:hAnsi="Times New Roman" w:eastAsia="宋体" w:cs="Times New Roman"/>
                <w:color w:val="000000" w:themeColor="text1"/>
                <w:sz w:val="24"/>
                <w:szCs w:val="24"/>
                <w:highlight w:val="none"/>
                <w14:textFill>
                  <w14:solidFill>
                    <w14:schemeClr w14:val="tx1"/>
                  </w14:solidFill>
                </w14:textFill>
              </w:rPr>
              <w:fldChar w:fldCharType="end"/>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车间、仓库</w:t>
            </w:r>
            <w:r>
              <w:rPr>
                <w:rFonts w:hint="eastAsia"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危废暂存</w:t>
            </w:r>
            <w:r>
              <w:rPr>
                <w:rFonts w:hint="eastAsia" w:eastAsia="宋体" w:cs="Times New Roman"/>
                <w:color w:val="000000" w:themeColor="text1"/>
                <w:sz w:val="24"/>
                <w:szCs w:val="24"/>
                <w:highlight w:val="none"/>
                <w:lang w:val="en-US" w:eastAsia="zh-CN"/>
                <w14:textFill>
                  <w14:solidFill>
                    <w14:schemeClr w14:val="tx1"/>
                  </w14:solidFill>
                </w14:textFill>
              </w:rPr>
              <w:t>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等</w:t>
            </w:r>
            <w:r>
              <w:rPr>
                <w:rFonts w:hint="default" w:ascii="Times New Roman" w:hAnsi="Times New Roman" w:eastAsia="宋体" w:cs="Times New Roman"/>
                <w:color w:val="000000" w:themeColor="text1"/>
                <w:sz w:val="24"/>
                <w:szCs w:val="24"/>
                <w14:textFill>
                  <w14:solidFill>
                    <w14:schemeClr w14:val="tx1"/>
                  </w14:solidFill>
                </w14:textFill>
              </w:rPr>
              <w:t>配备手提式和手推式灭火器以及消防沙，门口设置缓坡。一旦发生火灾事故，通过缓坡拦截，堵漏气囊、沙袋等封堵雨水排放口，避免产生的事故消防废水进入外环境，后续通过应急槽车将雨水管滞留的事故废水转运至</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园区</w:t>
            </w:r>
            <w:r>
              <w:rPr>
                <w:rFonts w:hint="default" w:ascii="Times New Roman" w:hAnsi="Times New Roman" w:eastAsia="宋体" w:cs="Times New Roman"/>
                <w:color w:val="000000" w:themeColor="text1"/>
                <w:sz w:val="24"/>
                <w:szCs w:val="24"/>
                <w14:textFill>
                  <w14:solidFill>
                    <w14:schemeClr w14:val="tx1"/>
                  </w14:solidFill>
                </w14:textFill>
              </w:rPr>
              <w:t>污水厂处理，若无法满足</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园区</w:t>
            </w:r>
            <w:r>
              <w:rPr>
                <w:rFonts w:hint="default" w:ascii="Times New Roman" w:hAnsi="Times New Roman" w:eastAsia="宋体" w:cs="Times New Roman"/>
                <w:color w:val="000000" w:themeColor="text1"/>
                <w:sz w:val="24"/>
                <w:szCs w:val="24"/>
                <w14:textFill>
                  <w14:solidFill>
                    <w14:schemeClr w14:val="tx1"/>
                  </w14:solidFill>
                </w14:textFill>
              </w:rPr>
              <w:t>污水处理厂的进水要求，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可</w:t>
            </w:r>
            <w:r>
              <w:rPr>
                <w:rFonts w:hint="default" w:ascii="Times New Roman" w:hAnsi="Times New Roman" w:eastAsia="宋体" w:cs="Times New Roman"/>
                <w:color w:val="000000" w:themeColor="text1"/>
                <w:sz w:val="24"/>
                <w:szCs w:val="24"/>
                <w14:textFill>
                  <w14:solidFill>
                    <w14:schemeClr w14:val="tx1"/>
                  </w14:solidFill>
                </w14:textFill>
              </w:rPr>
              <w:t>委托资质单位处置</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14:paraId="090E3D2C">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4</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事故废气风险防范措施</w:t>
            </w:r>
          </w:p>
          <w:p w14:paraId="76CA2A4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单位应认真作好设备的保养、定期维护及保修工作，使处理设施达到预期效果。现场作业人员定时记录废气处理状况，如对风机等设备进行定期检查，并派专人巡视，遇不良工作状况应立即停止车间相关作业，维修正常后再开始作业，杜绝事故性废气直排，并及时呈报单位主管。待检修完毕再通知生产车间相关工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废气治理设施设置备用设备</w:t>
            </w:r>
            <w:r>
              <w:rPr>
                <w:rFonts w:hint="default" w:ascii="Times New Roman" w:hAnsi="Times New Roman" w:eastAsia="宋体" w:cs="Times New Roman"/>
                <w:color w:val="000000" w:themeColor="text1"/>
                <w:sz w:val="24"/>
                <w:szCs w:val="24"/>
                <w14:textFill>
                  <w14:solidFill>
                    <w14:schemeClr w14:val="tx1"/>
                  </w14:solidFill>
                </w14:textFill>
              </w:rPr>
              <w:t>，发生故障时可自动启动备用设备</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14:paraId="4484348D">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应急预案</w:t>
            </w:r>
          </w:p>
          <w:p w14:paraId="5ED0D441">
            <w:pPr>
              <w:pStyle w:val="57"/>
              <w:numPr>
                <w:ilvl w:val="3"/>
                <w:numId w:val="19"/>
              </w:numPr>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 xml:space="preserve"> 项目应急预案内容一览表</w:t>
            </w:r>
          </w:p>
          <w:tbl>
            <w:tblPr>
              <w:tblStyle w:val="36"/>
              <w:tblW w:w="8338"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685"/>
              <w:gridCol w:w="2299"/>
              <w:gridCol w:w="5354"/>
            </w:tblGrid>
            <w:tr w14:paraId="7473F76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34B9F99A">
                  <w:pPr>
                    <w:spacing w:line="240" w:lineRule="auto"/>
                    <w:ind w:firstLine="0" w:firstLineChars="0"/>
                    <w:jc w:val="center"/>
                    <w:rPr>
                      <w:rFonts w:ascii="Times New Roman" w:hAnsi="Times New Roman" w:cs="Times New Roman"/>
                      <w:b/>
                      <w:color w:val="000000" w:themeColor="text1"/>
                      <w:szCs w:val="24"/>
                      <w:highlight w:val="none"/>
                      <w14:textFill>
                        <w14:solidFill>
                          <w14:schemeClr w14:val="tx1"/>
                        </w14:solidFill>
                      </w14:textFill>
                    </w:rPr>
                  </w:pPr>
                  <w:r>
                    <w:rPr>
                      <w:rFonts w:ascii="Times New Roman" w:hAnsi="Times New Roman" w:cs="Times New Roman"/>
                      <w:b/>
                      <w:color w:val="000000" w:themeColor="text1"/>
                      <w:szCs w:val="24"/>
                      <w:highlight w:val="none"/>
                      <w14:textFill>
                        <w14:solidFill>
                          <w14:schemeClr w14:val="tx1"/>
                        </w14:solidFill>
                      </w14:textFill>
                    </w:rPr>
                    <w:t>序号</w:t>
                  </w:r>
                </w:p>
              </w:tc>
              <w:tc>
                <w:tcPr>
                  <w:tcW w:w="2299" w:type="dxa"/>
                  <w:tcBorders>
                    <w:tl2br w:val="nil"/>
                    <w:tr2bl w:val="nil"/>
                  </w:tcBorders>
                  <w:noWrap w:val="0"/>
                  <w:vAlign w:val="center"/>
                </w:tcPr>
                <w:p w14:paraId="0D0B8C8F">
                  <w:pPr>
                    <w:spacing w:line="240" w:lineRule="auto"/>
                    <w:ind w:firstLine="0" w:firstLineChars="0"/>
                    <w:jc w:val="center"/>
                    <w:rPr>
                      <w:rFonts w:ascii="Times New Roman" w:hAnsi="Times New Roman" w:cs="Times New Roman"/>
                      <w:b/>
                      <w:color w:val="000000" w:themeColor="text1"/>
                      <w:szCs w:val="24"/>
                      <w:highlight w:val="none"/>
                      <w14:textFill>
                        <w14:solidFill>
                          <w14:schemeClr w14:val="tx1"/>
                        </w14:solidFill>
                      </w14:textFill>
                    </w:rPr>
                  </w:pPr>
                  <w:r>
                    <w:rPr>
                      <w:rFonts w:ascii="Times New Roman" w:hAnsi="Times New Roman" w:cs="Times New Roman"/>
                      <w:b/>
                      <w:color w:val="000000" w:themeColor="text1"/>
                      <w:szCs w:val="24"/>
                      <w:highlight w:val="none"/>
                      <w14:textFill>
                        <w14:solidFill>
                          <w14:schemeClr w14:val="tx1"/>
                        </w14:solidFill>
                      </w14:textFill>
                    </w:rPr>
                    <w:t>项目</w:t>
                  </w:r>
                </w:p>
              </w:tc>
              <w:tc>
                <w:tcPr>
                  <w:tcW w:w="5354" w:type="dxa"/>
                  <w:tcBorders>
                    <w:tl2br w:val="nil"/>
                    <w:tr2bl w:val="nil"/>
                  </w:tcBorders>
                  <w:noWrap w:val="0"/>
                  <w:vAlign w:val="center"/>
                </w:tcPr>
                <w:p w14:paraId="71F04724">
                  <w:pPr>
                    <w:spacing w:line="240" w:lineRule="auto"/>
                    <w:ind w:firstLine="0" w:firstLineChars="0"/>
                    <w:jc w:val="center"/>
                    <w:rPr>
                      <w:rFonts w:ascii="Times New Roman" w:hAnsi="Times New Roman" w:cs="Times New Roman"/>
                      <w:b/>
                      <w:color w:val="000000" w:themeColor="text1"/>
                      <w:szCs w:val="24"/>
                      <w:highlight w:val="none"/>
                      <w14:textFill>
                        <w14:solidFill>
                          <w14:schemeClr w14:val="tx1"/>
                        </w14:solidFill>
                      </w14:textFill>
                    </w:rPr>
                  </w:pPr>
                  <w:r>
                    <w:rPr>
                      <w:rFonts w:ascii="Times New Roman" w:hAnsi="Times New Roman" w:cs="Times New Roman"/>
                      <w:b/>
                      <w:color w:val="000000" w:themeColor="text1"/>
                      <w:szCs w:val="24"/>
                      <w:highlight w:val="none"/>
                      <w14:textFill>
                        <w14:solidFill>
                          <w14:schemeClr w14:val="tx1"/>
                        </w14:solidFill>
                      </w14:textFill>
                    </w:rPr>
                    <w:t>内容及要求</w:t>
                  </w:r>
                </w:p>
              </w:tc>
            </w:tr>
            <w:tr w14:paraId="5E08891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1919D3D1">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1</w:t>
                  </w:r>
                </w:p>
              </w:tc>
              <w:tc>
                <w:tcPr>
                  <w:tcW w:w="2299" w:type="dxa"/>
                  <w:tcBorders>
                    <w:tl2br w:val="nil"/>
                    <w:tr2bl w:val="nil"/>
                  </w:tcBorders>
                  <w:noWrap w:val="0"/>
                  <w:vAlign w:val="center"/>
                </w:tcPr>
                <w:p w14:paraId="23C3CA53">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应急计划区</w:t>
                  </w:r>
                </w:p>
              </w:tc>
              <w:tc>
                <w:tcPr>
                  <w:tcW w:w="5354" w:type="dxa"/>
                  <w:tcBorders>
                    <w:tl2br w:val="nil"/>
                    <w:tr2bl w:val="nil"/>
                  </w:tcBorders>
                  <w:noWrap w:val="0"/>
                  <w:vAlign w:val="center"/>
                </w:tcPr>
                <w:p w14:paraId="1A9825A1">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危险目标：</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车间、</w:t>
                  </w:r>
                  <w:r>
                    <w:rPr>
                      <w:rFonts w:hint="eastAsia" w:cs="Times New Roman"/>
                      <w:color w:val="000000" w:themeColor="text1"/>
                      <w:sz w:val="21"/>
                      <w:szCs w:val="21"/>
                      <w:highlight w:val="none"/>
                      <w:lang w:val="en-US" w:eastAsia="zh-CN"/>
                      <w14:textFill>
                        <w14:solidFill>
                          <w14:schemeClr w14:val="tx1"/>
                        </w14:solidFill>
                      </w14:textFill>
                    </w:rPr>
                    <w:t>原料</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仓库</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、危废暂存</w:t>
                  </w:r>
                  <w:r>
                    <w:rPr>
                      <w:rFonts w:hint="eastAsia" w:eastAsia="宋体" w:cs="Times New Roman"/>
                      <w:color w:val="000000" w:themeColor="text1"/>
                      <w:sz w:val="21"/>
                      <w:szCs w:val="21"/>
                      <w:highlight w:val="none"/>
                      <w:lang w:val="en-US" w:eastAsia="zh-CN"/>
                      <w14:textFill>
                        <w14:solidFill>
                          <w14:schemeClr w14:val="tx1"/>
                        </w14:solidFill>
                      </w14:textFill>
                    </w:rPr>
                    <w:t>间</w:t>
                  </w:r>
                </w:p>
              </w:tc>
            </w:tr>
            <w:tr w14:paraId="74032C7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62338A50">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2</w:t>
                  </w:r>
                </w:p>
              </w:tc>
              <w:tc>
                <w:tcPr>
                  <w:tcW w:w="2299" w:type="dxa"/>
                  <w:tcBorders>
                    <w:tl2br w:val="nil"/>
                    <w:tr2bl w:val="nil"/>
                  </w:tcBorders>
                  <w:noWrap w:val="0"/>
                  <w:vAlign w:val="center"/>
                </w:tcPr>
                <w:p w14:paraId="7682E4CF">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应急组织机构、人员</w:t>
                  </w:r>
                </w:p>
              </w:tc>
              <w:tc>
                <w:tcPr>
                  <w:tcW w:w="5354" w:type="dxa"/>
                  <w:tcBorders>
                    <w:tl2br w:val="nil"/>
                    <w:tr2bl w:val="nil"/>
                  </w:tcBorders>
                  <w:noWrap w:val="0"/>
                  <w:vAlign w:val="center"/>
                </w:tcPr>
                <w:p w14:paraId="0A25710F">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工厂、地区应急组织机构、人员</w:t>
                  </w:r>
                </w:p>
              </w:tc>
            </w:tr>
            <w:tr w14:paraId="1C7D6EA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094C53C8">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3</w:t>
                  </w:r>
                </w:p>
              </w:tc>
              <w:tc>
                <w:tcPr>
                  <w:tcW w:w="2299" w:type="dxa"/>
                  <w:tcBorders>
                    <w:tl2br w:val="nil"/>
                    <w:tr2bl w:val="nil"/>
                  </w:tcBorders>
                  <w:noWrap w:val="0"/>
                  <w:vAlign w:val="center"/>
                </w:tcPr>
                <w:p w14:paraId="4A1E1415">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预案分级响应条件</w:t>
                  </w:r>
                </w:p>
              </w:tc>
              <w:tc>
                <w:tcPr>
                  <w:tcW w:w="5354" w:type="dxa"/>
                  <w:tcBorders>
                    <w:tl2br w:val="nil"/>
                    <w:tr2bl w:val="nil"/>
                  </w:tcBorders>
                  <w:noWrap w:val="0"/>
                  <w:vAlign w:val="center"/>
                </w:tcPr>
                <w:p w14:paraId="0198B63E">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规定预案的级别及分别响应程序</w:t>
                  </w:r>
                </w:p>
              </w:tc>
            </w:tr>
            <w:tr w14:paraId="0FA0B0E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69543D2E">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4</w:t>
                  </w:r>
                </w:p>
              </w:tc>
              <w:tc>
                <w:tcPr>
                  <w:tcW w:w="2299" w:type="dxa"/>
                  <w:tcBorders>
                    <w:tl2br w:val="nil"/>
                    <w:tr2bl w:val="nil"/>
                  </w:tcBorders>
                  <w:noWrap w:val="0"/>
                  <w:vAlign w:val="center"/>
                </w:tcPr>
                <w:p w14:paraId="5B233D75">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应急救援保障</w:t>
                  </w:r>
                </w:p>
              </w:tc>
              <w:tc>
                <w:tcPr>
                  <w:tcW w:w="5354" w:type="dxa"/>
                  <w:tcBorders>
                    <w:tl2br w:val="nil"/>
                    <w:tr2bl w:val="nil"/>
                  </w:tcBorders>
                  <w:noWrap w:val="0"/>
                  <w:vAlign w:val="center"/>
                </w:tcPr>
                <w:p w14:paraId="45DE2CA5">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应急设施、设备与器材等</w:t>
                  </w:r>
                </w:p>
              </w:tc>
            </w:tr>
            <w:tr w14:paraId="2EAE8CD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3C2C7928">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5</w:t>
                  </w:r>
                </w:p>
              </w:tc>
              <w:tc>
                <w:tcPr>
                  <w:tcW w:w="2299" w:type="dxa"/>
                  <w:tcBorders>
                    <w:tl2br w:val="nil"/>
                    <w:tr2bl w:val="nil"/>
                  </w:tcBorders>
                  <w:noWrap w:val="0"/>
                  <w:vAlign w:val="center"/>
                </w:tcPr>
                <w:p w14:paraId="0EA60984">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报警、通信联络方式</w:t>
                  </w:r>
                </w:p>
              </w:tc>
              <w:tc>
                <w:tcPr>
                  <w:tcW w:w="5354" w:type="dxa"/>
                  <w:tcBorders>
                    <w:tl2br w:val="nil"/>
                    <w:tr2bl w:val="nil"/>
                  </w:tcBorders>
                  <w:noWrap w:val="0"/>
                  <w:vAlign w:val="center"/>
                </w:tcPr>
                <w:p w14:paraId="32E3DF34">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规定应急状态下的报警通讯方式、通知方式和交通保障、管制</w:t>
                  </w:r>
                </w:p>
              </w:tc>
            </w:tr>
            <w:tr w14:paraId="545C6EC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0E9F6282">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6</w:t>
                  </w:r>
                </w:p>
              </w:tc>
              <w:tc>
                <w:tcPr>
                  <w:tcW w:w="2299" w:type="dxa"/>
                  <w:tcBorders>
                    <w:tl2br w:val="nil"/>
                    <w:tr2bl w:val="nil"/>
                  </w:tcBorders>
                  <w:noWrap w:val="0"/>
                  <w:vAlign w:val="center"/>
                </w:tcPr>
                <w:p w14:paraId="2DE28EB7">
                  <w:pPr>
                    <w:autoSpaceDE w:val="0"/>
                    <w:autoSpaceDN w:val="0"/>
                    <w:adjustRightInd w:val="0"/>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应急环境监测、抢救、救援及控制措施</w:t>
                  </w:r>
                </w:p>
              </w:tc>
              <w:tc>
                <w:tcPr>
                  <w:tcW w:w="5354" w:type="dxa"/>
                  <w:tcBorders>
                    <w:tl2br w:val="nil"/>
                    <w:tr2bl w:val="nil"/>
                  </w:tcBorders>
                  <w:noWrap w:val="0"/>
                  <w:vAlign w:val="center"/>
                </w:tcPr>
                <w:p w14:paraId="5490F350">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由专业队伍负责对事故现场进行侦察监测、对事故性质、参数与后果进行评估，与指挥部门提供决策依据</w:t>
                  </w:r>
                </w:p>
              </w:tc>
            </w:tr>
            <w:tr w14:paraId="1CDA30F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37366C1E">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7</w:t>
                  </w:r>
                </w:p>
              </w:tc>
              <w:tc>
                <w:tcPr>
                  <w:tcW w:w="2299" w:type="dxa"/>
                  <w:tcBorders>
                    <w:tl2br w:val="nil"/>
                    <w:tr2bl w:val="nil"/>
                  </w:tcBorders>
                  <w:noWrap w:val="0"/>
                  <w:vAlign w:val="center"/>
                </w:tcPr>
                <w:p w14:paraId="0FBB82D6">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应急检测、防护措施、清除泄漏措施和器材</w:t>
                  </w:r>
                </w:p>
              </w:tc>
              <w:tc>
                <w:tcPr>
                  <w:tcW w:w="5354" w:type="dxa"/>
                  <w:tcBorders>
                    <w:tl2br w:val="nil"/>
                    <w:tr2bl w:val="nil"/>
                  </w:tcBorders>
                  <w:noWrap w:val="0"/>
                  <w:vAlign w:val="center"/>
                </w:tcPr>
                <w:p w14:paraId="6D87C6D0">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事故现场、邻近区域、控制防火区域，控制和清除污染措施及相应设备</w:t>
                  </w:r>
                </w:p>
              </w:tc>
            </w:tr>
            <w:tr w14:paraId="40F3134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69CD97A5">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8</w:t>
                  </w:r>
                </w:p>
              </w:tc>
              <w:tc>
                <w:tcPr>
                  <w:tcW w:w="2299" w:type="dxa"/>
                  <w:tcBorders>
                    <w:tl2br w:val="nil"/>
                    <w:tr2bl w:val="nil"/>
                  </w:tcBorders>
                  <w:noWrap w:val="0"/>
                  <w:vAlign w:val="center"/>
                </w:tcPr>
                <w:p w14:paraId="1F9D4C3A">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人员紧急撤离、疏散、应急剂量控制、撤离组织计划</w:t>
                  </w:r>
                </w:p>
              </w:tc>
              <w:tc>
                <w:tcPr>
                  <w:tcW w:w="5354" w:type="dxa"/>
                  <w:tcBorders>
                    <w:tl2br w:val="nil"/>
                    <w:tr2bl w:val="nil"/>
                  </w:tcBorders>
                  <w:noWrap w:val="0"/>
                  <w:vAlign w:val="center"/>
                </w:tcPr>
                <w:p w14:paraId="030E5D2D">
                  <w:pPr>
                    <w:spacing w:line="240" w:lineRule="auto"/>
                    <w:ind w:firstLine="0" w:firstLineChars="0"/>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事故现场、工厂邻近区、受事故影响的区域人员及公众对毒物应急剂量控制规定，撤离组织计划及救护，医疗救护与公众健康</w:t>
                  </w:r>
                </w:p>
              </w:tc>
            </w:tr>
            <w:tr w14:paraId="2E0473A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42844109">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9</w:t>
                  </w:r>
                </w:p>
              </w:tc>
              <w:tc>
                <w:tcPr>
                  <w:tcW w:w="2299" w:type="dxa"/>
                  <w:tcBorders>
                    <w:tl2br w:val="nil"/>
                    <w:tr2bl w:val="nil"/>
                  </w:tcBorders>
                  <w:noWrap w:val="0"/>
                  <w:vAlign w:val="center"/>
                </w:tcPr>
                <w:p w14:paraId="1F9EE451">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事故应急救援关闭程序与恢复措施</w:t>
                  </w:r>
                </w:p>
              </w:tc>
              <w:tc>
                <w:tcPr>
                  <w:tcW w:w="5354" w:type="dxa"/>
                  <w:tcBorders>
                    <w:tl2br w:val="nil"/>
                    <w:tr2bl w:val="nil"/>
                  </w:tcBorders>
                  <w:noWrap w:val="0"/>
                  <w:vAlign w:val="center"/>
                </w:tcPr>
                <w:p w14:paraId="1B4F0AD3">
                  <w:pPr>
                    <w:spacing w:line="240" w:lineRule="auto"/>
                    <w:ind w:firstLine="0" w:firstLineChars="0"/>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规定应急状态终止程序事故现场善后处理，恢复措施邻近区域解除事故警戒及善后恢复措施</w:t>
                  </w:r>
                </w:p>
              </w:tc>
            </w:tr>
            <w:tr w14:paraId="5AD0BB6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5326F4D2">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10</w:t>
                  </w:r>
                </w:p>
              </w:tc>
              <w:tc>
                <w:tcPr>
                  <w:tcW w:w="2299" w:type="dxa"/>
                  <w:tcBorders>
                    <w:tl2br w:val="nil"/>
                    <w:tr2bl w:val="nil"/>
                  </w:tcBorders>
                  <w:noWrap w:val="0"/>
                  <w:vAlign w:val="center"/>
                </w:tcPr>
                <w:p w14:paraId="5A18E7AA">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应急培训计划</w:t>
                  </w:r>
                </w:p>
              </w:tc>
              <w:tc>
                <w:tcPr>
                  <w:tcW w:w="5354" w:type="dxa"/>
                  <w:tcBorders>
                    <w:tl2br w:val="nil"/>
                    <w:tr2bl w:val="nil"/>
                  </w:tcBorders>
                  <w:noWrap w:val="0"/>
                  <w:vAlign w:val="center"/>
                </w:tcPr>
                <w:p w14:paraId="0D2822E0">
                  <w:pPr>
                    <w:spacing w:line="240" w:lineRule="auto"/>
                    <w:ind w:firstLine="0" w:firstLineChars="0"/>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应急计划制定后，平时安排人员培训与演练</w:t>
                  </w:r>
                </w:p>
              </w:tc>
            </w:tr>
            <w:tr w14:paraId="322B39F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685" w:type="dxa"/>
                  <w:tcBorders>
                    <w:tl2br w:val="nil"/>
                    <w:tr2bl w:val="nil"/>
                  </w:tcBorders>
                  <w:noWrap w:val="0"/>
                  <w:vAlign w:val="center"/>
                </w:tcPr>
                <w:p w14:paraId="559EA11D">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11</w:t>
                  </w:r>
                </w:p>
              </w:tc>
              <w:tc>
                <w:tcPr>
                  <w:tcW w:w="2299" w:type="dxa"/>
                  <w:tcBorders>
                    <w:tl2br w:val="nil"/>
                    <w:tr2bl w:val="nil"/>
                  </w:tcBorders>
                  <w:noWrap w:val="0"/>
                  <w:vAlign w:val="center"/>
                </w:tcPr>
                <w:p w14:paraId="6F735D14">
                  <w:pPr>
                    <w:spacing w:line="240" w:lineRule="auto"/>
                    <w:ind w:firstLine="0" w:firstLineChars="0"/>
                    <w:jc w:val="center"/>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公众教育和信息</w:t>
                  </w:r>
                </w:p>
              </w:tc>
              <w:tc>
                <w:tcPr>
                  <w:tcW w:w="5354" w:type="dxa"/>
                  <w:tcBorders>
                    <w:tl2br w:val="nil"/>
                    <w:tr2bl w:val="nil"/>
                  </w:tcBorders>
                  <w:noWrap w:val="0"/>
                  <w:vAlign w:val="center"/>
                </w:tcPr>
                <w:p w14:paraId="573647A4">
                  <w:pPr>
                    <w:spacing w:line="240" w:lineRule="auto"/>
                    <w:ind w:firstLine="0" w:firstLineChars="0"/>
                    <w:rPr>
                      <w:rFonts w:ascii="Times New Roman" w:hAnsi="Times New Roman" w:cs="Times New Roman"/>
                      <w:color w:val="000000" w:themeColor="text1"/>
                      <w:szCs w:val="24"/>
                      <w:highlight w:val="none"/>
                      <w14:textFill>
                        <w14:solidFill>
                          <w14:schemeClr w14:val="tx1"/>
                        </w14:solidFill>
                      </w14:textFill>
                    </w:rPr>
                  </w:pPr>
                  <w:r>
                    <w:rPr>
                      <w:rFonts w:ascii="Times New Roman" w:hAnsi="Times New Roman" w:cs="Times New Roman"/>
                      <w:color w:val="000000" w:themeColor="text1"/>
                      <w:szCs w:val="24"/>
                      <w:highlight w:val="none"/>
                      <w14:textFill>
                        <w14:solidFill>
                          <w14:schemeClr w14:val="tx1"/>
                        </w14:solidFill>
                      </w14:textFill>
                    </w:rPr>
                    <w:t>对邻近地区开展公众教育、培训和发布有关信息</w:t>
                  </w:r>
                </w:p>
              </w:tc>
            </w:tr>
          </w:tbl>
          <w:p w14:paraId="6EC8DA7B">
            <w:pPr>
              <w:ind w:left="0" w:leftChars="0" w:firstLine="0" w:firstLineChars="0"/>
              <w:rPr>
                <w:b/>
                <w:color w:val="000000" w:themeColor="text1"/>
                <w14:textFill>
                  <w14:solidFill>
                    <w14:schemeClr w14:val="tx1"/>
                  </w14:solidFill>
                </w14:textFill>
              </w:rPr>
            </w:pPr>
            <w:r>
              <w:rPr>
                <w:rFonts w:hint="eastAsia"/>
                <w:b/>
                <w:color w:val="000000" w:themeColor="text1"/>
                <w:lang w:val="en-US" w:eastAsia="zh-CN"/>
                <w14:textFill>
                  <w14:solidFill>
                    <w14:schemeClr w14:val="tx1"/>
                  </w14:solidFill>
                </w14:textFill>
              </w:rPr>
              <w:t>七</w:t>
            </w:r>
            <w:r>
              <w:rPr>
                <w:rFonts w:hint="eastAsia"/>
                <w:b/>
                <w:color w:val="000000" w:themeColor="text1"/>
                <w14:textFill>
                  <w14:solidFill>
                    <w14:schemeClr w14:val="tx1"/>
                  </w14:solidFill>
                </w14:textFill>
              </w:rPr>
              <w:t>、环保投资</w:t>
            </w:r>
          </w:p>
          <w:p w14:paraId="2A729ECA">
            <w:pPr>
              <w:adjustRightInd/>
              <w:ind w:firstLine="480"/>
              <w:rPr>
                <w:color w:val="000000" w:themeColor="text1"/>
                <w14:textFill>
                  <w14:solidFill>
                    <w14:schemeClr w14:val="tx1"/>
                  </w14:solidFill>
                </w14:textFill>
              </w:rPr>
            </w:pPr>
            <w:r>
              <w:rPr>
                <w:rFonts w:hint="eastAsia"/>
                <w:color w:val="000000" w:themeColor="text1"/>
                <w:szCs w:val="32"/>
                <w:lang w:val="zh-CN"/>
                <w14:textFill>
                  <w14:solidFill>
                    <w14:schemeClr w14:val="tx1"/>
                  </w14:solidFill>
                </w14:textFill>
              </w:rPr>
              <w:t>项目</w:t>
            </w:r>
            <w:r>
              <w:rPr>
                <w:rFonts w:hint="eastAsia"/>
                <w:color w:val="000000" w:themeColor="text1"/>
                <w:szCs w:val="32"/>
                <w:lang w:val="en-US" w:eastAsia="zh-CN"/>
                <w14:textFill>
                  <w14:solidFill>
                    <w14:schemeClr w14:val="tx1"/>
                  </w14:solidFill>
                </w14:textFill>
              </w:rPr>
              <w:t>环保投资</w:t>
            </w:r>
            <w:r>
              <w:rPr>
                <w:rFonts w:hint="eastAsia"/>
                <w:color w:val="000000" w:themeColor="text1"/>
                <w:szCs w:val="32"/>
                <w:lang w:val="zh-CN"/>
                <w14:textFill>
                  <w14:solidFill>
                    <w14:schemeClr w14:val="tx1"/>
                  </w14:solidFill>
                </w14:textFill>
              </w:rPr>
              <w:t>约</w:t>
            </w:r>
            <w:r>
              <w:rPr>
                <w:rFonts w:hint="eastAsia"/>
                <w:color w:val="000000" w:themeColor="text1"/>
                <w:szCs w:val="32"/>
                <w:lang w:val="en-US" w:eastAsia="zh-CN"/>
                <w14:textFill>
                  <w14:solidFill>
                    <w14:schemeClr w14:val="tx1"/>
                  </w14:solidFill>
                </w14:textFill>
              </w:rPr>
              <w:t>190</w:t>
            </w:r>
            <w:r>
              <w:rPr>
                <w:rFonts w:hint="eastAsia"/>
                <w:color w:val="000000" w:themeColor="text1"/>
                <w:szCs w:val="32"/>
                <w:lang w:val="zh-CN"/>
                <w14:textFill>
                  <w14:solidFill>
                    <w14:schemeClr w14:val="tx1"/>
                  </w14:solidFill>
                </w14:textFill>
              </w:rPr>
              <w:t>万元，占总投资的1.</w:t>
            </w:r>
            <w:r>
              <w:rPr>
                <w:rFonts w:hint="eastAsia"/>
                <w:color w:val="000000" w:themeColor="text1"/>
                <w:szCs w:val="32"/>
                <w:lang w:val="en-US" w:eastAsia="zh-CN"/>
                <w14:textFill>
                  <w14:solidFill>
                    <w14:schemeClr w14:val="tx1"/>
                  </w14:solidFill>
                </w14:textFill>
              </w:rPr>
              <w:t>58</w:t>
            </w:r>
            <w:r>
              <w:rPr>
                <w:color w:val="000000" w:themeColor="text1"/>
                <w:szCs w:val="32"/>
                <w14:textFill>
                  <w14:solidFill>
                    <w14:schemeClr w14:val="tx1"/>
                  </w14:solidFill>
                </w14:textFill>
              </w:rPr>
              <w:t>%</w:t>
            </w:r>
            <w:r>
              <w:rPr>
                <w:rFonts w:hint="eastAsia"/>
                <w:color w:val="000000" w:themeColor="text1"/>
                <w:szCs w:val="32"/>
                <w:lang w:val="zh-CN"/>
                <w14:textFill>
                  <w14:solidFill>
                    <w14:schemeClr w14:val="tx1"/>
                  </w14:solidFill>
                </w14:textFill>
              </w:rPr>
              <w:t>。项目环保投资明细表见下表</w:t>
            </w:r>
            <w:r>
              <w:rPr>
                <w:rFonts w:hint="eastAsia"/>
                <w:color w:val="000000" w:themeColor="text1"/>
                <w14:textFill>
                  <w14:solidFill>
                    <w14:schemeClr w14:val="tx1"/>
                  </w14:solidFill>
                </w14:textFill>
              </w:rPr>
              <w:t>。</w:t>
            </w:r>
          </w:p>
          <w:p w14:paraId="1AC43211">
            <w:pPr>
              <w:pStyle w:val="57"/>
              <w:numPr>
                <w:ilvl w:val="3"/>
                <w:numId w:val="19"/>
              </w:numPr>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环保</w:t>
            </w:r>
            <w:r>
              <w:rPr>
                <w:rFonts w:hint="eastAsia"/>
                <w:color w:val="000000" w:themeColor="text1"/>
                <w:lang w:eastAsia="zh-CN"/>
                <w14:textFill>
                  <w14:solidFill>
                    <w14:schemeClr w14:val="tx1"/>
                  </w14:solidFill>
                </w14:textFill>
              </w:rPr>
              <w:t>投资估算</w:t>
            </w:r>
            <w:r>
              <w:rPr>
                <w:rFonts w:hint="eastAsia"/>
                <w:color w:val="000000" w:themeColor="text1"/>
                <w:lang w:val="en-US" w:eastAsia="zh-CN"/>
                <w14:textFill>
                  <w14:solidFill>
                    <w14:schemeClr w14:val="tx1"/>
                  </w14:solidFill>
                </w14:textFill>
              </w:rPr>
              <w:t>表</w:t>
            </w:r>
          </w:p>
          <w:tbl>
            <w:tblPr>
              <w:tblStyle w:val="36"/>
              <w:tblW w:w="8379"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57" w:type="dxa"/>
                <w:left w:w="85" w:type="dxa"/>
                <w:bottom w:w="57" w:type="dxa"/>
                <w:right w:w="85" w:type="dxa"/>
              </w:tblCellMar>
            </w:tblPr>
            <w:tblGrid>
              <w:gridCol w:w="1786"/>
              <w:gridCol w:w="5401"/>
              <w:gridCol w:w="1192"/>
            </w:tblGrid>
            <w:tr w14:paraId="138488A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20BC0A0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b/>
                      <w:color w:val="000000" w:themeColor="text1"/>
                      <w:kern w:val="0"/>
                      <w:sz w:val="21"/>
                      <w:szCs w:val="21"/>
                      <w:highlight w:val="none"/>
                      <w14:textFill>
                        <w14:solidFill>
                          <w14:schemeClr w14:val="tx1"/>
                        </w14:solidFill>
                      </w14:textFill>
                    </w:rPr>
                  </w:pPr>
                  <w:r>
                    <w:rPr>
                      <w:rFonts w:hAnsi="宋体"/>
                      <w:b/>
                      <w:color w:val="000000" w:themeColor="text1"/>
                      <w:kern w:val="0"/>
                      <w:sz w:val="21"/>
                      <w:szCs w:val="21"/>
                      <w:highlight w:val="none"/>
                      <w14:textFill>
                        <w14:solidFill>
                          <w14:schemeClr w14:val="tx1"/>
                        </w14:solidFill>
                      </w14:textFill>
                    </w:rPr>
                    <w:t>项目</w:t>
                  </w:r>
                </w:p>
              </w:tc>
              <w:tc>
                <w:tcPr>
                  <w:tcW w:w="5401" w:type="dxa"/>
                  <w:tcBorders>
                    <w:tl2br w:val="nil"/>
                    <w:tr2bl w:val="nil"/>
                  </w:tcBorders>
                  <w:noWrap w:val="0"/>
                  <w:vAlign w:val="center"/>
                </w:tcPr>
                <w:p w14:paraId="7B574E3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b/>
                      <w:color w:val="000000" w:themeColor="text1"/>
                      <w:kern w:val="0"/>
                      <w:sz w:val="21"/>
                      <w:szCs w:val="21"/>
                      <w:highlight w:val="none"/>
                      <w14:textFill>
                        <w14:solidFill>
                          <w14:schemeClr w14:val="tx1"/>
                        </w14:solidFill>
                      </w14:textFill>
                    </w:rPr>
                  </w:pPr>
                  <w:r>
                    <w:rPr>
                      <w:rFonts w:hAnsi="宋体"/>
                      <w:b/>
                      <w:color w:val="000000" w:themeColor="text1"/>
                      <w:kern w:val="0"/>
                      <w:sz w:val="21"/>
                      <w:szCs w:val="21"/>
                      <w:highlight w:val="none"/>
                      <w14:textFill>
                        <w14:solidFill>
                          <w14:schemeClr w14:val="tx1"/>
                        </w14:solidFill>
                      </w14:textFill>
                    </w:rPr>
                    <w:t>内容及规模</w:t>
                  </w:r>
                </w:p>
              </w:tc>
              <w:tc>
                <w:tcPr>
                  <w:tcW w:w="1192" w:type="dxa"/>
                  <w:tcBorders>
                    <w:tl2br w:val="nil"/>
                    <w:tr2bl w:val="nil"/>
                  </w:tcBorders>
                  <w:noWrap w:val="0"/>
                  <w:vAlign w:val="center"/>
                </w:tcPr>
                <w:p w14:paraId="7741F23F">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b/>
                      <w:color w:val="000000" w:themeColor="text1"/>
                      <w:kern w:val="0"/>
                      <w:sz w:val="21"/>
                      <w:szCs w:val="21"/>
                      <w:highlight w:val="none"/>
                      <w14:textFill>
                        <w14:solidFill>
                          <w14:schemeClr w14:val="tx1"/>
                        </w14:solidFill>
                      </w14:textFill>
                    </w:rPr>
                  </w:pPr>
                  <w:r>
                    <w:rPr>
                      <w:rFonts w:hAnsi="宋体"/>
                      <w:b/>
                      <w:color w:val="000000" w:themeColor="text1"/>
                      <w:kern w:val="0"/>
                      <w:sz w:val="21"/>
                      <w:szCs w:val="21"/>
                      <w:highlight w:val="none"/>
                      <w14:textFill>
                        <w14:solidFill>
                          <w14:schemeClr w14:val="tx1"/>
                        </w14:solidFill>
                      </w14:textFill>
                    </w:rPr>
                    <w:t>投资</w:t>
                  </w:r>
                  <w:r>
                    <w:rPr>
                      <w:b/>
                      <w:color w:val="000000" w:themeColor="text1"/>
                      <w:kern w:val="0"/>
                      <w:sz w:val="21"/>
                      <w:szCs w:val="21"/>
                      <w:highlight w:val="none"/>
                      <w14:textFill>
                        <w14:solidFill>
                          <w14:schemeClr w14:val="tx1"/>
                        </w14:solidFill>
                      </w14:textFill>
                    </w:rPr>
                    <w:t>(</w:t>
                  </w:r>
                  <w:r>
                    <w:rPr>
                      <w:rFonts w:hAnsi="宋体"/>
                      <w:b/>
                      <w:color w:val="000000" w:themeColor="text1"/>
                      <w:kern w:val="0"/>
                      <w:sz w:val="21"/>
                      <w:szCs w:val="21"/>
                      <w:highlight w:val="none"/>
                      <w14:textFill>
                        <w14:solidFill>
                          <w14:schemeClr w14:val="tx1"/>
                        </w14:solidFill>
                      </w14:textFill>
                    </w:rPr>
                    <w:t>万元</w:t>
                  </w:r>
                  <w:r>
                    <w:rPr>
                      <w:b/>
                      <w:color w:val="000000" w:themeColor="text1"/>
                      <w:kern w:val="0"/>
                      <w:sz w:val="21"/>
                      <w:szCs w:val="21"/>
                      <w:highlight w:val="none"/>
                      <w14:textFill>
                        <w14:solidFill>
                          <w14:schemeClr w14:val="tx1"/>
                        </w14:solidFill>
                      </w14:textFill>
                    </w:rPr>
                    <w:t>)</w:t>
                  </w:r>
                </w:p>
              </w:tc>
            </w:tr>
            <w:tr w14:paraId="03D1B4D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27FC70C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废水治理措施</w:t>
                  </w:r>
                </w:p>
              </w:tc>
              <w:tc>
                <w:tcPr>
                  <w:tcW w:w="5401" w:type="dxa"/>
                  <w:tcBorders>
                    <w:tl2br w:val="nil"/>
                    <w:tr2bl w:val="nil"/>
                  </w:tcBorders>
                  <w:noWrap w:val="0"/>
                  <w:vAlign w:val="center"/>
                </w:tcPr>
                <w:p w14:paraId="6B0543E0">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雨污管网铺设、化粪池</w:t>
                  </w:r>
                  <w:r>
                    <w:rPr>
                      <w:rFonts w:hint="eastAsia" w:hAnsi="宋体"/>
                      <w:color w:val="000000" w:themeColor="text1"/>
                      <w:kern w:val="0"/>
                      <w:sz w:val="21"/>
                      <w:szCs w:val="21"/>
                      <w:highlight w:val="none"/>
                      <w:lang w:val="en-US" w:eastAsia="zh-CN"/>
                      <w14:textFill>
                        <w14:solidFill>
                          <w14:schemeClr w14:val="tx1"/>
                        </w14:solidFill>
                      </w14:textFill>
                    </w:rPr>
                    <w:t>等（依托租赁企业设施）</w:t>
                  </w:r>
                  <w:r>
                    <w:rPr>
                      <w:rFonts w:hint="eastAsia" w:hAnsi="宋体"/>
                      <w:color w:val="000000" w:themeColor="text1"/>
                      <w:kern w:val="0"/>
                      <w:sz w:val="21"/>
                      <w:szCs w:val="21"/>
                      <w:highlight w:val="none"/>
                      <w14:textFill>
                        <w14:solidFill>
                          <w14:schemeClr w14:val="tx1"/>
                        </w14:solidFill>
                      </w14:textFill>
                    </w:rPr>
                    <w:t>。</w:t>
                  </w:r>
                </w:p>
              </w:tc>
              <w:tc>
                <w:tcPr>
                  <w:tcW w:w="1192" w:type="dxa"/>
                  <w:tcBorders>
                    <w:tl2br w:val="nil"/>
                    <w:tr2bl w:val="nil"/>
                  </w:tcBorders>
                  <w:noWrap w:val="0"/>
                  <w:vAlign w:val="center"/>
                </w:tcPr>
                <w:p w14:paraId="5CE5810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0</w:t>
                  </w:r>
                </w:p>
              </w:tc>
            </w:tr>
            <w:tr w14:paraId="6DDEB3A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6CA3DFA6">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bookmarkStart w:id="30" w:name="OLE_LINK41" w:colFirst="2" w:colLast="2"/>
                  <w:r>
                    <w:rPr>
                      <w:rFonts w:hAnsi="宋体"/>
                      <w:color w:val="000000" w:themeColor="text1"/>
                      <w:kern w:val="0"/>
                      <w:sz w:val="21"/>
                      <w:szCs w:val="21"/>
                      <w:highlight w:val="none"/>
                      <w14:textFill>
                        <w14:solidFill>
                          <w14:schemeClr w14:val="tx1"/>
                        </w14:solidFill>
                      </w14:textFill>
                    </w:rPr>
                    <w:t>废气治理措施</w:t>
                  </w:r>
                </w:p>
              </w:tc>
              <w:tc>
                <w:tcPr>
                  <w:tcW w:w="5401" w:type="dxa"/>
                  <w:tcBorders>
                    <w:tl2br w:val="nil"/>
                    <w:tr2bl w:val="nil"/>
                  </w:tcBorders>
                  <w:noWrap w:val="0"/>
                  <w:vAlign w:val="center"/>
                </w:tcPr>
                <w:p w14:paraId="612FD8E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int="eastAsia"/>
                      <w:color w:val="000000" w:themeColor="text1"/>
                      <w:kern w:val="0"/>
                      <w:sz w:val="21"/>
                      <w:szCs w:val="21"/>
                      <w:highlight w:val="none"/>
                      <w14:textFill>
                        <w14:solidFill>
                          <w14:schemeClr w14:val="tx1"/>
                        </w14:solidFill>
                      </w14:textFill>
                    </w:rPr>
                    <w:t>集气</w:t>
                  </w:r>
                  <w:r>
                    <w:rPr>
                      <w:rFonts w:hint="eastAsia"/>
                      <w:color w:val="000000" w:themeColor="text1"/>
                      <w:kern w:val="0"/>
                      <w:sz w:val="21"/>
                      <w:szCs w:val="21"/>
                      <w:highlight w:val="none"/>
                      <w:lang w:val="en-US" w:eastAsia="zh-CN"/>
                      <w14:textFill>
                        <w14:solidFill>
                          <w14:schemeClr w14:val="tx1"/>
                        </w14:solidFill>
                      </w14:textFill>
                    </w:rPr>
                    <w:t>设施</w:t>
                  </w:r>
                  <w:r>
                    <w:rPr>
                      <w:rFonts w:hint="eastAsia"/>
                      <w:color w:val="000000" w:themeColor="text1"/>
                      <w:kern w:val="0"/>
                      <w:sz w:val="21"/>
                      <w:szCs w:val="21"/>
                      <w:highlight w:val="none"/>
                      <w14:textFill>
                        <w14:solidFill>
                          <w14:schemeClr w14:val="tx1"/>
                        </w14:solidFill>
                      </w14:textFill>
                    </w:rPr>
                    <w:t>、</w:t>
                  </w:r>
                  <w:r>
                    <w:rPr>
                      <w:rFonts w:hint="eastAsia"/>
                      <w:color w:val="000000" w:themeColor="text1"/>
                      <w:kern w:val="0"/>
                      <w:sz w:val="21"/>
                      <w:szCs w:val="21"/>
                      <w:highlight w:val="none"/>
                      <w:lang w:val="en-US" w:eastAsia="zh-CN"/>
                      <w14:textFill>
                        <w14:solidFill>
                          <w14:schemeClr w14:val="tx1"/>
                        </w14:solidFill>
                      </w14:textFill>
                    </w:rPr>
                    <w:t>1套“布袋除尘”</w:t>
                  </w:r>
                  <w:r>
                    <w:rPr>
                      <w:rFonts w:hint="eastAsia"/>
                      <w:color w:val="000000" w:themeColor="text1"/>
                      <w:kern w:val="0"/>
                      <w:sz w:val="21"/>
                      <w:szCs w:val="21"/>
                      <w:highlight w:val="none"/>
                      <w14:textFill>
                        <w14:solidFill>
                          <w14:schemeClr w14:val="tx1"/>
                        </w14:solidFill>
                      </w14:textFill>
                    </w:rPr>
                    <w:t>、</w:t>
                  </w:r>
                  <w:r>
                    <w:rPr>
                      <w:rFonts w:hint="eastAsia"/>
                      <w:color w:val="000000" w:themeColor="text1"/>
                      <w:kern w:val="0"/>
                      <w:sz w:val="21"/>
                      <w:szCs w:val="21"/>
                      <w:highlight w:val="none"/>
                      <w:lang w:val="en-US" w:eastAsia="zh-CN"/>
                      <w14:textFill>
                        <w14:solidFill>
                          <w14:schemeClr w14:val="tx1"/>
                        </w14:solidFill>
                      </w14:textFill>
                    </w:rPr>
                    <w:t>1套“过滤棉+二级活性炭吸附”、1套“二级活性炭吸附”、2根30</w:t>
                  </w:r>
                  <w:r>
                    <w:rPr>
                      <w:rFonts w:hint="eastAsia"/>
                      <w:color w:val="000000" w:themeColor="text1"/>
                      <w:kern w:val="0"/>
                      <w:sz w:val="21"/>
                      <w:szCs w:val="21"/>
                      <w:highlight w:val="none"/>
                      <w14:textFill>
                        <w14:solidFill>
                          <w14:schemeClr w14:val="tx1"/>
                        </w14:solidFill>
                      </w14:textFill>
                    </w:rPr>
                    <w:t>m高排气筒</w:t>
                  </w:r>
                  <w:r>
                    <w:rPr>
                      <w:rFonts w:hint="eastAsia"/>
                      <w:color w:val="000000" w:themeColor="text1"/>
                      <w:kern w:val="0"/>
                      <w:sz w:val="21"/>
                      <w:szCs w:val="21"/>
                      <w:highlight w:val="none"/>
                      <w:lang w:val="en-US" w:eastAsia="zh-CN"/>
                      <w14:textFill>
                        <w14:solidFill>
                          <w14:schemeClr w14:val="tx1"/>
                        </w14:solidFill>
                      </w14:textFill>
                    </w:rPr>
                    <w:t>等</w:t>
                  </w:r>
                  <w:r>
                    <w:rPr>
                      <w:rFonts w:hint="eastAsia"/>
                      <w:color w:val="000000" w:themeColor="text1"/>
                      <w:kern w:val="0"/>
                      <w:sz w:val="21"/>
                      <w:szCs w:val="21"/>
                      <w:highlight w:val="none"/>
                      <w14:textFill>
                        <w14:solidFill>
                          <w14:schemeClr w14:val="tx1"/>
                        </w14:solidFill>
                      </w14:textFill>
                    </w:rPr>
                    <w:t>。</w:t>
                  </w:r>
                </w:p>
              </w:tc>
              <w:tc>
                <w:tcPr>
                  <w:tcW w:w="1192" w:type="dxa"/>
                  <w:tcBorders>
                    <w:tl2br w:val="nil"/>
                    <w:tr2bl w:val="nil"/>
                  </w:tcBorders>
                  <w:noWrap w:val="0"/>
                  <w:vAlign w:val="center"/>
                </w:tcPr>
                <w:p w14:paraId="374DB5B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150</w:t>
                  </w:r>
                </w:p>
              </w:tc>
            </w:tr>
            <w:tr w14:paraId="2D74B1A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474362F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噪声治理措施</w:t>
                  </w:r>
                </w:p>
              </w:tc>
              <w:tc>
                <w:tcPr>
                  <w:tcW w:w="5401" w:type="dxa"/>
                  <w:tcBorders>
                    <w:tl2br w:val="nil"/>
                    <w:tr2bl w:val="nil"/>
                  </w:tcBorders>
                  <w:noWrap w:val="0"/>
                  <w:vAlign w:val="center"/>
                </w:tcPr>
                <w:p w14:paraId="7869315D">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隔声、减振、吸声等措施</w:t>
                  </w:r>
                </w:p>
              </w:tc>
              <w:tc>
                <w:tcPr>
                  <w:tcW w:w="1192" w:type="dxa"/>
                  <w:tcBorders>
                    <w:tl2br w:val="nil"/>
                    <w:tr2bl w:val="nil"/>
                  </w:tcBorders>
                  <w:noWrap w:val="0"/>
                  <w:vAlign w:val="center"/>
                </w:tcPr>
                <w:p w14:paraId="0230340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10</w:t>
                  </w:r>
                </w:p>
              </w:tc>
            </w:tr>
            <w:tr w14:paraId="240E67A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3F1B4E98">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固废治理措施</w:t>
                  </w:r>
                </w:p>
              </w:tc>
              <w:tc>
                <w:tcPr>
                  <w:tcW w:w="5401" w:type="dxa"/>
                  <w:tcBorders>
                    <w:tl2br w:val="nil"/>
                    <w:tr2bl w:val="nil"/>
                  </w:tcBorders>
                  <w:noWrap w:val="0"/>
                  <w:vAlign w:val="center"/>
                </w:tcPr>
                <w:p w14:paraId="46D798F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eastAsia="宋体"/>
                      <w:color w:val="000000" w:themeColor="text1"/>
                      <w:kern w:val="0"/>
                      <w:sz w:val="21"/>
                      <w:szCs w:val="21"/>
                      <w:highlight w:val="none"/>
                      <w:lang w:val="en-US" w:eastAsia="zh-CN"/>
                      <w14:textFill>
                        <w14:solidFill>
                          <w14:schemeClr w14:val="tx1"/>
                        </w14:solidFill>
                      </w14:textFill>
                    </w:rPr>
                  </w:pPr>
                  <w:r>
                    <w:rPr>
                      <w:rFonts w:hint="eastAsia" w:hAnsi="宋体"/>
                      <w:color w:val="000000" w:themeColor="text1"/>
                      <w:kern w:val="0"/>
                      <w:sz w:val="21"/>
                      <w:szCs w:val="21"/>
                      <w:highlight w:val="none"/>
                      <w:lang w:val="en-US" w:eastAsia="zh-CN"/>
                      <w14:textFill>
                        <w14:solidFill>
                          <w14:schemeClr w14:val="tx1"/>
                        </w14:solidFill>
                      </w14:textFill>
                    </w:rPr>
                    <w:t>新建1座20m</w:t>
                  </w:r>
                  <w:r>
                    <w:rPr>
                      <w:rFonts w:hint="eastAsia" w:hAnsi="宋体"/>
                      <w:color w:val="000000" w:themeColor="text1"/>
                      <w:kern w:val="0"/>
                      <w:sz w:val="21"/>
                      <w:szCs w:val="21"/>
                      <w:highlight w:val="none"/>
                      <w:vertAlign w:val="superscript"/>
                      <w:lang w:val="en-US" w:eastAsia="zh-CN"/>
                      <w14:textFill>
                        <w14:solidFill>
                          <w14:schemeClr w14:val="tx1"/>
                        </w14:solidFill>
                      </w14:textFill>
                    </w:rPr>
                    <w:t>2</w:t>
                  </w:r>
                  <w:r>
                    <w:rPr>
                      <w:rFonts w:hint="eastAsia" w:hAnsi="宋体"/>
                      <w:color w:val="000000" w:themeColor="text1"/>
                      <w:kern w:val="0"/>
                      <w:sz w:val="21"/>
                      <w:szCs w:val="21"/>
                      <w:highlight w:val="none"/>
                      <w14:textFill>
                        <w14:solidFill>
                          <w14:schemeClr w14:val="tx1"/>
                        </w14:solidFill>
                      </w14:textFill>
                    </w:rPr>
                    <w:t>危废暂存</w:t>
                  </w:r>
                  <w:r>
                    <w:rPr>
                      <w:rFonts w:hint="eastAsia" w:hAnsi="宋体"/>
                      <w:color w:val="000000" w:themeColor="text1"/>
                      <w:kern w:val="0"/>
                      <w:sz w:val="21"/>
                      <w:szCs w:val="21"/>
                      <w:highlight w:val="none"/>
                      <w:lang w:val="en-US" w:eastAsia="zh-CN"/>
                      <w14:textFill>
                        <w14:solidFill>
                          <w14:schemeClr w14:val="tx1"/>
                        </w14:solidFill>
                      </w14:textFill>
                    </w:rPr>
                    <w:t>间、1座10m</w:t>
                  </w:r>
                  <w:r>
                    <w:rPr>
                      <w:rFonts w:hint="eastAsia" w:hAnsi="宋体"/>
                      <w:color w:val="000000" w:themeColor="text1"/>
                      <w:kern w:val="0"/>
                      <w:sz w:val="21"/>
                      <w:szCs w:val="21"/>
                      <w:highlight w:val="none"/>
                      <w:vertAlign w:val="superscript"/>
                      <w:lang w:val="en-US" w:eastAsia="zh-CN"/>
                      <w14:textFill>
                        <w14:solidFill>
                          <w14:schemeClr w14:val="tx1"/>
                        </w14:solidFill>
                      </w14:textFill>
                    </w:rPr>
                    <w:t>2</w:t>
                  </w:r>
                  <w:r>
                    <w:rPr>
                      <w:rFonts w:hint="eastAsia" w:hAnsi="宋体"/>
                      <w:color w:val="000000" w:themeColor="text1"/>
                      <w:kern w:val="0"/>
                      <w:sz w:val="21"/>
                      <w:szCs w:val="21"/>
                      <w:highlight w:val="none"/>
                      <w14:textFill>
                        <w14:solidFill>
                          <w14:schemeClr w14:val="tx1"/>
                        </w14:solidFill>
                      </w14:textFill>
                    </w:rPr>
                    <w:t>一般固废暂存</w:t>
                  </w:r>
                  <w:r>
                    <w:rPr>
                      <w:rFonts w:hint="eastAsia" w:hAnsi="宋体"/>
                      <w:color w:val="000000" w:themeColor="text1"/>
                      <w:kern w:val="0"/>
                      <w:sz w:val="21"/>
                      <w:szCs w:val="21"/>
                      <w:highlight w:val="none"/>
                      <w:lang w:val="en-US" w:eastAsia="zh-CN"/>
                      <w14:textFill>
                        <w14:solidFill>
                          <w14:schemeClr w14:val="tx1"/>
                        </w14:solidFill>
                      </w14:textFill>
                    </w:rPr>
                    <w:t>间</w:t>
                  </w:r>
                </w:p>
              </w:tc>
              <w:tc>
                <w:tcPr>
                  <w:tcW w:w="1192" w:type="dxa"/>
                  <w:tcBorders>
                    <w:tl2br w:val="nil"/>
                    <w:tr2bl w:val="nil"/>
                  </w:tcBorders>
                  <w:noWrap w:val="0"/>
                  <w:vAlign w:val="center"/>
                </w:tcPr>
                <w:p w14:paraId="798FAB54">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color w:val="000000" w:themeColor="text1"/>
                      <w:kern w:val="0"/>
                      <w:sz w:val="21"/>
                      <w:szCs w:val="21"/>
                      <w:highlight w:val="none"/>
                      <w:lang w:val="en-US"/>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10</w:t>
                  </w:r>
                </w:p>
              </w:tc>
            </w:tr>
            <w:tr w14:paraId="36FC524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55967BC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地下水及土壤污染防治措施</w:t>
                  </w:r>
                </w:p>
              </w:tc>
              <w:tc>
                <w:tcPr>
                  <w:tcW w:w="5401" w:type="dxa"/>
                  <w:tcBorders>
                    <w:tl2br w:val="nil"/>
                    <w:tr2bl w:val="nil"/>
                  </w:tcBorders>
                  <w:noWrap w:val="0"/>
                  <w:vAlign w:val="center"/>
                </w:tcPr>
                <w:p w14:paraId="4EB0DAC2">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防渗</w:t>
                  </w:r>
                  <w:r>
                    <w:rPr>
                      <w:rFonts w:hint="eastAsia" w:hAnsi="宋体"/>
                      <w:color w:val="000000" w:themeColor="text1"/>
                      <w:kern w:val="0"/>
                      <w:sz w:val="21"/>
                      <w:szCs w:val="21"/>
                      <w:highlight w:val="none"/>
                      <w14:textFill>
                        <w14:solidFill>
                          <w14:schemeClr w14:val="tx1"/>
                        </w14:solidFill>
                      </w14:textFill>
                    </w:rPr>
                    <w:t>、防漏、防腐</w:t>
                  </w:r>
                  <w:r>
                    <w:rPr>
                      <w:rFonts w:hAnsi="宋体"/>
                      <w:color w:val="000000" w:themeColor="text1"/>
                      <w:kern w:val="0"/>
                      <w:sz w:val="21"/>
                      <w:szCs w:val="21"/>
                      <w:highlight w:val="none"/>
                      <w14:textFill>
                        <w14:solidFill>
                          <w14:schemeClr w14:val="tx1"/>
                        </w14:solidFill>
                      </w14:textFill>
                    </w:rPr>
                    <w:t>等</w:t>
                  </w:r>
                  <w:r>
                    <w:rPr>
                      <w:rFonts w:hint="eastAsia" w:hAnsi="宋体"/>
                      <w:color w:val="000000" w:themeColor="text1"/>
                      <w:kern w:val="0"/>
                      <w:sz w:val="21"/>
                      <w:szCs w:val="21"/>
                      <w:highlight w:val="none"/>
                      <w14:textFill>
                        <w14:solidFill>
                          <w14:schemeClr w14:val="tx1"/>
                        </w14:solidFill>
                      </w14:textFill>
                    </w:rPr>
                    <w:t>措施</w:t>
                  </w:r>
                </w:p>
              </w:tc>
              <w:tc>
                <w:tcPr>
                  <w:tcW w:w="1192" w:type="dxa"/>
                  <w:tcBorders>
                    <w:tl2br w:val="nil"/>
                    <w:tr2bl w:val="nil"/>
                  </w:tcBorders>
                  <w:noWrap w:val="0"/>
                  <w:vAlign w:val="center"/>
                </w:tcPr>
                <w:p w14:paraId="6C4504E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10</w:t>
                  </w:r>
                </w:p>
              </w:tc>
            </w:tr>
            <w:tr w14:paraId="3C874C4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3796A897">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风险</w:t>
                  </w:r>
                  <w:r>
                    <w:rPr>
                      <w:rFonts w:hint="eastAsia" w:hAnsi="宋体"/>
                      <w:color w:val="000000" w:themeColor="text1"/>
                      <w:kern w:val="0"/>
                      <w:sz w:val="21"/>
                      <w:szCs w:val="21"/>
                      <w:highlight w:val="none"/>
                      <w14:textFill>
                        <w14:solidFill>
                          <w14:schemeClr w14:val="tx1"/>
                        </w14:solidFill>
                      </w14:textFill>
                    </w:rPr>
                    <w:t>防范</w:t>
                  </w:r>
                  <w:r>
                    <w:rPr>
                      <w:rFonts w:hAnsi="宋体"/>
                      <w:color w:val="000000" w:themeColor="text1"/>
                      <w:kern w:val="0"/>
                      <w:sz w:val="21"/>
                      <w:szCs w:val="21"/>
                      <w:highlight w:val="none"/>
                      <w14:textFill>
                        <w14:solidFill>
                          <w14:schemeClr w14:val="tx1"/>
                        </w14:solidFill>
                      </w14:textFill>
                    </w:rPr>
                    <w:t>措施</w:t>
                  </w:r>
                </w:p>
              </w:tc>
              <w:tc>
                <w:tcPr>
                  <w:tcW w:w="5401" w:type="dxa"/>
                  <w:tcBorders>
                    <w:tl2br w:val="nil"/>
                    <w:tr2bl w:val="nil"/>
                  </w:tcBorders>
                  <w:noWrap w:val="0"/>
                  <w:vAlign w:val="center"/>
                </w:tcPr>
                <w:p w14:paraId="1ACF7FBB">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应急物资、</w:t>
                  </w:r>
                  <w:r>
                    <w:rPr>
                      <w:rFonts w:hint="eastAsia" w:hAnsi="宋体"/>
                      <w:color w:val="000000" w:themeColor="text1"/>
                      <w:kern w:val="0"/>
                      <w:sz w:val="21"/>
                      <w:szCs w:val="21"/>
                      <w:highlight w:val="none"/>
                      <w:lang w:val="en-US" w:eastAsia="zh-CN"/>
                      <w14:textFill>
                        <w14:solidFill>
                          <w14:schemeClr w14:val="tx1"/>
                        </w14:solidFill>
                      </w14:textFill>
                    </w:rPr>
                    <w:t>应急演练</w:t>
                  </w:r>
                  <w:r>
                    <w:rPr>
                      <w:rFonts w:hAnsi="宋体"/>
                      <w:color w:val="000000" w:themeColor="text1"/>
                      <w:kern w:val="0"/>
                      <w:sz w:val="21"/>
                      <w:szCs w:val="21"/>
                      <w:highlight w:val="none"/>
                      <w14:textFill>
                        <w14:solidFill>
                          <w14:schemeClr w14:val="tx1"/>
                        </w14:solidFill>
                      </w14:textFill>
                    </w:rPr>
                    <w:t>等</w:t>
                  </w:r>
                </w:p>
              </w:tc>
              <w:tc>
                <w:tcPr>
                  <w:tcW w:w="1192" w:type="dxa"/>
                  <w:tcBorders>
                    <w:tl2br w:val="nil"/>
                    <w:tr2bl w:val="nil"/>
                  </w:tcBorders>
                  <w:noWrap w:val="0"/>
                  <w:vAlign w:val="center"/>
                </w:tcPr>
                <w:p w14:paraId="2FE65AAC">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10</w:t>
                  </w:r>
                </w:p>
              </w:tc>
            </w:tr>
            <w:bookmarkEnd w:id="30"/>
            <w:tr w14:paraId="484E6D8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283" w:hRule="atLeast"/>
                <w:jc w:val="center"/>
              </w:trPr>
              <w:tc>
                <w:tcPr>
                  <w:tcW w:w="1786" w:type="dxa"/>
                  <w:tcBorders>
                    <w:tl2br w:val="nil"/>
                    <w:tr2bl w:val="nil"/>
                  </w:tcBorders>
                  <w:noWrap w:val="0"/>
                  <w:vAlign w:val="center"/>
                </w:tcPr>
                <w:p w14:paraId="58294BCE">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rFonts w:hAnsi="宋体"/>
                      <w:color w:val="000000" w:themeColor="text1"/>
                      <w:kern w:val="0"/>
                      <w:sz w:val="21"/>
                      <w:szCs w:val="21"/>
                      <w:highlight w:val="none"/>
                      <w14:textFill>
                        <w14:solidFill>
                          <w14:schemeClr w14:val="tx1"/>
                        </w14:solidFill>
                      </w14:textFill>
                    </w:rPr>
                    <w:t>合计</w:t>
                  </w:r>
                </w:p>
              </w:tc>
              <w:tc>
                <w:tcPr>
                  <w:tcW w:w="5401" w:type="dxa"/>
                  <w:tcBorders>
                    <w:tl2br w:val="nil"/>
                    <w:tr2bl w:val="nil"/>
                  </w:tcBorders>
                  <w:noWrap w:val="0"/>
                  <w:vAlign w:val="center"/>
                </w:tcPr>
                <w:p w14:paraId="3FF84759">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w:t>
                  </w:r>
                </w:p>
              </w:tc>
              <w:tc>
                <w:tcPr>
                  <w:tcW w:w="1192" w:type="dxa"/>
                  <w:tcBorders>
                    <w:tl2br w:val="nil"/>
                    <w:tr2bl w:val="nil"/>
                  </w:tcBorders>
                  <w:noWrap w:val="0"/>
                  <w:vAlign w:val="center"/>
                </w:tcPr>
                <w:p w14:paraId="5161E5F3">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eastAsia="宋体"/>
                      <w:color w:val="000000" w:themeColor="text1"/>
                      <w:kern w:val="0"/>
                      <w:sz w:val="21"/>
                      <w:szCs w:val="21"/>
                      <w:highlight w:val="none"/>
                      <w:lang w:val="en-US" w:eastAsia="zh-CN"/>
                      <w14:textFill>
                        <w14:solidFill>
                          <w14:schemeClr w14:val="tx1"/>
                        </w14:solidFill>
                      </w14:textFill>
                    </w:rPr>
                  </w:pPr>
                  <w:r>
                    <w:rPr>
                      <w:rFonts w:hint="eastAsia"/>
                      <w:color w:val="000000" w:themeColor="text1"/>
                      <w:kern w:val="0"/>
                      <w:sz w:val="21"/>
                      <w:szCs w:val="21"/>
                      <w:highlight w:val="none"/>
                      <w:lang w:val="en-US" w:eastAsia="zh-CN"/>
                      <w14:textFill>
                        <w14:solidFill>
                          <w14:schemeClr w14:val="tx1"/>
                        </w14:solidFill>
                      </w14:textFill>
                    </w:rPr>
                    <w:t>190</w:t>
                  </w:r>
                </w:p>
              </w:tc>
            </w:tr>
          </w:tbl>
          <w:p w14:paraId="3CB79D4B">
            <w:pPr>
              <w:spacing w:before="192" w:beforeLines="80"/>
              <w:ind w:left="0" w:leftChars="0" w:firstLine="0" w:firstLineChars="0"/>
              <w:rPr>
                <w:b/>
                <w:bCs/>
                <w:color w:val="000000" w:themeColor="text1"/>
                <w:szCs w:val="20"/>
                <w14:textFill>
                  <w14:solidFill>
                    <w14:schemeClr w14:val="tx1"/>
                  </w14:solidFill>
                </w14:textFill>
              </w:rPr>
            </w:pPr>
            <w:r>
              <w:rPr>
                <w:rFonts w:hint="eastAsia"/>
                <w:b/>
                <w:bCs/>
                <w:color w:val="000000" w:themeColor="text1"/>
                <w:szCs w:val="20"/>
                <w:lang w:val="en-US" w:eastAsia="zh-CN"/>
                <w14:textFill>
                  <w14:solidFill>
                    <w14:schemeClr w14:val="tx1"/>
                  </w14:solidFill>
                </w14:textFill>
              </w:rPr>
              <w:t>八</w:t>
            </w:r>
            <w:r>
              <w:rPr>
                <w:rFonts w:hint="eastAsia"/>
                <w:b/>
                <w:bCs/>
                <w:color w:val="000000" w:themeColor="text1"/>
                <w:szCs w:val="20"/>
                <w14:textFill>
                  <w14:solidFill>
                    <w14:schemeClr w14:val="tx1"/>
                  </w14:solidFill>
                </w14:textFill>
              </w:rPr>
              <w:t>、排污口规范化管理</w:t>
            </w:r>
          </w:p>
          <w:p w14:paraId="7C463309">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废水排放口、固定噪声源、固体废物贮存和烟囱（排气筒）必须按照《江西省排污口设置与规范化整治管理办法》进行建设，应符合“一明显、二合理、三便于”的要求，即环保标志明显，排污口（接管口）设置合理，便于采集样品、便于监测计量、便于公众参与和监督管理。同时要求按照国家环保总局制定的《环境保护图形标志实施细则（试行）》的规定，设置与排污口相应的图形标志牌。</w:t>
            </w:r>
          </w:p>
          <w:p w14:paraId="76C0D0E6">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（1）烟囱（排气筒）设置取样口，并具备采样监测条件，排放口附近树立图形标志牌。</w:t>
            </w:r>
          </w:p>
          <w:p w14:paraId="05B001E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（2）废水排放口处设置测流段及采样池，采样池侧按规范安装废水排放口标志牌。</w:t>
            </w:r>
          </w:p>
          <w:p w14:paraId="585F5C37">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（3）排污口管理</w:t>
            </w:r>
          </w:p>
          <w:p w14:paraId="6EC8D66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单位应在各个排污口处树立标志牌，并如实填写《中华人民共和国规范化排污口标记登记证》，由环保主管部门签发。环保主管部门和建设单位可分别按以下内容建立排污口管理的专门档案：排污口性质和编号；位置；排放主要污染物种类、数量、浓度；排放去向；达标情况；治理设施运行情况及整改意见。</w:t>
            </w:r>
          </w:p>
          <w:p w14:paraId="0BBC0D4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（4）环境保护图形标志</w:t>
            </w:r>
          </w:p>
          <w:p w14:paraId="475AF80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在厂区的废水排放口、废气排放源、固体废物贮存处置场应设置环境保护图形标志，图形符号分为提示图形和警告图形符号两种，分别按GB15562.1-1995、GB15562.2-1995 执行。</w:t>
            </w:r>
          </w:p>
          <w:p w14:paraId="79BAE89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p>
          <w:p w14:paraId="05D79EB5">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p>
          <w:p w14:paraId="5D92CBE7">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p>
          <w:p w14:paraId="4BFCEE8C">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p>
          <w:p w14:paraId="056DB0E2">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p>
          <w:p w14:paraId="5BCB4A3E">
            <w:pPr>
              <w:pStyle w:val="57"/>
              <w:numPr>
                <w:ilvl w:val="3"/>
                <w:numId w:val="19"/>
              </w:numPr>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项目环境保护图形符合一览表</w:t>
            </w:r>
          </w:p>
          <w:tbl>
            <w:tblPr>
              <w:tblStyle w:val="36"/>
              <w:tblW w:w="8298"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57" w:type="dxa"/>
                <w:left w:w="85" w:type="dxa"/>
                <w:bottom w:w="57" w:type="dxa"/>
                <w:right w:w="85" w:type="dxa"/>
              </w:tblCellMar>
            </w:tblPr>
            <w:tblGrid>
              <w:gridCol w:w="542"/>
              <w:gridCol w:w="1913"/>
              <w:gridCol w:w="2069"/>
              <w:gridCol w:w="1266"/>
              <w:gridCol w:w="2508"/>
            </w:tblGrid>
            <w:tr w14:paraId="018AAB9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426" w:hRule="atLeast"/>
                <w:tblHeader/>
                <w:jc w:val="center"/>
              </w:trPr>
              <w:tc>
                <w:tcPr>
                  <w:tcW w:w="542" w:type="dxa"/>
                  <w:tcBorders>
                    <w:tl2br w:val="nil"/>
                    <w:tr2bl w:val="nil"/>
                  </w:tcBorders>
                  <w:noWrap w:val="0"/>
                  <w:vAlign w:val="center"/>
                </w:tcPr>
                <w:p w14:paraId="268064C8">
                  <w:pPr>
                    <w:snapToGrid w:val="0"/>
                    <w:spacing w:line="240" w:lineRule="auto"/>
                    <w:ind w:firstLine="0" w:firstLineChars="0"/>
                    <w:jc w:val="center"/>
                    <w:rPr>
                      <w:rFonts w:ascii="Times New Roman" w:hAnsi="Times New Roman" w:cs="Times New Roman"/>
                      <w:b/>
                      <w:color w:val="000000" w:themeColor="text1"/>
                      <w:sz w:val="18"/>
                      <w:szCs w:val="18"/>
                      <w:highlight w:val="none"/>
                      <w14:textFill>
                        <w14:solidFill>
                          <w14:schemeClr w14:val="tx1"/>
                        </w14:solidFill>
                      </w14:textFill>
                    </w:rPr>
                  </w:pPr>
                  <w:r>
                    <w:rPr>
                      <w:rFonts w:ascii="Times New Roman" w:hAnsi="Times New Roman" w:cs="Times New Roman"/>
                      <w:b/>
                      <w:color w:val="000000" w:themeColor="text1"/>
                      <w:sz w:val="18"/>
                      <w:szCs w:val="18"/>
                      <w:highlight w:val="none"/>
                      <w14:textFill>
                        <w14:solidFill>
                          <w14:schemeClr w14:val="tx1"/>
                        </w14:solidFill>
                      </w14:textFill>
                    </w:rPr>
                    <w:t>序号</w:t>
                  </w:r>
                </w:p>
              </w:tc>
              <w:tc>
                <w:tcPr>
                  <w:tcW w:w="1913" w:type="dxa"/>
                  <w:tcBorders>
                    <w:tl2br w:val="nil"/>
                    <w:tr2bl w:val="nil"/>
                  </w:tcBorders>
                  <w:noWrap w:val="0"/>
                  <w:vAlign w:val="center"/>
                </w:tcPr>
                <w:p w14:paraId="0DC78697">
                  <w:pPr>
                    <w:snapToGrid w:val="0"/>
                    <w:spacing w:line="240" w:lineRule="auto"/>
                    <w:ind w:firstLine="0" w:firstLineChars="0"/>
                    <w:jc w:val="center"/>
                    <w:rPr>
                      <w:rFonts w:ascii="Times New Roman" w:hAnsi="Times New Roman" w:cs="Times New Roman"/>
                      <w:b/>
                      <w:color w:val="000000" w:themeColor="text1"/>
                      <w:sz w:val="18"/>
                      <w:szCs w:val="18"/>
                      <w:highlight w:val="none"/>
                      <w14:textFill>
                        <w14:solidFill>
                          <w14:schemeClr w14:val="tx1"/>
                        </w14:solidFill>
                      </w14:textFill>
                    </w:rPr>
                  </w:pPr>
                  <w:r>
                    <w:rPr>
                      <w:rFonts w:ascii="Times New Roman" w:hAnsi="Times New Roman" w:cs="Times New Roman"/>
                      <w:b/>
                      <w:color w:val="000000" w:themeColor="text1"/>
                      <w:sz w:val="18"/>
                      <w:szCs w:val="18"/>
                      <w:highlight w:val="none"/>
                      <w14:textFill>
                        <w14:solidFill>
                          <w14:schemeClr w14:val="tx1"/>
                        </w14:solidFill>
                      </w14:textFill>
                    </w:rPr>
                    <w:t>提示图形符号</w:t>
                  </w:r>
                </w:p>
              </w:tc>
              <w:tc>
                <w:tcPr>
                  <w:tcW w:w="2069" w:type="dxa"/>
                  <w:tcBorders>
                    <w:tl2br w:val="nil"/>
                    <w:tr2bl w:val="nil"/>
                  </w:tcBorders>
                  <w:noWrap w:val="0"/>
                  <w:vAlign w:val="center"/>
                </w:tcPr>
                <w:p w14:paraId="34F59F36">
                  <w:pPr>
                    <w:snapToGrid w:val="0"/>
                    <w:spacing w:line="240" w:lineRule="auto"/>
                    <w:ind w:firstLine="0" w:firstLineChars="0"/>
                    <w:jc w:val="center"/>
                    <w:rPr>
                      <w:rFonts w:ascii="Times New Roman" w:hAnsi="Times New Roman" w:cs="Times New Roman"/>
                      <w:b/>
                      <w:color w:val="000000" w:themeColor="text1"/>
                      <w:sz w:val="18"/>
                      <w:szCs w:val="18"/>
                      <w:highlight w:val="none"/>
                      <w14:textFill>
                        <w14:solidFill>
                          <w14:schemeClr w14:val="tx1"/>
                        </w14:solidFill>
                      </w14:textFill>
                    </w:rPr>
                  </w:pPr>
                  <w:r>
                    <w:rPr>
                      <w:rFonts w:ascii="Times New Roman" w:hAnsi="Times New Roman" w:cs="Times New Roman"/>
                      <w:b/>
                      <w:color w:val="000000" w:themeColor="text1"/>
                      <w:sz w:val="18"/>
                      <w:szCs w:val="18"/>
                      <w:highlight w:val="none"/>
                      <w14:textFill>
                        <w14:solidFill>
                          <w14:schemeClr w14:val="tx1"/>
                        </w14:solidFill>
                      </w14:textFill>
                    </w:rPr>
                    <w:t>警告图形符号</w:t>
                  </w:r>
                </w:p>
              </w:tc>
              <w:tc>
                <w:tcPr>
                  <w:tcW w:w="1266" w:type="dxa"/>
                  <w:tcBorders>
                    <w:tl2br w:val="nil"/>
                    <w:tr2bl w:val="nil"/>
                  </w:tcBorders>
                  <w:noWrap w:val="0"/>
                  <w:vAlign w:val="center"/>
                </w:tcPr>
                <w:p w14:paraId="52E1ED01">
                  <w:pPr>
                    <w:snapToGrid w:val="0"/>
                    <w:spacing w:line="240" w:lineRule="auto"/>
                    <w:ind w:firstLine="0" w:firstLineChars="0"/>
                    <w:jc w:val="center"/>
                    <w:rPr>
                      <w:rFonts w:ascii="Times New Roman" w:hAnsi="Times New Roman" w:cs="Times New Roman"/>
                      <w:b/>
                      <w:color w:val="000000" w:themeColor="text1"/>
                      <w:sz w:val="18"/>
                      <w:szCs w:val="18"/>
                      <w:highlight w:val="none"/>
                      <w14:textFill>
                        <w14:solidFill>
                          <w14:schemeClr w14:val="tx1"/>
                        </w14:solidFill>
                      </w14:textFill>
                    </w:rPr>
                  </w:pPr>
                  <w:r>
                    <w:rPr>
                      <w:rFonts w:ascii="Times New Roman" w:hAnsi="Times New Roman" w:cs="Times New Roman"/>
                      <w:b/>
                      <w:color w:val="000000" w:themeColor="text1"/>
                      <w:sz w:val="18"/>
                      <w:szCs w:val="18"/>
                      <w:highlight w:val="none"/>
                      <w14:textFill>
                        <w14:solidFill>
                          <w14:schemeClr w14:val="tx1"/>
                        </w14:solidFill>
                      </w14:textFill>
                    </w:rPr>
                    <w:t>名称</w:t>
                  </w:r>
                </w:p>
              </w:tc>
              <w:tc>
                <w:tcPr>
                  <w:tcW w:w="2508" w:type="dxa"/>
                  <w:tcBorders>
                    <w:tl2br w:val="nil"/>
                    <w:tr2bl w:val="nil"/>
                  </w:tcBorders>
                  <w:noWrap w:val="0"/>
                  <w:vAlign w:val="center"/>
                </w:tcPr>
                <w:p w14:paraId="2725593F">
                  <w:pPr>
                    <w:snapToGrid w:val="0"/>
                    <w:spacing w:line="240" w:lineRule="auto"/>
                    <w:ind w:firstLine="0" w:firstLineChars="0"/>
                    <w:jc w:val="center"/>
                    <w:rPr>
                      <w:rFonts w:ascii="Times New Roman" w:hAnsi="Times New Roman" w:cs="Times New Roman"/>
                      <w:b/>
                      <w:color w:val="000000" w:themeColor="text1"/>
                      <w:sz w:val="18"/>
                      <w:szCs w:val="18"/>
                      <w:highlight w:val="none"/>
                      <w14:textFill>
                        <w14:solidFill>
                          <w14:schemeClr w14:val="tx1"/>
                        </w14:solidFill>
                      </w14:textFill>
                    </w:rPr>
                  </w:pPr>
                  <w:r>
                    <w:rPr>
                      <w:rFonts w:ascii="Times New Roman" w:hAnsi="Times New Roman" w:cs="Times New Roman"/>
                      <w:b/>
                      <w:color w:val="000000" w:themeColor="text1"/>
                      <w:sz w:val="18"/>
                      <w:szCs w:val="18"/>
                      <w:highlight w:val="none"/>
                      <w14:textFill>
                        <w14:solidFill>
                          <w14:schemeClr w14:val="tx1"/>
                        </w14:solidFill>
                      </w14:textFill>
                    </w:rPr>
                    <w:t>功能</w:t>
                  </w:r>
                </w:p>
              </w:tc>
            </w:tr>
            <w:tr w14:paraId="54D2E08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1524" w:hRule="atLeast"/>
                <w:jc w:val="center"/>
              </w:trPr>
              <w:tc>
                <w:tcPr>
                  <w:tcW w:w="542" w:type="dxa"/>
                  <w:tcBorders>
                    <w:tl2br w:val="nil"/>
                    <w:tr2bl w:val="nil"/>
                  </w:tcBorders>
                  <w:noWrap w:val="0"/>
                  <w:vAlign w:val="center"/>
                </w:tcPr>
                <w:p w14:paraId="53734EE6">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1</w:t>
                  </w:r>
                </w:p>
              </w:tc>
              <w:tc>
                <w:tcPr>
                  <w:tcW w:w="1913" w:type="dxa"/>
                  <w:tcBorders>
                    <w:tl2br w:val="nil"/>
                    <w:tr2bl w:val="nil"/>
                  </w:tcBorders>
                  <w:noWrap w:val="0"/>
                  <w:vAlign w:val="center"/>
                </w:tcPr>
                <w:p w14:paraId="4CB9B58C">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890270" cy="887095"/>
                        <wp:effectExtent l="0" t="0" r="5080" b="8255"/>
                        <wp:docPr id="19" name="图片 12"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未标题-1"/>
                                <pic:cNvPicPr>
                                  <a:picLocks noChangeAspect="1"/>
                                </pic:cNvPicPr>
                              </pic:nvPicPr>
                              <pic:blipFill>
                                <a:blip r:embed="rId51"/>
                                <a:stretch>
                                  <a:fillRect/>
                                </a:stretch>
                              </pic:blipFill>
                              <pic:spPr>
                                <a:xfrm>
                                  <a:off x="0" y="0"/>
                                  <a:ext cx="890270" cy="887095"/>
                                </a:xfrm>
                                <a:prstGeom prst="rect">
                                  <a:avLst/>
                                </a:prstGeom>
                                <a:noFill/>
                                <a:ln>
                                  <a:noFill/>
                                </a:ln>
                              </pic:spPr>
                            </pic:pic>
                          </a:graphicData>
                        </a:graphic>
                      </wp:inline>
                    </w:drawing>
                  </w:r>
                </w:p>
              </w:tc>
              <w:tc>
                <w:tcPr>
                  <w:tcW w:w="2069" w:type="dxa"/>
                  <w:tcBorders>
                    <w:tl2br w:val="nil"/>
                    <w:tr2bl w:val="nil"/>
                  </w:tcBorders>
                  <w:noWrap w:val="0"/>
                  <w:vAlign w:val="center"/>
                </w:tcPr>
                <w:p w14:paraId="5940DA40">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862330" cy="859790"/>
                        <wp:effectExtent l="0" t="0" r="13970" b="16510"/>
                        <wp:docPr id="20" name="图片 13"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descr="未标题-2"/>
                                <pic:cNvPicPr>
                                  <a:picLocks noChangeAspect="1"/>
                                </pic:cNvPicPr>
                              </pic:nvPicPr>
                              <pic:blipFill>
                                <a:blip r:embed="rId52"/>
                                <a:stretch>
                                  <a:fillRect/>
                                </a:stretch>
                              </pic:blipFill>
                              <pic:spPr>
                                <a:xfrm>
                                  <a:off x="0" y="0"/>
                                  <a:ext cx="862330" cy="859790"/>
                                </a:xfrm>
                                <a:prstGeom prst="rect">
                                  <a:avLst/>
                                </a:prstGeom>
                                <a:noFill/>
                                <a:ln>
                                  <a:noFill/>
                                </a:ln>
                              </pic:spPr>
                            </pic:pic>
                          </a:graphicData>
                        </a:graphic>
                      </wp:inline>
                    </w:drawing>
                  </w:r>
                </w:p>
              </w:tc>
              <w:tc>
                <w:tcPr>
                  <w:tcW w:w="1266" w:type="dxa"/>
                  <w:tcBorders>
                    <w:tl2br w:val="nil"/>
                    <w:tr2bl w:val="nil"/>
                  </w:tcBorders>
                  <w:noWrap w:val="0"/>
                  <w:vAlign w:val="center"/>
                </w:tcPr>
                <w:p w14:paraId="6CACFC49">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废水排放口</w:t>
                  </w:r>
                </w:p>
              </w:tc>
              <w:tc>
                <w:tcPr>
                  <w:tcW w:w="2508" w:type="dxa"/>
                  <w:tcBorders>
                    <w:tl2br w:val="nil"/>
                    <w:tr2bl w:val="nil"/>
                  </w:tcBorders>
                  <w:noWrap w:val="0"/>
                  <w:vAlign w:val="center"/>
                </w:tcPr>
                <w:p w14:paraId="0396823F">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表示废水向水体排放</w:t>
                  </w:r>
                </w:p>
              </w:tc>
            </w:tr>
            <w:tr w14:paraId="7131BA9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1554" w:hRule="atLeast"/>
                <w:jc w:val="center"/>
              </w:trPr>
              <w:tc>
                <w:tcPr>
                  <w:tcW w:w="542" w:type="dxa"/>
                  <w:tcBorders>
                    <w:tl2br w:val="nil"/>
                    <w:tr2bl w:val="nil"/>
                  </w:tcBorders>
                  <w:noWrap w:val="0"/>
                  <w:vAlign w:val="center"/>
                </w:tcPr>
                <w:p w14:paraId="78D1128B">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2</w:t>
                  </w:r>
                </w:p>
              </w:tc>
              <w:tc>
                <w:tcPr>
                  <w:tcW w:w="1913" w:type="dxa"/>
                  <w:tcBorders>
                    <w:tl2br w:val="nil"/>
                    <w:tr2bl w:val="nil"/>
                  </w:tcBorders>
                  <w:noWrap w:val="0"/>
                  <w:vAlign w:val="center"/>
                </w:tcPr>
                <w:p w14:paraId="3ED1C7BB">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853440" cy="850265"/>
                        <wp:effectExtent l="0" t="0" r="3810" b="6985"/>
                        <wp:docPr id="21" name="图片 14" descr="未标题-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4" descr="未标题-3"/>
                                <pic:cNvPicPr>
                                  <a:picLocks noChangeAspect="1"/>
                                </pic:cNvPicPr>
                              </pic:nvPicPr>
                              <pic:blipFill>
                                <a:blip r:embed="rId53"/>
                                <a:stretch>
                                  <a:fillRect/>
                                </a:stretch>
                              </pic:blipFill>
                              <pic:spPr>
                                <a:xfrm>
                                  <a:off x="0" y="0"/>
                                  <a:ext cx="853440" cy="850265"/>
                                </a:xfrm>
                                <a:prstGeom prst="rect">
                                  <a:avLst/>
                                </a:prstGeom>
                                <a:noFill/>
                                <a:ln>
                                  <a:noFill/>
                                </a:ln>
                              </pic:spPr>
                            </pic:pic>
                          </a:graphicData>
                        </a:graphic>
                      </wp:inline>
                    </w:drawing>
                  </w:r>
                </w:p>
              </w:tc>
              <w:tc>
                <w:tcPr>
                  <w:tcW w:w="2069" w:type="dxa"/>
                  <w:tcBorders>
                    <w:tl2br w:val="nil"/>
                    <w:tr2bl w:val="nil"/>
                  </w:tcBorders>
                  <w:noWrap w:val="0"/>
                  <w:vAlign w:val="center"/>
                </w:tcPr>
                <w:p w14:paraId="6129A984">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862330" cy="905510"/>
                        <wp:effectExtent l="0" t="0" r="13970" b="8890"/>
                        <wp:docPr id="15" name="图片 15"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未标题-4"/>
                                <pic:cNvPicPr>
                                  <a:picLocks noChangeAspect="1"/>
                                </pic:cNvPicPr>
                              </pic:nvPicPr>
                              <pic:blipFill>
                                <a:blip r:embed="rId54"/>
                                <a:stretch>
                                  <a:fillRect/>
                                </a:stretch>
                              </pic:blipFill>
                              <pic:spPr>
                                <a:xfrm>
                                  <a:off x="0" y="0"/>
                                  <a:ext cx="862330" cy="905510"/>
                                </a:xfrm>
                                <a:prstGeom prst="rect">
                                  <a:avLst/>
                                </a:prstGeom>
                                <a:noFill/>
                                <a:ln>
                                  <a:noFill/>
                                </a:ln>
                              </pic:spPr>
                            </pic:pic>
                          </a:graphicData>
                        </a:graphic>
                      </wp:inline>
                    </w:drawing>
                  </w:r>
                </w:p>
              </w:tc>
              <w:tc>
                <w:tcPr>
                  <w:tcW w:w="1266" w:type="dxa"/>
                  <w:tcBorders>
                    <w:tl2br w:val="nil"/>
                    <w:tr2bl w:val="nil"/>
                  </w:tcBorders>
                  <w:noWrap w:val="0"/>
                  <w:vAlign w:val="center"/>
                </w:tcPr>
                <w:p w14:paraId="0929C8F8">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废气排放口</w:t>
                  </w:r>
                </w:p>
              </w:tc>
              <w:tc>
                <w:tcPr>
                  <w:tcW w:w="2508" w:type="dxa"/>
                  <w:tcBorders>
                    <w:tl2br w:val="nil"/>
                    <w:tr2bl w:val="nil"/>
                  </w:tcBorders>
                  <w:noWrap w:val="0"/>
                  <w:vAlign w:val="center"/>
                </w:tcPr>
                <w:p w14:paraId="4286A4CF">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表示废气向大气环境排放</w:t>
                  </w:r>
                </w:p>
              </w:tc>
            </w:tr>
            <w:tr w14:paraId="67EB852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1549" w:hRule="atLeast"/>
                <w:jc w:val="center"/>
              </w:trPr>
              <w:tc>
                <w:tcPr>
                  <w:tcW w:w="542" w:type="dxa"/>
                  <w:tcBorders>
                    <w:tl2br w:val="nil"/>
                    <w:tr2bl w:val="nil"/>
                  </w:tcBorders>
                  <w:noWrap w:val="0"/>
                  <w:vAlign w:val="center"/>
                </w:tcPr>
                <w:p w14:paraId="25E4C7BD">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3</w:t>
                  </w:r>
                </w:p>
              </w:tc>
              <w:tc>
                <w:tcPr>
                  <w:tcW w:w="1913" w:type="dxa"/>
                  <w:tcBorders>
                    <w:tl2br w:val="nil"/>
                    <w:tr2bl w:val="nil"/>
                  </w:tcBorders>
                  <w:noWrap w:val="0"/>
                  <w:vAlign w:val="center"/>
                </w:tcPr>
                <w:p w14:paraId="35302E3B">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835025" cy="819785"/>
                        <wp:effectExtent l="0" t="0" r="3175" b="18415"/>
                        <wp:docPr id="22" name="图片 16" descr="未标题-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descr="未标题-5"/>
                                <pic:cNvPicPr>
                                  <a:picLocks noChangeAspect="1"/>
                                </pic:cNvPicPr>
                              </pic:nvPicPr>
                              <pic:blipFill>
                                <a:blip r:embed="rId55"/>
                                <a:stretch>
                                  <a:fillRect/>
                                </a:stretch>
                              </pic:blipFill>
                              <pic:spPr>
                                <a:xfrm>
                                  <a:off x="0" y="0"/>
                                  <a:ext cx="835025" cy="819785"/>
                                </a:xfrm>
                                <a:prstGeom prst="rect">
                                  <a:avLst/>
                                </a:prstGeom>
                                <a:noFill/>
                                <a:ln>
                                  <a:noFill/>
                                </a:ln>
                              </pic:spPr>
                            </pic:pic>
                          </a:graphicData>
                        </a:graphic>
                      </wp:inline>
                    </w:drawing>
                  </w:r>
                </w:p>
              </w:tc>
              <w:tc>
                <w:tcPr>
                  <w:tcW w:w="2069" w:type="dxa"/>
                  <w:tcBorders>
                    <w:tl2br w:val="nil"/>
                    <w:tr2bl w:val="nil"/>
                  </w:tcBorders>
                  <w:noWrap w:val="0"/>
                  <w:vAlign w:val="center"/>
                </w:tcPr>
                <w:p w14:paraId="26802A05">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926465" cy="877570"/>
                        <wp:effectExtent l="0" t="0" r="6985" b="17780"/>
                        <wp:docPr id="18" name="图片 17" descr="未标题-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未标题-6"/>
                                <pic:cNvPicPr>
                                  <a:picLocks noChangeAspect="1"/>
                                </pic:cNvPicPr>
                              </pic:nvPicPr>
                              <pic:blipFill>
                                <a:blip r:embed="rId56"/>
                                <a:stretch>
                                  <a:fillRect/>
                                </a:stretch>
                              </pic:blipFill>
                              <pic:spPr>
                                <a:xfrm>
                                  <a:off x="0" y="0"/>
                                  <a:ext cx="926465" cy="877570"/>
                                </a:xfrm>
                                <a:prstGeom prst="rect">
                                  <a:avLst/>
                                </a:prstGeom>
                                <a:noFill/>
                                <a:ln>
                                  <a:noFill/>
                                </a:ln>
                              </pic:spPr>
                            </pic:pic>
                          </a:graphicData>
                        </a:graphic>
                      </wp:inline>
                    </w:drawing>
                  </w:r>
                </w:p>
              </w:tc>
              <w:tc>
                <w:tcPr>
                  <w:tcW w:w="1266" w:type="dxa"/>
                  <w:tcBorders>
                    <w:tl2br w:val="nil"/>
                    <w:tr2bl w:val="nil"/>
                  </w:tcBorders>
                  <w:noWrap w:val="0"/>
                  <w:vAlign w:val="center"/>
                </w:tcPr>
                <w:p w14:paraId="0E7A9D44">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一般固体废物</w:t>
                  </w:r>
                </w:p>
              </w:tc>
              <w:tc>
                <w:tcPr>
                  <w:tcW w:w="2508" w:type="dxa"/>
                  <w:tcBorders>
                    <w:tl2br w:val="nil"/>
                    <w:tr2bl w:val="nil"/>
                  </w:tcBorders>
                  <w:noWrap w:val="0"/>
                  <w:vAlign w:val="center"/>
                </w:tcPr>
                <w:p w14:paraId="3B3E926F">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表示一般固体废物贮存、处置场</w:t>
                  </w:r>
                </w:p>
              </w:tc>
            </w:tr>
            <w:tr w14:paraId="7A05BA4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1494" w:hRule="atLeast"/>
                <w:jc w:val="center"/>
              </w:trPr>
              <w:tc>
                <w:tcPr>
                  <w:tcW w:w="542" w:type="dxa"/>
                  <w:tcBorders>
                    <w:tl2br w:val="nil"/>
                    <w:tr2bl w:val="nil"/>
                  </w:tcBorders>
                  <w:noWrap w:val="0"/>
                  <w:vAlign w:val="center"/>
                </w:tcPr>
                <w:p w14:paraId="5C6CF43B">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4</w:t>
                  </w:r>
                </w:p>
              </w:tc>
              <w:tc>
                <w:tcPr>
                  <w:tcW w:w="1913" w:type="dxa"/>
                  <w:tcBorders>
                    <w:tl2br w:val="nil"/>
                    <w:tr2bl w:val="nil"/>
                  </w:tcBorders>
                  <w:noWrap w:val="0"/>
                  <w:vAlign w:val="center"/>
                </w:tcPr>
                <w:p w14:paraId="7BA2787D">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862330" cy="850265"/>
                        <wp:effectExtent l="0" t="0" r="13970" b="6985"/>
                        <wp:docPr id="2" name="图片 18" descr="未标题-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descr="未标题-7"/>
                                <pic:cNvPicPr>
                                  <a:picLocks noChangeAspect="1"/>
                                </pic:cNvPicPr>
                              </pic:nvPicPr>
                              <pic:blipFill>
                                <a:blip r:embed="rId57"/>
                                <a:stretch>
                                  <a:fillRect/>
                                </a:stretch>
                              </pic:blipFill>
                              <pic:spPr>
                                <a:xfrm>
                                  <a:off x="0" y="0"/>
                                  <a:ext cx="862330" cy="850265"/>
                                </a:xfrm>
                                <a:prstGeom prst="rect">
                                  <a:avLst/>
                                </a:prstGeom>
                                <a:noFill/>
                                <a:ln>
                                  <a:noFill/>
                                </a:ln>
                              </pic:spPr>
                            </pic:pic>
                          </a:graphicData>
                        </a:graphic>
                      </wp:inline>
                    </w:drawing>
                  </w:r>
                </w:p>
              </w:tc>
              <w:tc>
                <w:tcPr>
                  <w:tcW w:w="2069" w:type="dxa"/>
                  <w:tcBorders>
                    <w:tl2br w:val="nil"/>
                    <w:tr2bl w:val="nil"/>
                  </w:tcBorders>
                  <w:noWrap w:val="0"/>
                  <w:vAlign w:val="center"/>
                </w:tcPr>
                <w:p w14:paraId="67D357A3">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drawing>
                      <wp:inline distT="0" distB="0" distL="114300" distR="114300">
                        <wp:extent cx="944880" cy="859790"/>
                        <wp:effectExtent l="0" t="0" r="7620" b="16510"/>
                        <wp:docPr id="16" name="图片 19"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9" descr="未标题-8"/>
                                <pic:cNvPicPr>
                                  <a:picLocks noChangeAspect="1"/>
                                </pic:cNvPicPr>
                              </pic:nvPicPr>
                              <pic:blipFill>
                                <a:blip r:embed="rId58"/>
                                <a:stretch>
                                  <a:fillRect/>
                                </a:stretch>
                              </pic:blipFill>
                              <pic:spPr>
                                <a:xfrm>
                                  <a:off x="0" y="0"/>
                                  <a:ext cx="944880" cy="859790"/>
                                </a:xfrm>
                                <a:prstGeom prst="rect">
                                  <a:avLst/>
                                </a:prstGeom>
                                <a:noFill/>
                                <a:ln>
                                  <a:noFill/>
                                </a:ln>
                              </pic:spPr>
                            </pic:pic>
                          </a:graphicData>
                        </a:graphic>
                      </wp:inline>
                    </w:drawing>
                  </w:r>
                </w:p>
              </w:tc>
              <w:tc>
                <w:tcPr>
                  <w:tcW w:w="1266" w:type="dxa"/>
                  <w:tcBorders>
                    <w:tl2br w:val="nil"/>
                    <w:tr2bl w:val="nil"/>
                  </w:tcBorders>
                  <w:noWrap w:val="0"/>
                  <w:vAlign w:val="center"/>
                </w:tcPr>
                <w:p w14:paraId="2DFD2C41">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噪声排放源</w:t>
                  </w:r>
                </w:p>
              </w:tc>
              <w:tc>
                <w:tcPr>
                  <w:tcW w:w="2508" w:type="dxa"/>
                  <w:tcBorders>
                    <w:tl2br w:val="nil"/>
                    <w:tr2bl w:val="nil"/>
                  </w:tcBorders>
                  <w:noWrap w:val="0"/>
                  <w:vAlign w:val="center"/>
                </w:tcPr>
                <w:p w14:paraId="510E3492">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表示噪声向外环境排放</w:t>
                  </w:r>
                </w:p>
              </w:tc>
            </w:tr>
            <w:tr w14:paraId="741CE75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57" w:type="dxa"/>
                  <w:left w:w="85" w:type="dxa"/>
                  <w:bottom w:w="57" w:type="dxa"/>
                  <w:right w:w="85" w:type="dxa"/>
                </w:tblCellMar>
              </w:tblPrEx>
              <w:trPr>
                <w:trHeight w:val="1644" w:hRule="atLeast"/>
                <w:jc w:val="center"/>
              </w:trPr>
              <w:tc>
                <w:tcPr>
                  <w:tcW w:w="542" w:type="dxa"/>
                  <w:tcBorders>
                    <w:tl2br w:val="nil"/>
                    <w:tr2bl w:val="nil"/>
                  </w:tcBorders>
                  <w:noWrap w:val="0"/>
                  <w:vAlign w:val="center"/>
                </w:tcPr>
                <w:p w14:paraId="47D971EA">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5</w:t>
                  </w:r>
                </w:p>
              </w:tc>
              <w:tc>
                <w:tcPr>
                  <w:tcW w:w="1913" w:type="dxa"/>
                  <w:tcBorders>
                    <w:tl2br w:val="nil"/>
                    <w:tr2bl w:val="nil"/>
                  </w:tcBorders>
                  <w:noWrap w:val="0"/>
                  <w:vAlign w:val="center"/>
                </w:tcPr>
                <w:p w14:paraId="4DED43D5">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p>
              </w:tc>
              <w:tc>
                <w:tcPr>
                  <w:tcW w:w="2069" w:type="dxa"/>
                  <w:tcBorders>
                    <w:tl2br w:val="nil"/>
                    <w:tr2bl w:val="nil"/>
                  </w:tcBorders>
                  <w:noWrap w:val="0"/>
                  <w:vAlign w:val="center"/>
                </w:tcPr>
                <w:p w14:paraId="124B2676">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color w:val="000000" w:themeColor="text1"/>
                      <w:sz w:val="18"/>
                      <w:szCs w:val="18"/>
                      <w:highlight w:val="none"/>
                      <w14:textFill>
                        <w14:solidFill>
                          <w14:schemeClr w14:val="tx1"/>
                        </w14:solidFill>
                      </w14:textFill>
                    </w:rPr>
                    <w:drawing>
                      <wp:inline distT="0" distB="0" distL="114300" distR="114300">
                        <wp:extent cx="1070610" cy="950595"/>
                        <wp:effectExtent l="0" t="0" r="15240" b="1905"/>
                        <wp:docPr id="1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0"/>
                                <pic:cNvPicPr>
                                  <a:picLocks noChangeAspect="1"/>
                                </pic:cNvPicPr>
                              </pic:nvPicPr>
                              <pic:blipFill>
                                <a:blip r:embed="rId59"/>
                                <a:stretch>
                                  <a:fillRect/>
                                </a:stretch>
                              </pic:blipFill>
                              <pic:spPr>
                                <a:xfrm>
                                  <a:off x="0" y="0"/>
                                  <a:ext cx="1070610" cy="950595"/>
                                </a:xfrm>
                                <a:prstGeom prst="rect">
                                  <a:avLst/>
                                </a:prstGeom>
                                <a:noFill/>
                                <a:ln>
                                  <a:noFill/>
                                </a:ln>
                              </pic:spPr>
                            </pic:pic>
                          </a:graphicData>
                        </a:graphic>
                      </wp:inline>
                    </w:drawing>
                  </w:r>
                </w:p>
              </w:tc>
              <w:tc>
                <w:tcPr>
                  <w:tcW w:w="1266" w:type="dxa"/>
                  <w:tcBorders>
                    <w:tl2br w:val="nil"/>
                    <w:tr2bl w:val="nil"/>
                  </w:tcBorders>
                  <w:noWrap w:val="0"/>
                  <w:vAlign w:val="center"/>
                </w:tcPr>
                <w:p w14:paraId="4B009CE1">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危险废物</w:t>
                  </w:r>
                </w:p>
              </w:tc>
              <w:tc>
                <w:tcPr>
                  <w:tcW w:w="2508" w:type="dxa"/>
                  <w:tcBorders>
                    <w:tl2br w:val="nil"/>
                    <w:tr2bl w:val="nil"/>
                  </w:tcBorders>
                  <w:noWrap w:val="0"/>
                  <w:vAlign w:val="center"/>
                </w:tcPr>
                <w:p w14:paraId="4C7B8351">
                  <w:pPr>
                    <w:snapToGrid w:val="0"/>
                    <w:spacing w:line="240" w:lineRule="auto"/>
                    <w:ind w:firstLine="0" w:firstLineChars="0"/>
                    <w:jc w:val="center"/>
                    <w:rPr>
                      <w:rFonts w:ascii="Times New Roman" w:hAnsi="Times New Roman" w:cs="Times New Roman"/>
                      <w:color w:val="000000" w:themeColor="text1"/>
                      <w:sz w:val="18"/>
                      <w:szCs w:val="18"/>
                      <w:highlight w:val="none"/>
                      <w14:textFill>
                        <w14:solidFill>
                          <w14:schemeClr w14:val="tx1"/>
                        </w14:solidFill>
                      </w14:textFill>
                    </w:rPr>
                  </w:pPr>
                  <w:r>
                    <w:rPr>
                      <w:rFonts w:ascii="Times New Roman" w:hAnsi="Times New Roman" w:cs="Times New Roman"/>
                      <w:color w:val="000000" w:themeColor="text1"/>
                      <w:sz w:val="18"/>
                      <w:szCs w:val="18"/>
                      <w:highlight w:val="none"/>
                      <w14:textFill>
                        <w14:solidFill>
                          <w14:schemeClr w14:val="tx1"/>
                        </w14:solidFill>
                      </w14:textFill>
                    </w:rPr>
                    <w:t>表示危险废物贮存、处置场</w:t>
                  </w:r>
                </w:p>
              </w:tc>
            </w:tr>
          </w:tbl>
          <w:p w14:paraId="7F47FD7D">
            <w:pPr>
              <w:keepNext w:val="0"/>
              <w:keepLines w:val="0"/>
              <w:pageBreakBefore w:val="0"/>
              <w:widowControl/>
              <w:kinsoku/>
              <w:wordWrap/>
              <w:overflowPunct/>
              <w:topLinePunct w:val="0"/>
              <w:autoSpaceDE/>
              <w:autoSpaceDN/>
              <w:bidi w:val="0"/>
              <w:adjustRightInd/>
              <w:snapToGrid w:val="0"/>
              <w:spacing w:before="157" w:beforeLines="50" w:line="360" w:lineRule="auto"/>
              <w:ind w:firstLine="0" w:firstLineChars="0"/>
              <w:textAlignment w:val="auto"/>
              <w:rPr>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九、</w:t>
            </w:r>
            <w:r>
              <w:rPr>
                <w:rFonts w:hint="eastAsia"/>
                <w:b/>
                <w:bCs/>
                <w:color w:val="000000" w:themeColor="text1"/>
                <w:sz w:val="24"/>
                <w:szCs w:val="24"/>
                <w:highlight w:val="none"/>
                <w14:textFill>
                  <w14:solidFill>
                    <w14:schemeClr w14:val="tx1"/>
                  </w14:solidFill>
                </w14:textFill>
              </w:rPr>
              <w:t>排污许可管理</w:t>
            </w:r>
          </w:p>
          <w:p w14:paraId="23890BD8">
            <w:pPr>
              <w:pStyle w:val="123"/>
              <w:keepNext w:val="0"/>
              <w:keepLines w:val="0"/>
              <w:pageBreakBefore w:val="0"/>
              <w:widowControl w:val="0"/>
              <w:kinsoku/>
              <w:wordWrap/>
              <w:overflowPunct/>
              <w:topLinePunct w:val="0"/>
              <w:autoSpaceDE/>
              <w:autoSpaceDN/>
              <w:bidi w:val="0"/>
              <w:adjustRightInd/>
              <w:snapToGrid w:val="0"/>
              <w:spacing w:before="0" w:line="360" w:lineRule="auto"/>
              <w:ind w:left="0" w:firstLine="480" w:firstLineChars="200"/>
              <w:jc w:val="both"/>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项目属于《固定污染源排污许可分类管理名录（</w:t>
            </w:r>
            <w:r>
              <w:rPr>
                <w:rFonts w:hint="default" w:ascii="Times New Roman" w:hAnsi="Times New Roman" w:eastAsia="TimesNewRomanPSMT" w:cs="Times New Roman"/>
                <w:color w:val="000000" w:themeColor="text1"/>
                <w:sz w:val="24"/>
                <w:szCs w:val="24"/>
                <w14:textFill>
                  <w14:solidFill>
                    <w14:schemeClr w14:val="tx1"/>
                  </w14:solidFill>
                </w14:textFill>
              </w:rPr>
              <w:t xml:space="preserve">2019 </w:t>
            </w:r>
            <w:r>
              <w:rPr>
                <w:rFonts w:hint="default" w:ascii="Times New Roman" w:hAnsi="Times New Roman" w:eastAsia="宋体" w:cs="Times New Roman"/>
                <w:color w:val="000000" w:themeColor="text1"/>
                <w:sz w:val="24"/>
                <w:szCs w:val="24"/>
                <w14:textFill>
                  <w14:solidFill>
                    <w14:schemeClr w14:val="tx1"/>
                  </w14:solidFill>
                </w14:textFill>
              </w:rPr>
              <w:t>版）》中的</w:t>
            </w:r>
            <w:r>
              <w:rPr>
                <w:rFonts w:hint="default" w:ascii="Times New Roman" w:hAnsi="Times New Roman" w:eastAsia="TimesNewRomanPSMT"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十九</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文教、工美、体育及娱乐用品制造24</w:t>
            </w:r>
            <w:r>
              <w:rPr>
                <w:rFonts w:hint="default" w:ascii="Times New Roman" w:hAnsi="Times New Roman" w:eastAsia="TimesNewRomanPSMT"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其他*</w:t>
            </w:r>
            <w:r>
              <w:rPr>
                <w:rFonts w:hint="default" w:ascii="Times New Roman" w:hAnsi="Times New Roman" w:eastAsia="TimesNewRomanPSMT"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，应执行排污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登记</w:t>
            </w:r>
            <w:r>
              <w:rPr>
                <w:rFonts w:hint="default" w:ascii="Times New Roman" w:hAnsi="Times New Roman" w:eastAsia="宋体" w:cs="Times New Roman"/>
                <w:color w:val="000000" w:themeColor="text1"/>
                <w:sz w:val="24"/>
                <w:szCs w:val="24"/>
                <w14:textFill>
                  <w14:solidFill>
                    <w14:schemeClr w14:val="tx1"/>
                  </w14:solidFill>
                </w14:textFill>
              </w:rPr>
              <w:t>管理</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14:paraId="70CB6666">
            <w:pPr>
              <w:ind w:firstLine="480"/>
              <w:rPr>
                <w:b/>
                <w:bCs/>
                <w:color w:val="000000" w:themeColor="text1"/>
                <w:szCs w:val="20"/>
                <w14:textFill>
                  <w14:solidFill>
                    <w14:schemeClr w14:val="tx1"/>
                  </w14:solidFill>
                </w14:textFill>
              </w:rPr>
            </w:pPr>
          </w:p>
          <w:p w14:paraId="645B93A3">
            <w:pPr>
              <w:pStyle w:val="59"/>
              <w:ind w:firstLine="420"/>
              <w:rPr>
                <w:color w:val="000000" w:themeColor="text1"/>
                <w:sz w:val="21"/>
                <w:szCs w:val="21"/>
                <w14:textFill>
                  <w14:solidFill>
                    <w14:schemeClr w14:val="tx1"/>
                  </w14:solidFill>
                </w14:textFill>
              </w:rPr>
            </w:pPr>
          </w:p>
          <w:p w14:paraId="39DFF57D">
            <w:pPr>
              <w:pStyle w:val="59"/>
              <w:ind w:firstLine="420"/>
              <w:rPr>
                <w:color w:val="000000" w:themeColor="text1"/>
                <w:sz w:val="21"/>
                <w:szCs w:val="21"/>
                <w14:textFill>
                  <w14:solidFill>
                    <w14:schemeClr w14:val="tx1"/>
                  </w14:solidFill>
                </w14:textFill>
              </w:rPr>
            </w:pPr>
          </w:p>
          <w:p w14:paraId="3A212D04">
            <w:pPr>
              <w:pStyle w:val="59"/>
              <w:ind w:firstLine="420"/>
              <w:rPr>
                <w:color w:val="000000" w:themeColor="text1"/>
                <w:sz w:val="21"/>
                <w:szCs w:val="21"/>
                <w14:textFill>
                  <w14:solidFill>
                    <w14:schemeClr w14:val="tx1"/>
                  </w14:solidFill>
                </w14:textFill>
              </w:rPr>
            </w:pPr>
          </w:p>
          <w:p w14:paraId="055EA090">
            <w:pPr>
              <w:pStyle w:val="59"/>
              <w:ind w:firstLine="420"/>
              <w:rPr>
                <w:color w:val="000000" w:themeColor="text1"/>
                <w:sz w:val="21"/>
                <w:szCs w:val="21"/>
                <w14:textFill>
                  <w14:solidFill>
                    <w14:schemeClr w14:val="tx1"/>
                  </w14:solidFill>
                </w14:textFill>
              </w:rPr>
            </w:pPr>
          </w:p>
          <w:p w14:paraId="2B48BFC4">
            <w:pPr>
              <w:pStyle w:val="59"/>
              <w:ind w:left="0" w:leftChars="0" w:firstLine="0" w:firstLineChars="0"/>
              <w:rPr>
                <w:color w:val="000000" w:themeColor="text1"/>
                <w:sz w:val="21"/>
                <w:szCs w:val="21"/>
                <w14:textFill>
                  <w14:solidFill>
                    <w14:schemeClr w14:val="tx1"/>
                  </w14:solidFill>
                </w14:textFill>
              </w:rPr>
            </w:pPr>
          </w:p>
        </w:tc>
      </w:tr>
    </w:tbl>
    <w:p w14:paraId="17CCFB84">
      <w:pPr>
        <w:ind w:firstLine="0" w:firstLineChars="0"/>
        <w:rPr>
          <w:rFonts w:ascii="宋体" w:cs="宋体"/>
          <w:b/>
          <w:color w:val="000000" w:themeColor="text1"/>
          <w:kern w:val="0"/>
          <w:sz w:val="28"/>
          <w:szCs w:val="28"/>
          <w14:textFill>
            <w14:solidFill>
              <w14:schemeClr w14:val="tx1"/>
            </w14:solidFill>
          </w14:textFill>
        </w:rPr>
        <w:sectPr>
          <w:pgSz w:w="11907" w:h="16840"/>
          <w:pgMar w:top="1797" w:right="1440" w:bottom="1797" w:left="1440" w:header="851" w:footer="1134" w:gutter="0"/>
          <w:pgBorders>
            <w:top w:val="none" w:sz="0" w:space="0"/>
            <w:left w:val="none" w:sz="0" w:space="0"/>
            <w:bottom w:val="none" w:sz="0" w:space="0"/>
            <w:right w:val="none" w:sz="0" w:space="0"/>
          </w:pgBorders>
          <w:cols w:space="0" w:num="1"/>
          <w:docGrid w:linePitch="312" w:charSpace="0"/>
        </w:sectPr>
      </w:pPr>
    </w:p>
    <w:p w14:paraId="2DD9AC61">
      <w:pPr>
        <w:pStyle w:val="56"/>
        <w:numPr>
          <w:ilvl w:val="0"/>
          <w:numId w:val="19"/>
        </w:numPr>
        <w:spacing w:before="120"/>
        <w:rPr>
          <w:color w:val="000000" w:themeColor="text1"/>
          <w14:textFill>
            <w14:solidFill>
              <w14:schemeClr w14:val="tx1"/>
            </w14:solidFill>
          </w14:textFill>
        </w:rPr>
      </w:pPr>
      <w:bookmarkStart w:id="31" w:name="_Hlk54167917"/>
      <w:bookmarkStart w:id="32" w:name="_Toc30685"/>
      <w:r>
        <w:rPr>
          <w:rFonts w:hint="eastAsia"/>
          <w:color w:val="000000" w:themeColor="text1"/>
          <w14:textFill>
            <w14:solidFill>
              <w14:schemeClr w14:val="tx1"/>
            </w14:solidFill>
          </w14:textFill>
        </w:rPr>
        <w:t>环境保护措施监督检查清单</w:t>
      </w:r>
      <w:bookmarkEnd w:id="31"/>
      <w:bookmarkEnd w:id="32"/>
    </w:p>
    <w:tbl>
      <w:tblPr>
        <w:tblStyle w:val="3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339"/>
        <w:gridCol w:w="1984"/>
        <w:gridCol w:w="1559"/>
        <w:gridCol w:w="2625"/>
      </w:tblGrid>
      <w:tr w14:paraId="5FF33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tcBorders>
              <w:tl2br w:val="single" w:color="auto" w:sz="4" w:space="0"/>
            </w:tcBorders>
            <w:vAlign w:val="center"/>
          </w:tcPr>
          <w:p w14:paraId="27802516">
            <w:pPr>
              <w:spacing w:line="240" w:lineRule="auto"/>
              <w:ind w:firstLine="632" w:firstLineChars="30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内容</w:t>
            </w:r>
          </w:p>
          <w:p w14:paraId="23A865AF">
            <w:pPr>
              <w:spacing w:line="240" w:lineRule="auto"/>
              <w:ind w:firstLine="0" w:firstLineChars="0"/>
              <w:jc w:val="center"/>
              <w:rPr>
                <w:b/>
                <w:bCs/>
                <w:color w:val="000000" w:themeColor="text1"/>
                <w:sz w:val="21"/>
                <w:szCs w:val="21"/>
                <w14:textFill>
                  <w14:solidFill>
                    <w14:schemeClr w14:val="tx1"/>
                  </w14:solidFill>
                </w14:textFill>
              </w:rPr>
            </w:pPr>
          </w:p>
          <w:p w14:paraId="0D8D910A">
            <w:pPr>
              <w:spacing w:line="240" w:lineRule="auto"/>
              <w:ind w:firstLine="0" w:firstLineChars="0"/>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要素</w:t>
            </w:r>
          </w:p>
        </w:tc>
        <w:tc>
          <w:tcPr>
            <w:tcW w:w="1255" w:type="dxa"/>
            <w:vAlign w:val="center"/>
          </w:tcPr>
          <w:p w14:paraId="0B01E9B4">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排放口(编号、名称)/污染源</w:t>
            </w:r>
          </w:p>
        </w:tc>
        <w:tc>
          <w:tcPr>
            <w:tcW w:w="1984" w:type="dxa"/>
            <w:vAlign w:val="center"/>
          </w:tcPr>
          <w:p w14:paraId="636F534A">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污染物项目</w:t>
            </w:r>
          </w:p>
        </w:tc>
        <w:tc>
          <w:tcPr>
            <w:tcW w:w="1559" w:type="dxa"/>
            <w:vAlign w:val="center"/>
          </w:tcPr>
          <w:p w14:paraId="40DB20DD">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环境保护措施</w:t>
            </w:r>
          </w:p>
        </w:tc>
        <w:tc>
          <w:tcPr>
            <w:tcW w:w="2585" w:type="dxa"/>
            <w:vAlign w:val="center"/>
          </w:tcPr>
          <w:p w14:paraId="3188961A">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执行标准</w:t>
            </w:r>
          </w:p>
        </w:tc>
      </w:tr>
      <w:tr w14:paraId="06A6F3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38" w:type="dxa"/>
            <w:vMerge w:val="restart"/>
            <w:vAlign w:val="center"/>
          </w:tcPr>
          <w:p w14:paraId="10D672F4">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大气环境</w:t>
            </w:r>
          </w:p>
        </w:tc>
        <w:tc>
          <w:tcPr>
            <w:tcW w:w="1255" w:type="dxa"/>
            <w:vMerge w:val="restart"/>
            <w:vAlign w:val="center"/>
          </w:tcPr>
          <w:p w14:paraId="0E04BEC1">
            <w:pPr>
              <w:spacing w:line="240" w:lineRule="auto"/>
              <w:ind w:firstLine="0" w:firstLineChars="0"/>
              <w:jc w:val="center"/>
              <w:rPr>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val="en-US" w:eastAsia="zh-CN"/>
                <w14:textFill>
                  <w14:solidFill>
                    <w14:schemeClr w14:val="tx1"/>
                  </w14:solidFill>
                </w14:textFill>
              </w:rPr>
              <w:t>搅浆废气、注浆、成型废气及打磨废气</w:t>
            </w:r>
            <w:r>
              <w:rPr>
                <w:rFonts w:hint="eastAsia" w:ascii="Times New Roman" w:hAnsi="Times New Roman" w:cs="Times New Roman"/>
                <w:bCs/>
                <w:color w:val="000000" w:themeColor="text1"/>
                <w:sz w:val="21"/>
                <w:szCs w:val="21"/>
                <w:lang w:val="en-US" w:eastAsia="zh-CN"/>
                <w14:textFill>
                  <w14:solidFill>
                    <w14:schemeClr w14:val="tx1"/>
                  </w14:solidFill>
                </w14:textFill>
              </w:rPr>
              <w:t>（DA001）</w:t>
            </w:r>
          </w:p>
        </w:tc>
        <w:tc>
          <w:tcPr>
            <w:tcW w:w="1984" w:type="dxa"/>
            <w:vAlign w:val="center"/>
          </w:tcPr>
          <w:p w14:paraId="6B7F3C27">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颗粒物</w:t>
            </w:r>
          </w:p>
        </w:tc>
        <w:tc>
          <w:tcPr>
            <w:tcW w:w="1559" w:type="dxa"/>
            <w:vAlign w:val="center"/>
          </w:tcPr>
          <w:p w14:paraId="0B339F34">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集气罩收集+1套“布袋除尘”</w:t>
            </w:r>
          </w:p>
        </w:tc>
        <w:tc>
          <w:tcPr>
            <w:tcW w:w="2585" w:type="dxa"/>
            <w:vAlign w:val="center"/>
          </w:tcPr>
          <w:p w14:paraId="566F4B41">
            <w:pPr>
              <w:spacing w:line="240" w:lineRule="auto"/>
              <w:ind w:firstLine="0" w:firstLineChars="0"/>
              <w:jc w:val="center"/>
              <w:rPr>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bidi="ar"/>
                <w14:textFill>
                  <w14:solidFill>
                    <w14:schemeClr w14:val="tx1"/>
                  </w14:solidFill>
                </w14:textFill>
              </w:rPr>
              <w:t>《合成树脂工业污染物排放标准》（</w:t>
            </w:r>
            <w:r>
              <w:rPr>
                <w:rFonts w:ascii="Times New Roman" w:hAnsi="Times New Roman" w:eastAsia="宋体" w:cs="Times New Roman"/>
                <w:color w:val="000000" w:themeColor="text1"/>
                <w:sz w:val="21"/>
                <w:szCs w:val="21"/>
                <w:lang w:bidi="ar"/>
                <w14:textFill>
                  <w14:solidFill>
                    <w14:schemeClr w14:val="tx1"/>
                  </w14:solidFill>
                </w14:textFill>
              </w:rPr>
              <w:t>GB</w:t>
            </w:r>
            <w:r>
              <w:rPr>
                <w:rFonts w:hint="eastAsia" w:ascii="Times New Roman" w:hAnsi="Times New Roman" w:eastAsia="宋体" w:cs="Times New Roman"/>
                <w:color w:val="000000" w:themeColor="text1"/>
                <w:sz w:val="21"/>
                <w:szCs w:val="21"/>
                <w:lang w:bidi="ar"/>
                <w14:textFill>
                  <w14:solidFill>
                    <w14:schemeClr w14:val="tx1"/>
                  </w14:solidFill>
                </w14:textFill>
              </w:rPr>
              <w:t>31572</w:t>
            </w:r>
            <w:r>
              <w:rPr>
                <w:rFonts w:ascii="Times New Roman" w:hAnsi="Times New Roman" w:eastAsia="宋体" w:cs="Times New Roman"/>
                <w:color w:val="000000" w:themeColor="text1"/>
                <w:sz w:val="21"/>
                <w:szCs w:val="21"/>
                <w:lang w:bidi="ar"/>
                <w14:textFill>
                  <w14:solidFill>
                    <w14:schemeClr w14:val="tx1"/>
                  </w14:solidFill>
                </w14:textFill>
              </w:rPr>
              <w:t>-201</w:t>
            </w:r>
            <w:r>
              <w:rPr>
                <w:rFonts w:hint="eastAsia" w:ascii="Times New Roman" w:hAnsi="Times New Roman" w:eastAsia="宋体" w:cs="Times New Roman"/>
                <w:color w:val="000000" w:themeColor="text1"/>
                <w:sz w:val="21"/>
                <w:szCs w:val="21"/>
                <w:lang w:bidi="ar"/>
                <w14:textFill>
                  <w14:solidFill>
                    <w14:schemeClr w14:val="tx1"/>
                  </w14:solidFill>
                </w14:textFill>
              </w:rPr>
              <w:t>5</w:t>
            </w:r>
            <w:r>
              <w:rPr>
                <w:rFonts w:hint="eastAsia" w:ascii="Times New Roman" w:hAnsi="Times New Roman" w:eastAsia="宋体" w:cs="Times New Roman"/>
                <w:color w:val="000000" w:themeColor="text1"/>
                <w:sz w:val="21"/>
                <w:szCs w:val="21"/>
                <w:lang w:eastAsia="zh-CN" w:bidi="ar"/>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bidi="ar"/>
                <w14:textFill>
                  <w14:solidFill>
                    <w14:schemeClr w14:val="tx1"/>
                  </w14:solidFill>
                </w14:textFill>
              </w:rPr>
              <w:t>含2024年修改单</w:t>
            </w:r>
            <w:r>
              <w:rPr>
                <w:rFonts w:hint="eastAsia" w:ascii="Times New Roman" w:hAnsi="Times New Roman" w:eastAsia="宋体" w:cs="Times New Roman"/>
                <w:color w:val="000000" w:themeColor="text1"/>
                <w:sz w:val="21"/>
                <w:szCs w:val="21"/>
                <w:lang w:bidi="ar"/>
                <w14:textFill>
                  <w14:solidFill>
                    <w14:schemeClr w14:val="tx1"/>
                  </w14:solidFill>
                </w14:textFill>
              </w:rPr>
              <w:t>）</w:t>
            </w:r>
            <w:r>
              <w:rPr>
                <w:bCs/>
                <w:color w:val="000000" w:themeColor="text1"/>
                <w:sz w:val="21"/>
                <w:szCs w:val="21"/>
                <w14:textFill>
                  <w14:solidFill>
                    <w14:schemeClr w14:val="tx1"/>
                  </w14:solidFill>
                </w14:textFill>
              </w:rPr>
              <w:t>表</w:t>
            </w:r>
            <w:r>
              <w:rPr>
                <w:rFonts w:hint="eastAsia"/>
                <w:bCs/>
                <w:color w:val="000000" w:themeColor="text1"/>
                <w:sz w:val="21"/>
                <w:szCs w:val="21"/>
                <w:lang w:val="en-US" w:eastAsia="zh-CN"/>
                <w14:textFill>
                  <w14:solidFill>
                    <w14:schemeClr w14:val="tx1"/>
                  </w14:solidFill>
                </w14:textFill>
              </w:rPr>
              <w:t>4</w:t>
            </w:r>
            <w:r>
              <w:rPr>
                <w:rFonts w:hint="eastAsia"/>
                <w:bCs/>
                <w:color w:val="000000" w:themeColor="text1"/>
                <w:sz w:val="21"/>
                <w:szCs w:val="21"/>
                <w14:textFill>
                  <w14:solidFill>
                    <w14:schemeClr w14:val="tx1"/>
                  </w14:solidFill>
                </w14:textFill>
              </w:rPr>
              <w:t>标准</w:t>
            </w:r>
          </w:p>
        </w:tc>
      </w:tr>
      <w:tr w14:paraId="580AFE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538" w:type="dxa"/>
            <w:vMerge w:val="continue"/>
            <w:vAlign w:val="center"/>
          </w:tcPr>
          <w:p w14:paraId="4DE1DF3F">
            <w:pPr>
              <w:spacing w:line="240" w:lineRule="auto"/>
              <w:ind w:firstLine="480" w:firstLineChars="0"/>
              <w:jc w:val="center"/>
              <w:rPr>
                <w:color w:val="000000" w:themeColor="text1"/>
                <w:sz w:val="21"/>
                <w:szCs w:val="21"/>
                <w14:textFill>
                  <w14:solidFill>
                    <w14:schemeClr w14:val="tx1"/>
                  </w14:solidFill>
                </w14:textFill>
              </w:rPr>
            </w:pPr>
          </w:p>
        </w:tc>
        <w:tc>
          <w:tcPr>
            <w:tcW w:w="1255" w:type="dxa"/>
            <w:vMerge w:val="continue"/>
            <w:vAlign w:val="center"/>
          </w:tcPr>
          <w:p w14:paraId="6D3E4D33">
            <w:pPr>
              <w:spacing w:line="240" w:lineRule="auto"/>
              <w:ind w:firstLine="480" w:firstLineChars="0"/>
              <w:jc w:val="center"/>
              <w:rPr>
                <w:color w:val="000000" w:themeColor="text1"/>
                <w:sz w:val="21"/>
                <w:szCs w:val="21"/>
                <w14:textFill>
                  <w14:solidFill>
                    <w14:schemeClr w14:val="tx1"/>
                  </w14:solidFill>
                </w14:textFill>
              </w:rPr>
            </w:pPr>
          </w:p>
        </w:tc>
        <w:tc>
          <w:tcPr>
            <w:tcW w:w="1984" w:type="dxa"/>
            <w:vAlign w:val="center"/>
          </w:tcPr>
          <w:p w14:paraId="36FB00C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苯乙烯、TVOC</w:t>
            </w:r>
          </w:p>
        </w:tc>
        <w:tc>
          <w:tcPr>
            <w:tcW w:w="1559" w:type="dxa"/>
            <w:vMerge w:val="restart"/>
            <w:vAlign w:val="center"/>
          </w:tcPr>
          <w:p w14:paraId="5658BEA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集气罩收集+1套“二级活性炭吸附”</w:t>
            </w:r>
          </w:p>
        </w:tc>
        <w:tc>
          <w:tcPr>
            <w:tcW w:w="2585" w:type="dxa"/>
            <w:vAlign w:val="center"/>
          </w:tcPr>
          <w:p w14:paraId="25981FDC">
            <w:pPr>
              <w:spacing w:line="240" w:lineRule="auto"/>
              <w:ind w:firstLine="0" w:firstLineChars="0"/>
              <w:jc w:val="center"/>
              <w:rPr>
                <w:rFonts w:eastAsia="宋体"/>
                <w:color w:val="000000" w:themeColor="text1"/>
                <w:sz w:val="21"/>
                <w:szCs w:val="21"/>
                <w:lang w:val="zh-CN"/>
                <w14:textFill>
                  <w14:solidFill>
                    <w14:schemeClr w14:val="tx1"/>
                  </w14:solidFill>
                </w14:textFill>
              </w:rPr>
            </w:pPr>
            <w:r>
              <w:rPr>
                <w:rFonts w:hint="eastAsia" w:eastAsia="宋体"/>
                <w:color w:val="000000" w:themeColor="text1"/>
                <w:sz w:val="21"/>
                <w:szCs w:val="21"/>
                <w:lang w:val="zh-CN"/>
                <w14:textFill>
                  <w14:solidFill>
                    <w14:schemeClr w14:val="tx1"/>
                  </w14:solidFill>
                </w14:textFill>
              </w:rPr>
              <w:t>《挥发性有机物排放标准第4部分：塑料制品业》（DB36/1101.4-2019）表1</w:t>
            </w:r>
            <w:r>
              <w:rPr>
                <w:rFonts w:hint="eastAsia" w:eastAsia="宋体"/>
                <w:color w:val="000000" w:themeColor="text1"/>
                <w:sz w:val="21"/>
                <w:szCs w:val="21"/>
                <w:lang w:val="en-US" w:eastAsia="zh-CN"/>
                <w14:textFill>
                  <w14:solidFill>
                    <w14:schemeClr w14:val="tx1"/>
                  </w14:solidFill>
                </w14:textFill>
              </w:rPr>
              <w:t>标准</w:t>
            </w:r>
          </w:p>
        </w:tc>
      </w:tr>
      <w:tr w14:paraId="13944A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38" w:type="dxa"/>
            <w:vMerge w:val="continue"/>
            <w:vAlign w:val="center"/>
          </w:tcPr>
          <w:p w14:paraId="2C02158F">
            <w:pPr>
              <w:spacing w:line="240" w:lineRule="auto"/>
              <w:ind w:firstLine="480" w:firstLineChars="0"/>
              <w:jc w:val="center"/>
              <w:rPr>
                <w:color w:val="000000" w:themeColor="text1"/>
                <w:sz w:val="21"/>
                <w:szCs w:val="21"/>
                <w14:textFill>
                  <w14:solidFill>
                    <w14:schemeClr w14:val="tx1"/>
                  </w14:solidFill>
                </w14:textFill>
              </w:rPr>
            </w:pPr>
          </w:p>
        </w:tc>
        <w:tc>
          <w:tcPr>
            <w:tcW w:w="1255" w:type="dxa"/>
            <w:vMerge w:val="continue"/>
            <w:vAlign w:val="center"/>
          </w:tcPr>
          <w:p w14:paraId="6701E8A3">
            <w:pPr>
              <w:spacing w:line="240" w:lineRule="auto"/>
              <w:ind w:firstLine="480" w:firstLineChars="0"/>
              <w:jc w:val="center"/>
              <w:rPr>
                <w:color w:val="000000" w:themeColor="text1"/>
                <w:sz w:val="21"/>
                <w:szCs w:val="21"/>
                <w14:textFill>
                  <w14:solidFill>
                    <w14:schemeClr w14:val="tx1"/>
                  </w14:solidFill>
                </w14:textFill>
              </w:rPr>
            </w:pPr>
          </w:p>
        </w:tc>
        <w:tc>
          <w:tcPr>
            <w:tcW w:w="1984" w:type="dxa"/>
            <w:vAlign w:val="center"/>
          </w:tcPr>
          <w:p w14:paraId="635AA1B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臭气浓度</w:t>
            </w:r>
          </w:p>
        </w:tc>
        <w:tc>
          <w:tcPr>
            <w:tcW w:w="1559" w:type="dxa"/>
            <w:vMerge w:val="continue"/>
            <w:vAlign w:val="center"/>
          </w:tcPr>
          <w:p w14:paraId="26F9F724">
            <w:pPr>
              <w:spacing w:line="240" w:lineRule="auto"/>
              <w:ind w:firstLine="0" w:firstLineChars="0"/>
              <w:jc w:val="center"/>
              <w:rPr>
                <w:color w:val="000000" w:themeColor="text1"/>
                <w:sz w:val="21"/>
                <w:szCs w:val="21"/>
                <w14:textFill>
                  <w14:solidFill>
                    <w14:schemeClr w14:val="tx1"/>
                  </w14:solidFill>
                </w14:textFill>
              </w:rPr>
            </w:pPr>
          </w:p>
        </w:tc>
        <w:tc>
          <w:tcPr>
            <w:tcW w:w="2585" w:type="dxa"/>
            <w:vAlign w:val="center"/>
          </w:tcPr>
          <w:p w14:paraId="5E8AF2DF">
            <w:pPr>
              <w:spacing w:line="240" w:lineRule="auto"/>
              <w:ind w:firstLine="0" w:firstLineChars="0"/>
              <w:jc w:val="center"/>
              <w:rPr>
                <w:rFonts w:eastAsia="宋体"/>
                <w:color w:val="000000" w:themeColor="text1"/>
                <w:sz w:val="21"/>
                <w:szCs w:val="21"/>
                <w:lang w:val="zh-CN"/>
                <w14:textFill>
                  <w14:solidFill>
                    <w14:schemeClr w14:val="tx1"/>
                  </w14:solidFill>
                </w14:textFill>
              </w:rPr>
            </w:pPr>
            <w:r>
              <w:rPr>
                <w:rFonts w:hint="eastAsia" w:eastAsia="宋体"/>
                <w:color w:val="000000" w:themeColor="text1"/>
                <w:sz w:val="21"/>
                <w:szCs w:val="21"/>
                <w:lang w:val="zh-CN"/>
                <w14:textFill>
                  <w14:solidFill>
                    <w14:schemeClr w14:val="tx1"/>
                  </w14:solidFill>
                </w14:textFill>
              </w:rPr>
              <w:t>《恶臭污染物排放标准》（GB 14554-93）表</w:t>
            </w:r>
            <w:r>
              <w:rPr>
                <w:rFonts w:hint="eastAsia" w:eastAsia="宋体"/>
                <w:color w:val="000000" w:themeColor="text1"/>
                <w:sz w:val="21"/>
                <w:szCs w:val="21"/>
                <w:lang w:val="en-US" w:eastAsia="zh-CN"/>
                <w14:textFill>
                  <w14:solidFill>
                    <w14:schemeClr w14:val="tx1"/>
                  </w14:solidFill>
                </w14:textFill>
              </w:rPr>
              <w:t>2</w:t>
            </w:r>
            <w:r>
              <w:rPr>
                <w:rFonts w:hint="eastAsia" w:eastAsia="宋体"/>
                <w:color w:val="000000" w:themeColor="text1"/>
                <w:sz w:val="21"/>
                <w:szCs w:val="21"/>
                <w:lang w:val="zh-CN"/>
                <w14:textFill>
                  <w14:solidFill>
                    <w14:schemeClr w14:val="tx1"/>
                  </w14:solidFill>
                </w14:textFill>
              </w:rPr>
              <w:t>标准</w:t>
            </w:r>
          </w:p>
        </w:tc>
      </w:tr>
      <w:tr w14:paraId="0BE6D8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38" w:type="dxa"/>
            <w:vMerge w:val="continue"/>
            <w:vAlign w:val="center"/>
          </w:tcPr>
          <w:p w14:paraId="3AEF63AA">
            <w:pPr>
              <w:spacing w:line="240" w:lineRule="auto"/>
              <w:ind w:firstLine="480" w:firstLineChars="0"/>
              <w:jc w:val="center"/>
              <w:rPr>
                <w:color w:val="000000" w:themeColor="text1"/>
                <w:sz w:val="21"/>
                <w:szCs w:val="21"/>
                <w14:textFill>
                  <w14:solidFill>
                    <w14:schemeClr w14:val="tx1"/>
                  </w14:solidFill>
                </w14:textFill>
              </w:rPr>
            </w:pPr>
            <w:bookmarkStart w:id="33" w:name="_Hlk206514778"/>
          </w:p>
        </w:tc>
        <w:tc>
          <w:tcPr>
            <w:tcW w:w="1255" w:type="dxa"/>
            <w:vMerge w:val="restart"/>
            <w:vAlign w:val="center"/>
          </w:tcPr>
          <w:p w14:paraId="0CCF4222">
            <w:pPr>
              <w:spacing w:line="240" w:lineRule="auto"/>
              <w:ind w:left="0" w:leftChars="0" w:firstLine="0" w:firstLineChars="0"/>
              <w:jc w:val="both"/>
              <w:rPr>
                <w:color w:val="000000" w:themeColor="text1"/>
                <w:sz w:val="21"/>
                <w:szCs w:val="21"/>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调漆废气、喷漆、流平、晾干废气、彩绘、晾干废气及喷枪清洗废气</w:t>
            </w:r>
            <w:r>
              <w:rPr>
                <w:rFonts w:hint="eastAsia" w:cs="Times New Roman"/>
                <w:bCs/>
                <w:color w:val="000000" w:themeColor="text1"/>
                <w:sz w:val="21"/>
                <w:szCs w:val="21"/>
                <w:lang w:val="en-US" w:eastAsia="zh-CN"/>
                <w14:textFill>
                  <w14:solidFill>
                    <w14:schemeClr w14:val="tx1"/>
                  </w14:solidFill>
                </w14:textFill>
              </w:rPr>
              <w:t>（DA002）</w:t>
            </w:r>
          </w:p>
        </w:tc>
        <w:tc>
          <w:tcPr>
            <w:tcW w:w="1984" w:type="dxa"/>
            <w:vAlign w:val="center"/>
          </w:tcPr>
          <w:p w14:paraId="66BB565B">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颗粒物</w:t>
            </w:r>
          </w:p>
        </w:tc>
        <w:tc>
          <w:tcPr>
            <w:tcW w:w="1559" w:type="dxa"/>
            <w:vMerge w:val="restart"/>
            <w:vAlign w:val="center"/>
          </w:tcPr>
          <w:p w14:paraId="3BECD1AD">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密闭空间负压收集+1套“过滤棉+二级活性炭吸附”</w:t>
            </w:r>
          </w:p>
        </w:tc>
        <w:tc>
          <w:tcPr>
            <w:tcW w:w="2585" w:type="dxa"/>
            <w:vAlign w:val="center"/>
          </w:tcPr>
          <w:p w14:paraId="0734B3EA">
            <w:pPr>
              <w:spacing w:line="240" w:lineRule="auto"/>
              <w:ind w:firstLine="0" w:firstLineChars="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《大气污染物综合排放标准》（GB16297-1996）表2中二级排放标准</w:t>
            </w:r>
          </w:p>
        </w:tc>
      </w:tr>
      <w:bookmarkEnd w:id="33"/>
      <w:tr w14:paraId="7F12F7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38" w:type="dxa"/>
            <w:vMerge w:val="continue"/>
            <w:vAlign w:val="center"/>
          </w:tcPr>
          <w:p w14:paraId="3201CFBC">
            <w:pPr>
              <w:spacing w:line="240" w:lineRule="auto"/>
              <w:ind w:firstLine="480" w:firstLineChars="0"/>
              <w:jc w:val="center"/>
              <w:rPr>
                <w:color w:val="000000" w:themeColor="text1"/>
                <w:sz w:val="21"/>
                <w14:textFill>
                  <w14:solidFill>
                    <w14:schemeClr w14:val="tx1"/>
                  </w14:solidFill>
                </w14:textFill>
              </w:rPr>
            </w:pPr>
          </w:p>
        </w:tc>
        <w:tc>
          <w:tcPr>
            <w:tcW w:w="1255" w:type="dxa"/>
            <w:vMerge w:val="continue"/>
            <w:vAlign w:val="center"/>
          </w:tcPr>
          <w:p w14:paraId="0A8B2EA6">
            <w:pPr>
              <w:spacing w:line="240" w:lineRule="auto"/>
              <w:ind w:firstLine="480" w:firstLineChars="0"/>
              <w:jc w:val="center"/>
              <w:rPr>
                <w:color w:val="000000" w:themeColor="text1"/>
                <w:sz w:val="21"/>
                <w14:textFill>
                  <w14:solidFill>
                    <w14:schemeClr w14:val="tx1"/>
                  </w14:solidFill>
                </w14:textFill>
              </w:rPr>
            </w:pPr>
          </w:p>
        </w:tc>
        <w:tc>
          <w:tcPr>
            <w:tcW w:w="1984" w:type="dxa"/>
            <w:vAlign w:val="center"/>
          </w:tcPr>
          <w:p w14:paraId="67EE57A9">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二甲苯、TVOC</w:t>
            </w:r>
          </w:p>
        </w:tc>
        <w:tc>
          <w:tcPr>
            <w:tcW w:w="1559" w:type="dxa"/>
            <w:vMerge w:val="continue"/>
            <w:vAlign w:val="center"/>
          </w:tcPr>
          <w:p w14:paraId="3DA5D4E6">
            <w:pPr>
              <w:spacing w:line="240" w:lineRule="auto"/>
              <w:ind w:firstLine="480" w:firstLineChars="0"/>
              <w:jc w:val="center"/>
              <w:rPr>
                <w:color w:val="000000" w:themeColor="text1"/>
                <w:sz w:val="21"/>
                <w:szCs w:val="21"/>
                <w14:textFill>
                  <w14:solidFill>
                    <w14:schemeClr w14:val="tx1"/>
                  </w14:solidFill>
                </w14:textFill>
              </w:rPr>
            </w:pPr>
          </w:p>
        </w:tc>
        <w:tc>
          <w:tcPr>
            <w:tcW w:w="2585" w:type="dxa"/>
            <w:vAlign w:val="center"/>
          </w:tcPr>
          <w:p w14:paraId="1DE5419D">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江西省地方标准《挥发性有机物综合排放控制标准（试行）》（DB36/2186-2025）表1（二甲苯执行苯系物标准）</w:t>
            </w:r>
          </w:p>
        </w:tc>
      </w:tr>
      <w:tr w14:paraId="5852E9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38" w:type="dxa"/>
            <w:vMerge w:val="continue"/>
            <w:vAlign w:val="center"/>
          </w:tcPr>
          <w:p w14:paraId="20D86D6E">
            <w:pPr>
              <w:spacing w:line="240" w:lineRule="auto"/>
              <w:ind w:firstLine="480" w:firstLineChars="0"/>
              <w:jc w:val="center"/>
              <w:rPr>
                <w:color w:val="000000" w:themeColor="text1"/>
                <w:sz w:val="21"/>
                <w14:textFill>
                  <w14:solidFill>
                    <w14:schemeClr w14:val="tx1"/>
                  </w14:solidFill>
                </w14:textFill>
              </w:rPr>
            </w:pPr>
          </w:p>
        </w:tc>
        <w:tc>
          <w:tcPr>
            <w:tcW w:w="1255" w:type="dxa"/>
            <w:vMerge w:val="continue"/>
            <w:vAlign w:val="center"/>
          </w:tcPr>
          <w:p w14:paraId="7256C2A5">
            <w:pPr>
              <w:spacing w:line="240" w:lineRule="auto"/>
              <w:ind w:firstLine="480" w:firstLineChars="0"/>
              <w:jc w:val="center"/>
              <w:rPr>
                <w:color w:val="000000" w:themeColor="text1"/>
                <w:sz w:val="21"/>
                <w14:textFill>
                  <w14:solidFill>
                    <w14:schemeClr w14:val="tx1"/>
                  </w14:solidFill>
                </w14:textFill>
              </w:rPr>
            </w:pPr>
          </w:p>
        </w:tc>
        <w:tc>
          <w:tcPr>
            <w:tcW w:w="1984" w:type="dxa"/>
            <w:vAlign w:val="center"/>
          </w:tcPr>
          <w:p w14:paraId="058FE57F">
            <w:pPr>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臭气浓度</w:t>
            </w:r>
          </w:p>
        </w:tc>
        <w:tc>
          <w:tcPr>
            <w:tcW w:w="1559" w:type="dxa"/>
            <w:vMerge w:val="continue"/>
            <w:vAlign w:val="center"/>
          </w:tcPr>
          <w:p w14:paraId="0394D4BE">
            <w:pPr>
              <w:spacing w:line="240" w:lineRule="auto"/>
              <w:ind w:firstLine="480" w:firstLineChars="0"/>
              <w:jc w:val="center"/>
              <w:rPr>
                <w:color w:val="000000" w:themeColor="text1"/>
                <w:sz w:val="21"/>
                <w:szCs w:val="21"/>
                <w14:textFill>
                  <w14:solidFill>
                    <w14:schemeClr w14:val="tx1"/>
                  </w14:solidFill>
                </w14:textFill>
              </w:rPr>
            </w:pPr>
          </w:p>
        </w:tc>
        <w:tc>
          <w:tcPr>
            <w:tcW w:w="2585" w:type="dxa"/>
            <w:vAlign w:val="center"/>
          </w:tcPr>
          <w:p w14:paraId="2A7AFE1B">
            <w:pPr>
              <w:adjustRightInd/>
              <w:spacing w:line="240" w:lineRule="auto"/>
              <w:ind w:left="-120" w:leftChars="-50" w:right="-120" w:rightChars="-50" w:firstLine="0" w:firstLineChars="0"/>
              <w:jc w:val="center"/>
              <w:rPr>
                <w:bCs/>
                <w:color w:val="000000" w:themeColor="text1"/>
                <w:sz w:val="21"/>
                <w:szCs w:val="21"/>
                <w14:textFill>
                  <w14:solidFill>
                    <w14:schemeClr w14:val="tx1"/>
                  </w14:solidFill>
                </w14:textFill>
              </w:rPr>
            </w:pPr>
            <w:r>
              <w:rPr>
                <w:rFonts w:hint="eastAsia" w:eastAsia="宋体"/>
                <w:color w:val="000000" w:themeColor="text1"/>
                <w:sz w:val="21"/>
                <w:szCs w:val="21"/>
                <w:lang w:val="zh-CN"/>
                <w14:textFill>
                  <w14:solidFill>
                    <w14:schemeClr w14:val="tx1"/>
                  </w14:solidFill>
                </w14:textFill>
              </w:rPr>
              <w:t>《恶臭污染物排放标准》（GB 14554-93）表</w:t>
            </w:r>
            <w:r>
              <w:rPr>
                <w:rFonts w:hint="eastAsia" w:eastAsia="宋体"/>
                <w:color w:val="000000" w:themeColor="text1"/>
                <w:sz w:val="21"/>
                <w:szCs w:val="21"/>
                <w:lang w:val="en-US" w:eastAsia="zh-CN"/>
                <w14:textFill>
                  <w14:solidFill>
                    <w14:schemeClr w14:val="tx1"/>
                  </w14:solidFill>
                </w14:textFill>
              </w:rPr>
              <w:t>2</w:t>
            </w:r>
            <w:r>
              <w:rPr>
                <w:rFonts w:hint="eastAsia" w:eastAsia="宋体"/>
                <w:color w:val="000000" w:themeColor="text1"/>
                <w:sz w:val="21"/>
                <w:szCs w:val="21"/>
                <w:lang w:val="zh-CN"/>
                <w14:textFill>
                  <w14:solidFill>
                    <w14:schemeClr w14:val="tx1"/>
                  </w14:solidFill>
                </w14:textFill>
              </w:rPr>
              <w:t>标准</w:t>
            </w:r>
          </w:p>
        </w:tc>
      </w:tr>
      <w:tr w14:paraId="1110DD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538" w:type="dxa"/>
            <w:vMerge w:val="continue"/>
            <w:vAlign w:val="center"/>
          </w:tcPr>
          <w:p w14:paraId="677FE321">
            <w:pPr>
              <w:spacing w:line="240" w:lineRule="auto"/>
              <w:ind w:firstLine="480" w:firstLineChars="0"/>
              <w:jc w:val="center"/>
              <w:rPr>
                <w:color w:val="000000" w:themeColor="text1"/>
                <w:sz w:val="21"/>
                <w:szCs w:val="21"/>
                <w14:textFill>
                  <w14:solidFill>
                    <w14:schemeClr w14:val="tx1"/>
                  </w14:solidFill>
                </w14:textFill>
              </w:rPr>
            </w:pPr>
          </w:p>
        </w:tc>
        <w:tc>
          <w:tcPr>
            <w:tcW w:w="1255" w:type="dxa"/>
            <w:vMerge w:val="restart"/>
            <w:vAlign w:val="center"/>
          </w:tcPr>
          <w:p w14:paraId="4DEB191E">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厂界</w:t>
            </w:r>
          </w:p>
        </w:tc>
        <w:tc>
          <w:tcPr>
            <w:tcW w:w="1984" w:type="dxa"/>
            <w:vAlign w:val="center"/>
          </w:tcPr>
          <w:p w14:paraId="4F2F6F9C">
            <w:pPr>
              <w:spacing w:line="240" w:lineRule="auto"/>
              <w:ind w:firstLine="0" w:firstLineChars="0"/>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颗粒物</w:t>
            </w:r>
          </w:p>
        </w:tc>
        <w:tc>
          <w:tcPr>
            <w:tcW w:w="1559" w:type="dxa"/>
            <w:vMerge w:val="restart"/>
            <w:vAlign w:val="center"/>
          </w:tcPr>
          <w:p w14:paraId="69D99A19">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加强通风</w:t>
            </w:r>
          </w:p>
        </w:tc>
        <w:tc>
          <w:tcPr>
            <w:tcW w:w="2585" w:type="dxa"/>
            <w:vAlign w:val="center"/>
          </w:tcPr>
          <w:p w14:paraId="5BF99689">
            <w:pPr>
              <w:spacing w:line="240" w:lineRule="auto"/>
              <w:ind w:firstLine="0" w:firstLineChars="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《大气污染物综合排放标准》（GB16297-1996）表2</w:t>
            </w:r>
          </w:p>
        </w:tc>
      </w:tr>
      <w:tr w14:paraId="3F5B22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538" w:type="dxa"/>
            <w:vMerge w:val="continue"/>
            <w:vAlign w:val="center"/>
          </w:tcPr>
          <w:p w14:paraId="5C3A3A2E">
            <w:pPr>
              <w:spacing w:line="240" w:lineRule="auto"/>
              <w:ind w:firstLine="480" w:firstLineChars="0"/>
              <w:jc w:val="center"/>
              <w:rPr>
                <w:color w:val="000000" w:themeColor="text1"/>
                <w:sz w:val="21"/>
                <w:szCs w:val="21"/>
                <w14:textFill>
                  <w14:solidFill>
                    <w14:schemeClr w14:val="tx1"/>
                  </w14:solidFill>
                </w14:textFill>
              </w:rPr>
            </w:pPr>
          </w:p>
        </w:tc>
        <w:tc>
          <w:tcPr>
            <w:tcW w:w="1255" w:type="dxa"/>
            <w:vMerge w:val="continue"/>
            <w:vAlign w:val="center"/>
          </w:tcPr>
          <w:p w14:paraId="61A79EF3">
            <w:pPr>
              <w:spacing w:line="240" w:lineRule="auto"/>
              <w:ind w:firstLine="0" w:firstLineChars="0"/>
              <w:jc w:val="center"/>
              <w:rPr>
                <w:rFonts w:hint="eastAsia"/>
                <w:color w:val="000000" w:themeColor="text1"/>
                <w:sz w:val="21"/>
                <w:szCs w:val="21"/>
                <w14:textFill>
                  <w14:solidFill>
                    <w14:schemeClr w14:val="tx1"/>
                  </w14:solidFill>
                </w14:textFill>
              </w:rPr>
            </w:pPr>
          </w:p>
        </w:tc>
        <w:tc>
          <w:tcPr>
            <w:tcW w:w="1984" w:type="dxa"/>
            <w:vAlign w:val="center"/>
          </w:tcPr>
          <w:p w14:paraId="12CF4AD6">
            <w:pPr>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二甲苯</w:t>
            </w:r>
          </w:p>
        </w:tc>
        <w:tc>
          <w:tcPr>
            <w:tcW w:w="1559" w:type="dxa"/>
            <w:vMerge w:val="continue"/>
            <w:vAlign w:val="center"/>
          </w:tcPr>
          <w:p w14:paraId="555731BC">
            <w:pPr>
              <w:spacing w:line="240" w:lineRule="auto"/>
              <w:ind w:firstLine="0" w:firstLineChars="0"/>
              <w:jc w:val="center"/>
              <w:rPr>
                <w:rFonts w:hint="eastAsia"/>
                <w:color w:val="000000" w:themeColor="text1"/>
                <w:sz w:val="21"/>
                <w:szCs w:val="21"/>
                <w14:textFill>
                  <w14:solidFill>
                    <w14:schemeClr w14:val="tx1"/>
                  </w14:solidFill>
                </w14:textFill>
              </w:rPr>
            </w:pPr>
          </w:p>
        </w:tc>
        <w:tc>
          <w:tcPr>
            <w:tcW w:w="2585" w:type="dxa"/>
            <w:vAlign w:val="center"/>
          </w:tcPr>
          <w:p w14:paraId="0978FFAF">
            <w:pPr>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参照江西省地方标准《</w:t>
            </w:r>
            <w:r>
              <w:rPr>
                <w:rFonts w:hint="eastAsia"/>
                <w:color w:val="000000" w:themeColor="text1"/>
                <w:sz w:val="21"/>
                <w:szCs w:val="21"/>
                <w14:textFill>
                  <w14:solidFill>
                    <w14:schemeClr w14:val="tx1"/>
                  </w14:solidFill>
                </w14:textFill>
              </w:rPr>
              <w:t>挥发性有机物排放标准第4部分：塑料制品业</w:t>
            </w:r>
            <w:r>
              <w:rPr>
                <w:rFonts w:hint="eastAsia" w:cs="宋体"/>
                <w:color w:val="000000" w:themeColor="text1"/>
                <w:sz w:val="21"/>
                <w:szCs w:val="21"/>
                <w:highlight w:val="none"/>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DB36/1101.</w:t>
            </w:r>
            <w:r>
              <w:rPr>
                <w:rFonts w:hint="eastAsia"/>
                <w:color w:val="000000" w:themeColor="text1"/>
                <w:sz w:val="21"/>
                <w:szCs w:val="21"/>
                <w:lang w:val="en-US" w:eastAsia="zh-CN"/>
                <w14:textFill>
                  <w14:solidFill>
                    <w14:schemeClr w14:val="tx1"/>
                  </w14:solidFill>
                </w14:textFill>
              </w:rPr>
              <w:t>5</w:t>
            </w:r>
            <w:r>
              <w:rPr>
                <w:rFonts w:hint="eastAsia"/>
                <w:color w:val="000000" w:themeColor="text1"/>
                <w:sz w:val="21"/>
                <w:szCs w:val="21"/>
                <w14:textFill>
                  <w14:solidFill>
                    <w14:schemeClr w14:val="tx1"/>
                  </w14:solidFill>
                </w14:textFill>
              </w:rPr>
              <w:t>-2019</w:t>
            </w:r>
            <w:r>
              <w:rPr>
                <w:rFonts w:hint="eastAsia" w:cs="宋体"/>
                <w:color w:val="000000" w:themeColor="text1"/>
                <w:sz w:val="21"/>
                <w:szCs w:val="21"/>
                <w:highlight w:val="none"/>
                <w:lang w:val="en-US" w:eastAsia="zh-CN"/>
                <w14:textFill>
                  <w14:solidFill>
                    <w14:schemeClr w14:val="tx1"/>
                  </w14:solidFill>
                </w14:textFill>
              </w:rPr>
              <w:t>）表2标准</w:t>
            </w:r>
          </w:p>
        </w:tc>
      </w:tr>
      <w:tr w14:paraId="1BC519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538" w:type="dxa"/>
            <w:vMerge w:val="continue"/>
            <w:vAlign w:val="center"/>
          </w:tcPr>
          <w:p w14:paraId="40200DBA">
            <w:pPr>
              <w:spacing w:line="240" w:lineRule="auto"/>
              <w:ind w:firstLine="480" w:firstLineChars="0"/>
              <w:jc w:val="center"/>
              <w:rPr>
                <w:color w:val="000000" w:themeColor="text1"/>
                <w:sz w:val="21"/>
                <w14:textFill>
                  <w14:solidFill>
                    <w14:schemeClr w14:val="tx1"/>
                  </w14:solidFill>
                </w14:textFill>
              </w:rPr>
            </w:pPr>
          </w:p>
        </w:tc>
        <w:tc>
          <w:tcPr>
            <w:tcW w:w="1255" w:type="dxa"/>
            <w:vMerge w:val="continue"/>
            <w:vAlign w:val="center"/>
          </w:tcPr>
          <w:p w14:paraId="264DE1A4">
            <w:pPr>
              <w:spacing w:line="240" w:lineRule="auto"/>
              <w:ind w:firstLine="480" w:firstLineChars="0"/>
              <w:jc w:val="center"/>
              <w:rPr>
                <w:color w:val="000000" w:themeColor="text1"/>
                <w:sz w:val="21"/>
                <w14:textFill>
                  <w14:solidFill>
                    <w14:schemeClr w14:val="tx1"/>
                  </w14:solidFill>
                </w14:textFill>
              </w:rPr>
            </w:pPr>
          </w:p>
        </w:tc>
        <w:tc>
          <w:tcPr>
            <w:tcW w:w="1984" w:type="dxa"/>
            <w:vAlign w:val="center"/>
          </w:tcPr>
          <w:p w14:paraId="14D61391">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苯乙烯、TVOC</w:t>
            </w:r>
          </w:p>
        </w:tc>
        <w:tc>
          <w:tcPr>
            <w:tcW w:w="1559" w:type="dxa"/>
            <w:vMerge w:val="continue"/>
            <w:vAlign w:val="center"/>
          </w:tcPr>
          <w:p w14:paraId="73B963FC">
            <w:pPr>
              <w:spacing w:line="240" w:lineRule="auto"/>
              <w:ind w:firstLine="420" w:firstLineChars="0"/>
              <w:jc w:val="center"/>
              <w:rPr>
                <w:color w:val="000000" w:themeColor="text1"/>
                <w:sz w:val="21"/>
                <w:szCs w:val="21"/>
                <w14:textFill>
                  <w14:solidFill>
                    <w14:schemeClr w14:val="tx1"/>
                  </w14:solidFill>
                </w14:textFill>
              </w:rPr>
            </w:pPr>
          </w:p>
        </w:tc>
        <w:tc>
          <w:tcPr>
            <w:tcW w:w="2585" w:type="dxa"/>
            <w:vAlign w:val="center"/>
          </w:tcPr>
          <w:p w14:paraId="2A3DB13C">
            <w:pPr>
              <w:spacing w:line="240" w:lineRule="auto"/>
              <w:ind w:firstLine="0" w:firstLineChars="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《挥发性有机物排放标准第4部分：塑料制品业》（DB36/1101.4-2019）表2标准</w:t>
            </w:r>
          </w:p>
        </w:tc>
      </w:tr>
      <w:tr w14:paraId="442746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538" w:type="dxa"/>
            <w:vMerge w:val="continue"/>
            <w:vAlign w:val="center"/>
          </w:tcPr>
          <w:p w14:paraId="737D6582">
            <w:pPr>
              <w:spacing w:line="240" w:lineRule="auto"/>
              <w:ind w:firstLine="480" w:firstLineChars="0"/>
              <w:jc w:val="center"/>
              <w:rPr>
                <w:color w:val="000000" w:themeColor="text1"/>
                <w:sz w:val="21"/>
                <w14:textFill>
                  <w14:solidFill>
                    <w14:schemeClr w14:val="tx1"/>
                  </w14:solidFill>
                </w14:textFill>
              </w:rPr>
            </w:pPr>
          </w:p>
        </w:tc>
        <w:tc>
          <w:tcPr>
            <w:tcW w:w="1255" w:type="dxa"/>
            <w:vMerge w:val="continue"/>
            <w:vAlign w:val="center"/>
          </w:tcPr>
          <w:p w14:paraId="2CAC179A">
            <w:pPr>
              <w:spacing w:line="240" w:lineRule="auto"/>
              <w:ind w:firstLine="480" w:firstLineChars="0"/>
              <w:jc w:val="center"/>
              <w:rPr>
                <w:color w:val="000000" w:themeColor="text1"/>
                <w:sz w:val="21"/>
                <w14:textFill>
                  <w14:solidFill>
                    <w14:schemeClr w14:val="tx1"/>
                  </w14:solidFill>
                </w14:textFill>
              </w:rPr>
            </w:pPr>
          </w:p>
        </w:tc>
        <w:tc>
          <w:tcPr>
            <w:tcW w:w="1984" w:type="dxa"/>
            <w:vAlign w:val="center"/>
          </w:tcPr>
          <w:p w14:paraId="61122DA9">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臭气浓度</w:t>
            </w:r>
          </w:p>
        </w:tc>
        <w:tc>
          <w:tcPr>
            <w:tcW w:w="1559" w:type="dxa"/>
            <w:vMerge w:val="continue"/>
            <w:vAlign w:val="center"/>
          </w:tcPr>
          <w:p w14:paraId="116E8783">
            <w:pPr>
              <w:spacing w:line="240" w:lineRule="auto"/>
              <w:ind w:firstLine="420" w:firstLineChars="0"/>
              <w:jc w:val="center"/>
              <w:rPr>
                <w:color w:val="000000" w:themeColor="text1"/>
                <w:sz w:val="21"/>
                <w:szCs w:val="21"/>
                <w14:textFill>
                  <w14:solidFill>
                    <w14:schemeClr w14:val="tx1"/>
                  </w14:solidFill>
                </w14:textFill>
              </w:rPr>
            </w:pPr>
          </w:p>
        </w:tc>
        <w:tc>
          <w:tcPr>
            <w:tcW w:w="2585" w:type="dxa"/>
            <w:vAlign w:val="center"/>
          </w:tcPr>
          <w:p w14:paraId="58515B45">
            <w:pPr>
              <w:spacing w:line="240" w:lineRule="auto"/>
              <w:ind w:firstLine="0" w:firstLineChars="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14:textFill>
                  <w14:solidFill>
                    <w14:schemeClr w14:val="tx1"/>
                  </w14:solidFill>
                </w14:textFill>
              </w:rPr>
              <w:t>《恶臭污染物排放标准》（GB 14554-93）</w:t>
            </w:r>
            <w:r>
              <w:rPr>
                <w:rFonts w:hint="eastAsia"/>
                <w:bCs/>
                <w:color w:val="000000" w:themeColor="text1"/>
                <w:sz w:val="21"/>
                <w:szCs w:val="21"/>
                <w:lang w:val="en-US" w:eastAsia="zh-CN"/>
                <w14:textFill>
                  <w14:solidFill>
                    <w14:schemeClr w14:val="tx1"/>
                  </w14:solidFill>
                </w14:textFill>
              </w:rPr>
              <w:t>表1中二级标准</w:t>
            </w:r>
          </w:p>
        </w:tc>
      </w:tr>
      <w:tr w14:paraId="32DCD2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38" w:type="dxa"/>
            <w:vMerge w:val="continue"/>
            <w:vAlign w:val="center"/>
          </w:tcPr>
          <w:p w14:paraId="31BA0E38">
            <w:pPr>
              <w:spacing w:line="240" w:lineRule="auto"/>
              <w:ind w:firstLine="480" w:firstLineChars="0"/>
              <w:jc w:val="center"/>
              <w:rPr>
                <w:color w:val="000000" w:themeColor="text1"/>
                <w:sz w:val="21"/>
                <w:szCs w:val="21"/>
                <w14:textFill>
                  <w14:solidFill>
                    <w14:schemeClr w14:val="tx1"/>
                  </w14:solidFill>
                </w14:textFill>
              </w:rPr>
            </w:pPr>
          </w:p>
        </w:tc>
        <w:tc>
          <w:tcPr>
            <w:tcW w:w="1255" w:type="dxa"/>
            <w:vAlign w:val="center"/>
          </w:tcPr>
          <w:p w14:paraId="49C056F4">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厂区内</w:t>
            </w:r>
          </w:p>
        </w:tc>
        <w:tc>
          <w:tcPr>
            <w:tcW w:w="1984" w:type="dxa"/>
            <w:vAlign w:val="center"/>
          </w:tcPr>
          <w:p w14:paraId="72D4BBF5">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NMHC</w:t>
            </w:r>
          </w:p>
        </w:tc>
        <w:tc>
          <w:tcPr>
            <w:tcW w:w="1559" w:type="dxa"/>
            <w:vAlign w:val="center"/>
          </w:tcPr>
          <w:p w14:paraId="663BA6BB">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加强通风</w:t>
            </w:r>
          </w:p>
        </w:tc>
        <w:tc>
          <w:tcPr>
            <w:tcW w:w="2585" w:type="dxa"/>
            <w:vAlign w:val="center"/>
          </w:tcPr>
          <w:p w14:paraId="1978302C">
            <w:pPr>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江西省地方标准《挥发性有机物综合排放控制标准（试行）》（DB36/2186-2025）表2</w:t>
            </w:r>
          </w:p>
        </w:tc>
      </w:tr>
      <w:tr w14:paraId="01E1A6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1538" w:type="dxa"/>
            <w:vAlign w:val="center"/>
          </w:tcPr>
          <w:p w14:paraId="5C82E7D6">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地表水环境</w:t>
            </w:r>
          </w:p>
        </w:tc>
        <w:tc>
          <w:tcPr>
            <w:tcW w:w="1255" w:type="dxa"/>
            <w:vAlign w:val="center"/>
          </w:tcPr>
          <w:p w14:paraId="2504D6F5">
            <w:pPr>
              <w:spacing w:line="240" w:lineRule="auto"/>
              <w:ind w:firstLine="0" w:firstLineChars="0"/>
              <w:jc w:val="center"/>
              <w:rPr>
                <w:color w:val="000000" w:themeColor="text1"/>
                <w:sz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厂区总排放口</w:t>
            </w:r>
            <w:r>
              <w:rPr>
                <w:rFonts w:hint="eastAsia"/>
                <w:color w:val="000000" w:themeColor="text1"/>
                <w:sz w:val="21"/>
                <w:szCs w:val="21"/>
                <w14:textFill>
                  <w14:solidFill>
                    <w14:schemeClr w14:val="tx1"/>
                  </w14:solidFill>
                </w14:textFill>
              </w:rPr>
              <w:t>D</w:t>
            </w:r>
            <w:r>
              <w:rPr>
                <w:color w:val="000000" w:themeColor="text1"/>
                <w:sz w:val="21"/>
                <w:szCs w:val="21"/>
                <w14:textFill>
                  <w14:solidFill>
                    <w14:schemeClr w14:val="tx1"/>
                  </w14:solidFill>
                </w14:textFill>
              </w:rPr>
              <w:t>W0</w:t>
            </w:r>
            <w:r>
              <w:rPr>
                <w:color w:val="000000" w:themeColor="text1"/>
                <w:sz w:val="21"/>
                <w14:textFill>
                  <w14:solidFill>
                    <w14:schemeClr w14:val="tx1"/>
                  </w14:solidFill>
                </w14:textFill>
              </w:rPr>
              <w:t>01</w:t>
            </w:r>
          </w:p>
        </w:tc>
        <w:tc>
          <w:tcPr>
            <w:tcW w:w="1984" w:type="dxa"/>
            <w:vAlign w:val="center"/>
          </w:tcPr>
          <w:p w14:paraId="45B74327">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COD</w:t>
            </w:r>
            <w:r>
              <w:rPr>
                <w:color w:val="000000" w:themeColor="text1"/>
                <w:sz w:val="21"/>
                <w:szCs w:val="21"/>
                <w:vertAlign w:val="subscript"/>
                <w14:textFill>
                  <w14:solidFill>
                    <w14:schemeClr w14:val="tx1"/>
                  </w14:solidFill>
                </w14:textFill>
              </w:rPr>
              <w:t>Cr</w:t>
            </w:r>
            <w:r>
              <w:rPr>
                <w:rFonts w:hint="eastAsia"/>
                <w:color w:val="000000" w:themeColor="text1"/>
                <w:sz w:val="21"/>
                <w:szCs w:val="21"/>
                <w14:textFill>
                  <w14:solidFill>
                    <w14:schemeClr w14:val="tx1"/>
                  </w14:solidFill>
                </w14:textFill>
              </w:rPr>
              <w:t>、氨氮、BOD</w:t>
            </w:r>
            <w:r>
              <w:rPr>
                <w:rFonts w:hint="eastAsia"/>
                <w:color w:val="000000" w:themeColor="text1"/>
                <w:sz w:val="21"/>
                <w:szCs w:val="21"/>
                <w:vertAlign w:val="subscript"/>
                <w14:textFill>
                  <w14:solidFill>
                    <w14:schemeClr w14:val="tx1"/>
                  </w14:solidFill>
                </w14:textFill>
              </w:rPr>
              <w:t>5</w:t>
            </w:r>
            <w:r>
              <w:rPr>
                <w:rFonts w:hint="eastAsia"/>
                <w:color w:val="000000" w:themeColor="text1"/>
                <w:sz w:val="21"/>
                <w:szCs w:val="21"/>
                <w14:textFill>
                  <w14:solidFill>
                    <w14:schemeClr w14:val="tx1"/>
                  </w14:solidFill>
                </w14:textFill>
              </w:rPr>
              <w:t>、悬浮物、动植物油</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总磷</w:t>
            </w:r>
          </w:p>
        </w:tc>
        <w:tc>
          <w:tcPr>
            <w:tcW w:w="1559" w:type="dxa"/>
            <w:vAlign w:val="center"/>
          </w:tcPr>
          <w:p w14:paraId="22981A51">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化粪池</w:t>
            </w:r>
          </w:p>
        </w:tc>
        <w:tc>
          <w:tcPr>
            <w:tcW w:w="2585" w:type="dxa"/>
            <w:vAlign w:val="center"/>
          </w:tcPr>
          <w:p w14:paraId="40366586">
            <w:pPr>
              <w:spacing w:line="240" w:lineRule="auto"/>
              <w:ind w:firstLine="0" w:firstLineChars="0"/>
              <w:jc w:val="center"/>
              <w:rPr>
                <w:color w:val="000000" w:themeColor="text1"/>
                <w:sz w:val="21"/>
                <w:szCs w:val="2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高安市工业园污水处理厂</w:t>
            </w:r>
            <w:r>
              <w:rPr>
                <w:color w:val="000000" w:themeColor="text1"/>
                <w:sz w:val="21"/>
                <w:szCs w:val="21"/>
                <w14:textFill>
                  <w14:solidFill>
                    <w14:schemeClr w14:val="tx1"/>
                  </w14:solidFill>
                </w14:textFill>
              </w:rPr>
              <w:t>接管要求</w:t>
            </w:r>
          </w:p>
        </w:tc>
      </w:tr>
      <w:tr w14:paraId="474BB6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vAlign w:val="center"/>
          </w:tcPr>
          <w:p w14:paraId="48B1577A">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声环境</w:t>
            </w:r>
          </w:p>
        </w:tc>
        <w:tc>
          <w:tcPr>
            <w:tcW w:w="1255" w:type="dxa"/>
            <w:vAlign w:val="center"/>
          </w:tcPr>
          <w:p w14:paraId="5675CD92">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w:t>
            </w:r>
          </w:p>
        </w:tc>
        <w:tc>
          <w:tcPr>
            <w:tcW w:w="1984" w:type="dxa"/>
            <w:vAlign w:val="center"/>
          </w:tcPr>
          <w:p w14:paraId="005C3A40">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噪声</w:t>
            </w:r>
          </w:p>
        </w:tc>
        <w:tc>
          <w:tcPr>
            <w:tcW w:w="1559" w:type="dxa"/>
            <w:vAlign w:val="center"/>
          </w:tcPr>
          <w:p w14:paraId="6D33656A">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采取消声、减震、隔声等措施</w:t>
            </w:r>
          </w:p>
        </w:tc>
        <w:tc>
          <w:tcPr>
            <w:tcW w:w="2585" w:type="dxa"/>
            <w:vAlign w:val="center"/>
          </w:tcPr>
          <w:p w14:paraId="67C68E3D">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lang w:bidi="ar"/>
                <w14:textFill>
                  <w14:solidFill>
                    <w14:schemeClr w14:val="tx1"/>
                  </w14:solidFill>
                </w14:textFill>
              </w:rPr>
              <w:t>《工业企业厂界环境噪声排放标准</w:t>
            </w:r>
            <w:r>
              <w:rPr>
                <w:rFonts w:hint="eastAsia"/>
                <w:color w:val="000000" w:themeColor="text1"/>
                <w:kern w:val="0"/>
                <w:sz w:val="21"/>
                <w:szCs w:val="21"/>
                <w:lang w:bidi="ar"/>
                <w14:textFill>
                  <w14:solidFill>
                    <w14:schemeClr w14:val="tx1"/>
                  </w14:solidFill>
                </w14:textFill>
              </w:rPr>
              <w:t>》</w:t>
            </w:r>
            <w:r>
              <w:rPr>
                <w:color w:val="000000" w:themeColor="text1"/>
                <w:kern w:val="0"/>
                <w:sz w:val="21"/>
                <w:szCs w:val="21"/>
                <w:lang w:bidi="ar"/>
                <w14:textFill>
                  <w14:solidFill>
                    <w14:schemeClr w14:val="tx1"/>
                  </w14:solidFill>
                </w14:textFill>
              </w:rPr>
              <w:t>（GB12348-2008）3类标准</w:t>
            </w:r>
          </w:p>
        </w:tc>
      </w:tr>
      <w:tr w14:paraId="35FFDD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538" w:type="dxa"/>
            <w:vAlign w:val="center"/>
          </w:tcPr>
          <w:p w14:paraId="3EA999EC">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电磁辐射</w:t>
            </w:r>
          </w:p>
        </w:tc>
        <w:tc>
          <w:tcPr>
            <w:tcW w:w="7383" w:type="dxa"/>
            <w:gridSpan w:val="4"/>
            <w:vAlign w:val="center"/>
          </w:tcPr>
          <w:p w14:paraId="0B82DA5D">
            <w:pPr>
              <w:spacing w:line="240" w:lineRule="auto"/>
              <w:ind w:firstLine="48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r>
      <w:tr w14:paraId="0DE743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538" w:type="dxa"/>
            <w:vAlign w:val="center"/>
          </w:tcPr>
          <w:p w14:paraId="33D8CF2D">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固体废物</w:t>
            </w:r>
          </w:p>
        </w:tc>
        <w:tc>
          <w:tcPr>
            <w:tcW w:w="7383" w:type="dxa"/>
            <w:gridSpan w:val="4"/>
            <w:vAlign w:val="center"/>
          </w:tcPr>
          <w:p w14:paraId="1F90B7C8">
            <w:pPr>
              <w:snapToGrid/>
              <w:spacing w:line="240" w:lineRule="auto"/>
              <w:ind w:firstLine="0" w:firstLineChars="0"/>
              <w:rPr>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项目</w:t>
            </w:r>
            <w:r>
              <w:rPr>
                <w:rFonts w:hint="eastAsia" w:eastAsia="宋体" w:cs="Times New Roman"/>
                <w:color w:val="000000" w:themeColor="text1"/>
                <w:sz w:val="21"/>
                <w:szCs w:val="21"/>
                <w:highlight w:val="none"/>
                <w:lang w:val="en-US" w:eastAsia="zh-CN"/>
                <w14:textFill>
                  <w14:solidFill>
                    <w14:schemeClr w14:val="tx1"/>
                  </w14:solidFill>
                </w14:textFill>
              </w:rPr>
              <w:t>废包装袋、废模具、</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边角料、车间沉降粉尘</w:t>
            </w:r>
            <w:r>
              <w:rPr>
                <w:rFonts w:hint="eastAsia" w:eastAsia="宋体" w:cs="Times New Roman"/>
                <w:color w:val="000000" w:themeColor="text1"/>
                <w:sz w:val="21"/>
                <w:szCs w:val="21"/>
                <w:highlight w:val="none"/>
                <w:lang w:val="en-US" w:eastAsia="zh-CN"/>
                <w14:textFill>
                  <w14:solidFill>
                    <w14:schemeClr w14:val="tx1"/>
                  </w14:solidFill>
                </w14:textFill>
              </w:rPr>
              <w:t>、废布袋、布袋除尘收集尘</w:t>
            </w:r>
            <w:r>
              <w:rPr>
                <w:rFonts w:hint="eastAsia" w:ascii="Times New Roman" w:hAnsi="Times New Roman" w:eastAsia="宋体" w:cs="Times New Roman"/>
                <w:color w:val="000000" w:themeColor="text1"/>
                <w:sz w:val="21"/>
                <w:szCs w:val="21"/>
                <w:highlight w:val="none"/>
                <w14:textFill>
                  <w14:solidFill>
                    <w14:schemeClr w14:val="tx1"/>
                  </w14:solidFill>
                </w14:textFill>
              </w:rPr>
              <w:t>收集后全部外售综合利用</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kern w:val="0"/>
                <w:sz w:val="21"/>
                <w:szCs w:val="21"/>
                <w:highlight w:val="none"/>
                <w:lang w:val="en-US" w:eastAsia="zh-CN" w:bidi="ar"/>
                <w14:textFill>
                  <w14:solidFill>
                    <w14:schemeClr w14:val="tx1"/>
                  </w14:solidFill>
                </w14:textFill>
              </w:rPr>
              <w:t>一般工业固体废物贮存过程应满足相应防渗漏、防雨淋、防扬尘等环境保护要求</w:t>
            </w:r>
            <w:r>
              <w:rPr>
                <w:rFonts w:hint="eastAsia"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项目拟</w:t>
            </w:r>
            <w:r>
              <w:rPr>
                <w:rFonts w:hint="eastAsia" w:ascii="Times New Roman" w:hAnsi="Times New Roman" w:eastAsia="宋体" w:cs="Times New Roman"/>
                <w:color w:val="000000" w:themeColor="text1"/>
                <w:sz w:val="21"/>
                <w:szCs w:val="21"/>
                <w:highlight w:val="none"/>
                <w14:textFill>
                  <w14:solidFill>
                    <w14:schemeClr w14:val="tx1"/>
                  </w14:solidFill>
                </w14:textFill>
              </w:rPr>
              <w:t>在</w:t>
            </w:r>
            <w:r>
              <w:rPr>
                <w:rFonts w:hint="eastAsia" w:eastAsia="宋体" w:cs="Times New Roman"/>
                <w:color w:val="000000" w:themeColor="text1"/>
                <w:sz w:val="21"/>
                <w:szCs w:val="21"/>
                <w:highlight w:val="none"/>
                <w:lang w:val="en-US" w:eastAsia="zh-CN"/>
                <w14:textFill>
                  <w14:solidFill>
                    <w14:schemeClr w14:val="tx1"/>
                  </w14:solidFill>
                </w14:textFill>
              </w:rPr>
              <w:t>成型-坯体车间东侧</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设</w:t>
            </w:r>
            <w:r>
              <w:rPr>
                <w:rFonts w:hint="eastAsia" w:ascii="Times New Roman" w:hAnsi="Times New Roman" w:eastAsia="宋体" w:cs="Times New Roman"/>
                <w:color w:val="000000" w:themeColor="text1"/>
                <w:sz w:val="21"/>
                <w:szCs w:val="21"/>
                <w:highlight w:val="none"/>
                <w14:textFill>
                  <w14:solidFill>
                    <w14:schemeClr w14:val="tx1"/>
                  </w14:solidFill>
                </w14:textFill>
              </w:rPr>
              <w:t>1座</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一般</w:t>
            </w:r>
            <w:r>
              <w:rPr>
                <w:rFonts w:hint="eastAsia" w:ascii="Times New Roman" w:hAnsi="Times New Roman" w:eastAsia="宋体" w:cs="Times New Roman"/>
                <w:color w:val="000000" w:themeColor="text1"/>
                <w:sz w:val="21"/>
                <w:szCs w:val="21"/>
                <w:highlight w:val="none"/>
                <w14:textFill>
                  <w14:solidFill>
                    <w14:schemeClr w14:val="tx1"/>
                  </w14:solidFill>
                </w14:textFill>
              </w:rPr>
              <w:t>固废暂存</w:t>
            </w:r>
            <w:r>
              <w:rPr>
                <w:rFonts w:hint="eastAsia" w:eastAsia="宋体" w:cs="Times New Roman"/>
                <w:color w:val="000000" w:themeColor="text1"/>
                <w:sz w:val="21"/>
                <w:szCs w:val="21"/>
                <w:highlight w:val="none"/>
                <w:lang w:val="en-US" w:eastAsia="zh-CN"/>
                <w14:textFill>
                  <w14:solidFill>
                    <w14:schemeClr w14:val="tx1"/>
                  </w14:solidFill>
                </w14:textFill>
              </w:rPr>
              <w:t>间</w:t>
            </w:r>
            <w:r>
              <w:rPr>
                <w:rFonts w:hint="eastAsia"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10</w:t>
            </w:r>
            <w:r>
              <w:rPr>
                <w:rFonts w:hint="eastAsia" w:ascii="Times New Roman" w:hAnsi="Times New Roman" w:eastAsia="宋体" w:cs="Times New Roman"/>
                <w:color w:val="000000" w:themeColor="text1"/>
                <w:sz w:val="21"/>
                <w:szCs w:val="21"/>
                <w:highlight w:val="none"/>
                <w14:textFill>
                  <w14:solidFill>
                    <w14:schemeClr w14:val="tx1"/>
                  </w14:solidFill>
                </w14:textFill>
              </w:rPr>
              <w:t>m</w:t>
            </w:r>
            <w:r>
              <w:rPr>
                <w:rFonts w:hint="eastAsia" w:ascii="Times New Roman" w:hAnsi="Times New Roman" w:eastAsia="宋体" w:cs="Times New Roman"/>
                <w:color w:val="000000" w:themeColor="text1"/>
                <w:sz w:val="21"/>
                <w:szCs w:val="21"/>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设计最大贮存量为</w:t>
            </w:r>
            <w:r>
              <w:rPr>
                <w:rFonts w:hint="eastAsia" w:eastAsia="宋体" w:cs="Times New Roman"/>
                <w:color w:val="000000" w:themeColor="text1"/>
                <w:sz w:val="21"/>
                <w:szCs w:val="21"/>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t</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项目</w:t>
            </w:r>
            <w:r>
              <w:rPr>
                <w:rFonts w:hint="eastAsia" w:ascii="Times New Roman" w:hAnsi="Times New Roman" w:eastAsia="宋体" w:cs="Times New Roman"/>
                <w:color w:val="000000" w:themeColor="text1"/>
                <w:sz w:val="21"/>
                <w:szCs w:val="21"/>
                <w:highlight w:val="none"/>
                <w14:textFill>
                  <w14:solidFill>
                    <w14:schemeClr w14:val="tx1"/>
                  </w14:solidFill>
                </w14:textFill>
              </w:rPr>
              <w:t>危险废物</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包括废包装桶、</w:t>
            </w:r>
            <w:r>
              <w:rPr>
                <w:rFonts w:hint="eastAsia" w:eastAsia="宋体" w:cs="Times New Roman"/>
                <w:color w:val="000000" w:themeColor="text1"/>
                <w:sz w:val="21"/>
                <w:szCs w:val="21"/>
                <w:highlight w:val="none"/>
                <w:lang w:val="en-US" w:eastAsia="zh-CN"/>
                <w14:textFill>
                  <w14:solidFill>
                    <w14:schemeClr w14:val="tx1"/>
                  </w14:solidFill>
                </w14:textFill>
              </w:rPr>
              <w:t>废彩绘笔、</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废过滤棉、废活性炭、漆渣、废机油、废机油桶、含油废抹布及劳保用品</w:t>
            </w:r>
            <w: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1"/>
                <w:szCs w:val="21"/>
                <w:highlight w:val="none"/>
                <w14:textFill>
                  <w14:solidFill>
                    <w14:schemeClr w14:val="tx1"/>
                  </w14:solidFill>
                </w14:textFill>
              </w:rPr>
              <w:t>危险废物应当按照危险废物的有关规定和要求对其贮存、运输，</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采用密闭容器收集后</w:t>
            </w:r>
            <w:r>
              <w:rPr>
                <w:rFonts w:hint="eastAsia" w:ascii="Times New Roman" w:hAnsi="Times New Roman" w:eastAsia="宋体" w:cs="Times New Roman"/>
                <w:color w:val="000000" w:themeColor="text1"/>
                <w:sz w:val="21"/>
                <w:szCs w:val="21"/>
                <w:highlight w:val="none"/>
                <w14:textFill>
                  <w14:solidFill>
                    <w14:schemeClr w14:val="tx1"/>
                  </w14:solidFill>
                </w14:textFill>
              </w:rPr>
              <w:t>交由有资质单位处理。项目拟在</w:t>
            </w:r>
            <w:r>
              <w:rPr>
                <w:rFonts w:hint="eastAsia" w:eastAsia="宋体" w:cs="Times New Roman"/>
                <w:color w:val="000000" w:themeColor="text1"/>
                <w:sz w:val="21"/>
                <w:szCs w:val="21"/>
                <w:highlight w:val="none"/>
                <w:lang w:val="en-US" w:eastAsia="zh-CN"/>
                <w14:textFill>
                  <w14:solidFill>
                    <w14:schemeClr w14:val="tx1"/>
                  </w14:solidFill>
                </w14:textFill>
              </w:rPr>
              <w:t>喷漆房东南侧</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新建</w:t>
            </w:r>
            <w:r>
              <w:rPr>
                <w:rFonts w:hint="eastAsia" w:ascii="Times New Roman" w:hAnsi="Times New Roman" w:eastAsia="宋体" w:cs="Times New Roman"/>
                <w:color w:val="000000" w:themeColor="text1"/>
                <w:sz w:val="21"/>
                <w:szCs w:val="21"/>
                <w:highlight w:val="none"/>
                <w14:textFill>
                  <w14:solidFill>
                    <w14:schemeClr w14:val="tx1"/>
                  </w14:solidFill>
                </w14:textFill>
              </w:rPr>
              <w:t>1座</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危废暂存</w:t>
            </w:r>
            <w:r>
              <w:rPr>
                <w:rFonts w:hint="eastAsia" w:eastAsia="宋体" w:cs="Times New Roman"/>
                <w:color w:val="000000" w:themeColor="text1"/>
                <w:sz w:val="21"/>
                <w:szCs w:val="21"/>
                <w:highlight w:val="none"/>
                <w:lang w:val="en-US" w:eastAsia="zh-CN"/>
                <w14:textFill>
                  <w14:solidFill>
                    <w14:schemeClr w14:val="tx1"/>
                  </w14:solidFill>
                </w14:textFill>
              </w:rPr>
              <w:t>间</w:t>
            </w:r>
            <w:r>
              <w:rPr>
                <w:rFonts w:hint="eastAsia" w:ascii="Times New Roman" w:hAnsi="Times New Roman" w:eastAsia="宋体" w:cs="Times New Roman"/>
                <w:color w:val="000000" w:themeColor="text1"/>
                <w:sz w:val="21"/>
                <w:szCs w:val="21"/>
                <w:highlight w:val="none"/>
                <w14:textFill>
                  <w14:solidFill>
                    <w14:schemeClr w14:val="tx1"/>
                  </w14:solidFill>
                </w14:textFill>
              </w:rPr>
              <w:t>（</w:t>
            </w:r>
            <w:r>
              <w:rPr>
                <w:rFonts w:hint="eastAsia" w:eastAsia="宋体" w:cs="Times New Roman"/>
                <w:color w:val="000000" w:themeColor="text1"/>
                <w:sz w:val="21"/>
                <w:szCs w:val="21"/>
                <w:highlight w:val="none"/>
                <w:lang w:val="en-US" w:eastAsia="zh-CN"/>
                <w14:textFill>
                  <w14:solidFill>
                    <w14:schemeClr w14:val="tx1"/>
                  </w14:solidFill>
                </w14:textFill>
              </w:rPr>
              <w:t>20</w:t>
            </w:r>
            <w:r>
              <w:rPr>
                <w:rFonts w:hint="eastAsia" w:ascii="Times New Roman" w:hAnsi="Times New Roman" w:eastAsia="宋体" w:cs="Times New Roman"/>
                <w:color w:val="000000" w:themeColor="text1"/>
                <w:sz w:val="21"/>
                <w:szCs w:val="21"/>
                <w:highlight w:val="none"/>
                <w14:textFill>
                  <w14:solidFill>
                    <w14:schemeClr w14:val="tx1"/>
                  </w14:solidFill>
                </w14:textFill>
              </w:rPr>
              <w:t>m</w:t>
            </w:r>
            <w:r>
              <w:rPr>
                <w:rFonts w:hint="eastAsia" w:ascii="Times New Roman" w:hAnsi="Times New Roman" w:eastAsia="宋体" w:cs="Times New Roman"/>
                <w:color w:val="000000" w:themeColor="text1"/>
                <w:sz w:val="21"/>
                <w:szCs w:val="21"/>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最大贮存量为</w:t>
            </w:r>
            <w:r>
              <w:rPr>
                <w:rFonts w:hint="eastAsia" w:eastAsia="宋体" w:cs="Times New Roman"/>
                <w:color w:val="000000" w:themeColor="text1"/>
                <w:sz w:val="21"/>
                <w:szCs w:val="21"/>
                <w:highlight w:val="none"/>
                <w:lang w:val="en-US" w:eastAsia="zh-CN"/>
                <w14:textFill>
                  <w14:solidFill>
                    <w14:schemeClr w14:val="tx1"/>
                  </w14:solidFill>
                </w14:textFill>
              </w:rPr>
              <w:t>10</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t</w:t>
            </w:r>
            <w:r>
              <w:rPr>
                <w:rFonts w:hint="eastAsia" w:ascii="Times New Roman" w:hAnsi="Times New Roman" w:eastAsia="宋体" w:cs="Times New Roman"/>
                <w:color w:val="000000" w:themeColor="text1"/>
                <w:sz w:val="21"/>
                <w:szCs w:val="21"/>
                <w:highlight w:val="none"/>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项目危废暂存库应</w:t>
            </w:r>
            <w:r>
              <w:rPr>
                <w:rFonts w:hint="eastAsia" w:ascii="Times New Roman" w:hAnsi="Times New Roman" w:eastAsia="宋体" w:cs="Times New Roman"/>
                <w:color w:val="000000" w:themeColor="text1"/>
                <w:sz w:val="21"/>
                <w:szCs w:val="21"/>
                <w:highlight w:val="none"/>
                <w14:textFill>
                  <w14:solidFill>
                    <w14:schemeClr w14:val="tx1"/>
                  </w14:solidFill>
                </w14:textFill>
              </w:rPr>
              <w:t>按照《危险废物贮存污染控制标准》(GB18597-2023) 要求进行建设</w:t>
            </w:r>
            <w:r>
              <w:rPr>
                <w:rFonts w:hint="eastAsia" w:ascii="Times New Roman" w:hAnsi="Times New Roman" w:eastAsia="宋体" w:cs="Times New Roman"/>
                <w:color w:val="000000" w:themeColor="text1"/>
                <w:spacing w:val="-3"/>
                <w:sz w:val="21"/>
                <w:szCs w:val="21"/>
                <w:highlight w:val="none"/>
                <w14:textFill>
                  <w14:solidFill>
                    <w14:schemeClr w14:val="tx1"/>
                  </w14:solidFill>
                </w14:textFill>
              </w:rPr>
              <w:t>。</w:t>
            </w:r>
          </w:p>
        </w:tc>
      </w:tr>
      <w:tr w14:paraId="76CC7F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538" w:type="dxa"/>
            <w:vAlign w:val="center"/>
          </w:tcPr>
          <w:p w14:paraId="7C1963E0">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土壤及地下水</w:t>
            </w:r>
          </w:p>
          <w:p w14:paraId="75198F05">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污染防治措施</w:t>
            </w:r>
          </w:p>
        </w:tc>
        <w:tc>
          <w:tcPr>
            <w:tcW w:w="7383" w:type="dxa"/>
            <w:gridSpan w:val="4"/>
            <w:vAlign w:val="center"/>
          </w:tcPr>
          <w:p w14:paraId="70909C63">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kern w:val="2"/>
                <w:sz w:val="21"/>
                <w:szCs w:val="21"/>
                <w:highlight w:val="none"/>
                <w14:textFill>
                  <w14:solidFill>
                    <w14:schemeClr w14:val="tx1"/>
                  </w14:solidFill>
                </w14:textFill>
              </w:rPr>
              <w:t>源头控制，</w:t>
            </w:r>
            <w:r>
              <w:rPr>
                <w:color w:val="000000" w:themeColor="text1"/>
                <w:kern w:val="2"/>
                <w:sz w:val="21"/>
                <w:szCs w:val="21"/>
                <w:highlight w:val="none"/>
                <w14:textFill>
                  <w14:solidFill>
                    <w14:schemeClr w14:val="tx1"/>
                  </w14:solidFill>
                </w14:textFill>
              </w:rPr>
              <w:t>车间</w:t>
            </w:r>
            <w:r>
              <w:rPr>
                <w:rFonts w:hint="eastAsia"/>
                <w:color w:val="000000" w:themeColor="text1"/>
                <w:kern w:val="2"/>
                <w:sz w:val="21"/>
                <w:szCs w:val="21"/>
                <w:highlight w:val="none"/>
                <w:lang w:eastAsia="zh-CN"/>
                <w14:textFill>
                  <w14:solidFill>
                    <w14:schemeClr w14:val="tx1"/>
                  </w14:solidFill>
                </w14:textFill>
              </w:rPr>
              <w:t>、</w:t>
            </w:r>
            <w:r>
              <w:rPr>
                <w:rFonts w:hint="eastAsia"/>
                <w:color w:val="000000" w:themeColor="text1"/>
                <w:kern w:val="2"/>
                <w:sz w:val="21"/>
                <w:szCs w:val="21"/>
                <w:highlight w:val="none"/>
                <w:lang w:val="en-US" w:eastAsia="zh-CN"/>
                <w14:textFill>
                  <w14:solidFill>
                    <w14:schemeClr w14:val="tx1"/>
                  </w14:solidFill>
                </w14:textFill>
              </w:rPr>
              <w:t>喷漆房、仓库等</w:t>
            </w:r>
            <w:r>
              <w:rPr>
                <w:color w:val="000000" w:themeColor="text1"/>
                <w:kern w:val="2"/>
                <w:sz w:val="21"/>
                <w:szCs w:val="21"/>
                <w:highlight w:val="none"/>
                <w14:textFill>
                  <w14:solidFill>
                    <w14:schemeClr w14:val="tx1"/>
                  </w14:solidFill>
                </w14:textFill>
              </w:rPr>
              <w:t>地面硬化，</w:t>
            </w:r>
            <w:r>
              <w:rPr>
                <w:rFonts w:hint="eastAsia"/>
                <w:color w:val="000000" w:themeColor="text1"/>
                <w:kern w:val="2"/>
                <w:sz w:val="21"/>
                <w:szCs w:val="21"/>
                <w:highlight w:val="none"/>
                <w:lang w:val="en-US" w:eastAsia="zh-CN"/>
                <w14:textFill>
                  <w14:solidFill>
                    <w14:schemeClr w14:val="tx1"/>
                  </w14:solidFill>
                </w14:textFill>
              </w:rPr>
              <w:t>分区防渗等措施</w:t>
            </w:r>
            <w:r>
              <w:rPr>
                <w:rFonts w:hint="eastAsia" w:cs="Times New Roman"/>
                <w:color w:val="000000" w:themeColor="text1"/>
                <w:kern w:val="0"/>
                <w:sz w:val="21"/>
                <w:szCs w:val="21"/>
                <w:highlight w:val="none"/>
                <w:lang w:bidi="ar"/>
                <w14:textFill>
                  <w14:solidFill>
                    <w14:schemeClr w14:val="tx1"/>
                  </w14:solidFill>
                </w14:textFill>
              </w:rPr>
              <w:t>。</w:t>
            </w:r>
          </w:p>
        </w:tc>
      </w:tr>
      <w:tr w14:paraId="397501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538" w:type="dxa"/>
            <w:vAlign w:val="center"/>
          </w:tcPr>
          <w:p w14:paraId="1E48C1C4">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生态保护措施</w:t>
            </w:r>
          </w:p>
        </w:tc>
        <w:tc>
          <w:tcPr>
            <w:tcW w:w="7383" w:type="dxa"/>
            <w:gridSpan w:val="4"/>
            <w:vAlign w:val="center"/>
          </w:tcPr>
          <w:p w14:paraId="683E4F4C">
            <w:pPr>
              <w:spacing w:line="240" w:lineRule="auto"/>
              <w:ind w:firstLine="48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r>
      <w:tr w14:paraId="323DD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538" w:type="dxa"/>
            <w:vAlign w:val="center"/>
          </w:tcPr>
          <w:p w14:paraId="58C0005A">
            <w:pPr>
              <w:spacing w:line="240" w:lineRule="auto"/>
              <w:ind w:firstLine="0" w:firstLineChars="0"/>
              <w:jc w:val="center"/>
              <w:rPr>
                <w:color w:val="000000" w:themeColor="text1"/>
                <w:spacing w:val="-8"/>
                <w:sz w:val="21"/>
                <w:szCs w:val="21"/>
                <w14:textFill>
                  <w14:solidFill>
                    <w14:schemeClr w14:val="tx1"/>
                  </w14:solidFill>
                </w14:textFill>
              </w:rPr>
            </w:pPr>
            <w:r>
              <w:rPr>
                <w:color w:val="000000" w:themeColor="text1"/>
                <w:spacing w:val="-8"/>
                <w:sz w:val="21"/>
                <w:szCs w:val="21"/>
                <w14:textFill>
                  <w14:solidFill>
                    <w14:schemeClr w14:val="tx1"/>
                  </w14:solidFill>
                </w14:textFill>
              </w:rPr>
              <w:t>环境风险</w:t>
            </w:r>
          </w:p>
          <w:p w14:paraId="58DA4F91">
            <w:pPr>
              <w:spacing w:line="240" w:lineRule="auto"/>
              <w:ind w:firstLine="0" w:firstLineChars="0"/>
              <w:jc w:val="center"/>
              <w:rPr>
                <w:color w:val="000000" w:themeColor="text1"/>
                <w:spacing w:val="-8"/>
                <w:sz w:val="21"/>
                <w:szCs w:val="21"/>
                <w14:textFill>
                  <w14:solidFill>
                    <w14:schemeClr w14:val="tx1"/>
                  </w14:solidFill>
                </w14:textFill>
              </w:rPr>
            </w:pPr>
            <w:r>
              <w:rPr>
                <w:color w:val="000000" w:themeColor="text1"/>
                <w:spacing w:val="-8"/>
                <w:sz w:val="21"/>
                <w:szCs w:val="21"/>
                <w14:textFill>
                  <w14:solidFill>
                    <w14:schemeClr w14:val="tx1"/>
                  </w14:solidFill>
                </w14:textFill>
              </w:rPr>
              <w:t>防范措施</w:t>
            </w:r>
          </w:p>
        </w:tc>
        <w:tc>
          <w:tcPr>
            <w:tcW w:w="7383" w:type="dxa"/>
            <w:gridSpan w:val="4"/>
            <w:vAlign w:val="center"/>
          </w:tcPr>
          <w:p w14:paraId="78C82B9B">
            <w:pPr>
              <w:autoSpaceDE w:val="0"/>
              <w:autoSpaceDN w:val="0"/>
              <w:snapToGrid/>
              <w:spacing w:line="240" w:lineRule="auto"/>
              <w:ind w:left="0" w:leftChars="0" w:firstLine="0" w:firstLineChars="0"/>
              <w:textAlignment w:val="baseline"/>
              <w:rPr>
                <w:rFonts w:ascii="宋体" w:cs="宋体"/>
                <w:color w:val="000000" w:themeColor="text1"/>
                <w:szCs w:val="21"/>
                <w14:textFill>
                  <w14:solidFill>
                    <w14:schemeClr w14:val="tx1"/>
                  </w14:solidFill>
                </w14:textFill>
              </w:rPr>
            </w:pPr>
            <w:r>
              <w:rPr>
                <w:rFonts w:hint="eastAsia" w:ascii="宋体" w:hAnsi="宋体" w:cs="Times New Roman"/>
                <w:color w:val="000000" w:themeColor="text1"/>
                <w:sz w:val="21"/>
                <w:szCs w:val="21"/>
                <w:highlight w:val="none"/>
                <w:lang w:bidi="ar"/>
                <w14:textFill>
                  <w14:solidFill>
                    <w14:schemeClr w14:val="tx1"/>
                  </w14:solidFill>
                </w14:textFill>
              </w:rPr>
              <w:t>主要风险源为火灾风险、</w:t>
            </w:r>
            <w:r>
              <w:rPr>
                <w:rFonts w:hint="eastAsia" w:ascii="宋体" w:hAnsi="宋体" w:cs="Times New Roman"/>
                <w:color w:val="000000" w:themeColor="text1"/>
                <w:sz w:val="21"/>
                <w:szCs w:val="21"/>
                <w:highlight w:val="none"/>
                <w:lang w:val="en-US" w:eastAsia="zh-CN" w:bidi="ar"/>
                <w14:textFill>
                  <w14:solidFill>
                    <w14:schemeClr w14:val="tx1"/>
                  </w14:solidFill>
                </w14:textFill>
              </w:rPr>
              <w:t>原料、</w:t>
            </w:r>
            <w:r>
              <w:rPr>
                <w:rFonts w:hint="eastAsia" w:ascii="宋体" w:hAnsi="宋体" w:cs="Times New Roman"/>
                <w:color w:val="000000" w:themeColor="text1"/>
                <w:sz w:val="21"/>
                <w:szCs w:val="21"/>
                <w:highlight w:val="none"/>
                <w:lang w:bidi="ar"/>
                <w14:textFill>
                  <w14:solidFill>
                    <w14:schemeClr w14:val="tx1"/>
                  </w14:solidFill>
                </w14:textFill>
              </w:rPr>
              <w:t>危险废物</w:t>
            </w:r>
            <w:r>
              <w:rPr>
                <w:rFonts w:hint="eastAsia" w:ascii="宋体" w:hAnsi="宋体" w:cs="Times New Roman"/>
                <w:color w:val="000000" w:themeColor="text1"/>
                <w:sz w:val="21"/>
                <w:szCs w:val="21"/>
                <w:highlight w:val="none"/>
                <w:lang w:val="en-US" w:eastAsia="zh-CN" w:bidi="ar"/>
                <w14:textFill>
                  <w14:solidFill>
                    <w14:schemeClr w14:val="tx1"/>
                  </w14:solidFill>
                </w14:textFill>
              </w:rPr>
              <w:t>等物质</w:t>
            </w:r>
            <w:r>
              <w:rPr>
                <w:rFonts w:hint="eastAsia" w:ascii="宋体" w:hAnsi="宋体" w:cs="Times New Roman"/>
                <w:color w:val="000000" w:themeColor="text1"/>
                <w:sz w:val="21"/>
                <w:szCs w:val="21"/>
                <w:highlight w:val="none"/>
                <w:lang w:bidi="ar"/>
                <w14:textFill>
                  <w14:solidFill>
                    <w14:schemeClr w14:val="tx1"/>
                  </w14:solidFill>
                </w14:textFill>
              </w:rPr>
              <w:t>泄漏风险以及环保设施失效风险。加强日常生产管理，</w:t>
            </w:r>
            <w:r>
              <w:rPr>
                <w:rFonts w:hint="eastAsia" w:ascii="宋体" w:hAnsi="宋体" w:cs="Times New Roman"/>
                <w:color w:val="000000" w:themeColor="text1"/>
                <w:sz w:val="21"/>
                <w:szCs w:val="21"/>
                <w:highlight w:val="none"/>
                <w:lang w:val="en-US" w:eastAsia="zh-CN" w:bidi="ar"/>
                <w14:textFill>
                  <w14:solidFill>
                    <w14:schemeClr w14:val="tx1"/>
                  </w14:solidFill>
                </w14:textFill>
              </w:rPr>
              <w:t>车间、仓库、</w:t>
            </w:r>
            <w:r>
              <w:rPr>
                <w:rFonts w:hint="eastAsia" w:ascii="宋体" w:hAnsi="宋体" w:cs="Times New Roman"/>
                <w:color w:val="000000" w:themeColor="text1"/>
                <w:sz w:val="21"/>
                <w:szCs w:val="21"/>
                <w:highlight w:val="none"/>
                <w:lang w:bidi="ar"/>
                <w14:textFill>
                  <w14:solidFill>
                    <w14:schemeClr w14:val="tx1"/>
                  </w14:solidFill>
                </w14:textFill>
              </w:rPr>
              <w:t>危废暂存</w:t>
            </w:r>
            <w:r>
              <w:rPr>
                <w:rFonts w:hint="eastAsia" w:ascii="宋体" w:hAnsi="宋体" w:cs="Times New Roman"/>
                <w:color w:val="000000" w:themeColor="text1"/>
                <w:sz w:val="21"/>
                <w:szCs w:val="21"/>
                <w:highlight w:val="none"/>
                <w:lang w:val="en-US" w:eastAsia="zh-CN" w:bidi="ar"/>
                <w14:textFill>
                  <w14:solidFill>
                    <w14:schemeClr w14:val="tx1"/>
                  </w14:solidFill>
                </w14:textFill>
              </w:rPr>
              <w:t>间</w:t>
            </w:r>
            <w:r>
              <w:rPr>
                <w:rFonts w:hint="eastAsia" w:ascii="宋体" w:hAnsi="宋体" w:cs="Times New Roman"/>
                <w:color w:val="000000" w:themeColor="text1"/>
                <w:sz w:val="21"/>
                <w:szCs w:val="21"/>
                <w:highlight w:val="none"/>
                <w:lang w:bidi="ar"/>
                <w14:textFill>
                  <w14:solidFill>
                    <w14:schemeClr w14:val="tx1"/>
                  </w14:solidFill>
                </w14:textFill>
              </w:rPr>
              <w:t>等做好防腐防渗处理，设置防火措施，做好预防工作和应急预案等</w:t>
            </w:r>
            <w:r>
              <w:rPr>
                <w:rFonts w:hint="eastAsia"/>
                <w:color w:val="000000" w:themeColor="text1"/>
                <w:sz w:val="21"/>
                <w:szCs w:val="21"/>
                <w14:textFill>
                  <w14:solidFill>
                    <w14:schemeClr w14:val="tx1"/>
                  </w14:solidFill>
                </w14:textFill>
              </w:rPr>
              <w:t>。</w:t>
            </w:r>
          </w:p>
        </w:tc>
      </w:tr>
      <w:tr w14:paraId="24273C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538" w:type="dxa"/>
            <w:vAlign w:val="center"/>
          </w:tcPr>
          <w:p w14:paraId="0897D64F">
            <w:pPr>
              <w:spacing w:line="240" w:lineRule="auto"/>
              <w:ind w:firstLine="0" w:firstLineChars="0"/>
              <w:jc w:val="center"/>
              <w:rPr>
                <w:color w:val="000000" w:themeColor="text1"/>
                <w:spacing w:val="-8"/>
                <w:sz w:val="21"/>
                <w:szCs w:val="21"/>
                <w14:textFill>
                  <w14:solidFill>
                    <w14:schemeClr w14:val="tx1"/>
                  </w14:solidFill>
                </w14:textFill>
              </w:rPr>
            </w:pPr>
            <w:r>
              <w:rPr>
                <w:color w:val="000000" w:themeColor="text1"/>
                <w:spacing w:val="-8"/>
                <w:sz w:val="21"/>
                <w:szCs w:val="21"/>
                <w14:textFill>
                  <w14:solidFill>
                    <w14:schemeClr w14:val="tx1"/>
                  </w14:solidFill>
                </w14:textFill>
              </w:rPr>
              <w:t>其他环境</w:t>
            </w:r>
          </w:p>
          <w:p w14:paraId="44053F69">
            <w:pPr>
              <w:spacing w:line="240" w:lineRule="auto"/>
              <w:ind w:firstLine="0" w:firstLineChars="0"/>
              <w:jc w:val="center"/>
              <w:rPr>
                <w:color w:val="000000" w:themeColor="text1"/>
                <w:spacing w:val="-8"/>
                <w:sz w:val="21"/>
                <w:szCs w:val="21"/>
                <w14:textFill>
                  <w14:solidFill>
                    <w14:schemeClr w14:val="tx1"/>
                  </w14:solidFill>
                </w14:textFill>
              </w:rPr>
            </w:pPr>
            <w:r>
              <w:rPr>
                <w:color w:val="000000" w:themeColor="text1"/>
                <w:spacing w:val="-8"/>
                <w:sz w:val="21"/>
                <w:szCs w:val="21"/>
                <w14:textFill>
                  <w14:solidFill>
                    <w14:schemeClr w14:val="tx1"/>
                  </w14:solidFill>
                </w14:textFill>
              </w:rPr>
              <w:t>管理要求</w:t>
            </w:r>
          </w:p>
        </w:tc>
        <w:tc>
          <w:tcPr>
            <w:tcW w:w="7383" w:type="dxa"/>
            <w:gridSpan w:val="4"/>
            <w:vAlign w:val="center"/>
          </w:tcPr>
          <w:p w14:paraId="354864BA">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①加强环保设施的维护和管理，保证设备正常运行，落实环保资金，以实施治污措施，实现污染物达标排放。</w:t>
            </w:r>
          </w:p>
          <w:p w14:paraId="78A80BFF">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②建设单位应严格按环境影响报告表的要求认真落实“三同时”，明确职责，专人管理，切实做好环境管理工作，保证环保设施的正常运行。</w:t>
            </w:r>
          </w:p>
          <w:p w14:paraId="61E124C1">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③项目为工艺美术及礼仪用品制造，属于《固定污染源排污许可分类管理名录（2019年版）》中“十九、文教、工美、体育和娱乐用品制造业 24”的“工艺美术及礼仪用品制造243”其他*应执行排污登记管理。</w:t>
            </w:r>
          </w:p>
          <w:p w14:paraId="154BE857">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④废水排放口、固定噪声源、固体废物贮存和排气筒和危险废物等必须按照国家和江西省的有关规定进行建设，应符合“一明显、二合理、三便于”的要求，即环保标志明显，排污口设置合理，便于采集样品、便于监测计量、便于公众参与和监督管理。同时要求按照国家环保总局制定的《环境保护图形标志实施细则（试行）》的规定，设置与排污口相应的图形标志牌。</w:t>
            </w:r>
          </w:p>
          <w:p w14:paraId="1C1D1E7C">
            <w:pPr>
              <w:spacing w:line="240" w:lineRule="auto"/>
              <w:ind w:firstLine="0" w:firstLineChars="0"/>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⑤建设单位应建立环境管理台账制度，落实环境管理台账记录的责任部门和责任人，明确工作职责，包括台账的记录、整理、维护和管理等，台账记录内容和频次须满足排污许可证环境管理要求，并对台账记录结果的真实性、完整性和规范性负责。</w:t>
            </w:r>
          </w:p>
          <w:p w14:paraId="4F66A7C6">
            <w:pPr>
              <w:spacing w:line="240" w:lineRule="auto"/>
              <w:ind w:firstLine="0" w:firstLineChars="0"/>
              <w:rPr>
                <w:rFonts w:hint="eastAsia"/>
                <w:color w:val="000000" w:themeColor="text1"/>
                <w:sz w:val="21"/>
                <w:szCs w:val="21"/>
                <w14:textFill>
                  <w14:solidFill>
                    <w14:schemeClr w14:val="tx1"/>
                  </w14:solidFill>
                </w14:textFill>
              </w:rPr>
            </w:pPr>
          </w:p>
          <w:p w14:paraId="18999766">
            <w:pPr>
              <w:spacing w:line="240" w:lineRule="auto"/>
              <w:ind w:firstLine="0" w:firstLineChars="0"/>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98</w:t>
            </w:r>
          </w:p>
        </w:tc>
      </w:tr>
    </w:tbl>
    <w:p w14:paraId="27C93129">
      <w:pPr>
        <w:pStyle w:val="56"/>
        <w:numPr>
          <w:ilvl w:val="0"/>
          <w:numId w:val="19"/>
        </w:numPr>
        <w:spacing w:before="120"/>
        <w:rPr>
          <w:rFonts w:hint="eastAsia" w:ascii="黑体" w:hAnsi="黑体"/>
          <w:snapToGrid w:val="0"/>
          <w:color w:val="000000" w:themeColor="text1"/>
          <w:szCs w:val="30"/>
          <w14:textFill>
            <w14:solidFill>
              <w14:schemeClr w14:val="tx1"/>
            </w14:solidFill>
          </w14:textFill>
        </w:rPr>
      </w:pPr>
      <w:r>
        <w:rPr>
          <w:snapToGrid w:val="0"/>
          <w:color w:val="000000" w:themeColor="text1"/>
          <w14:textFill>
            <w14:solidFill>
              <w14:schemeClr w14:val="tx1"/>
            </w14:solidFill>
          </w14:textFill>
        </w:rPr>
        <w:br w:type="page"/>
      </w:r>
      <w:bookmarkStart w:id="34" w:name="_Toc31193"/>
      <w:r>
        <w:rPr>
          <w:rFonts w:hint="eastAsia" w:ascii="黑体" w:hAnsi="黑体"/>
          <w:snapToGrid w:val="0"/>
          <w:color w:val="000000" w:themeColor="text1"/>
          <w:szCs w:val="30"/>
          <w14:textFill>
            <w14:solidFill>
              <w14:schemeClr w14:val="tx1"/>
            </w14:solidFill>
          </w14:textFill>
        </w:rPr>
        <w:t>结论</w:t>
      </w:r>
      <w:bookmarkEnd w:id="34"/>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A1DA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Borders>
              <w:tl2br w:val="nil"/>
              <w:tr2bl w:val="nil"/>
            </w:tcBorders>
          </w:tcPr>
          <w:p w14:paraId="2D221E5A">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000000" w:themeColor="text1"/>
                <w:highlight w:val="none"/>
                <w14:textFill>
                  <w14:solidFill>
                    <w14:schemeClr w14:val="tx1"/>
                  </w14:solidFill>
                </w14:textFill>
              </w:rPr>
            </w:pPr>
            <w:r>
              <w:rPr>
                <w:rFonts w:hint="eastAsia"/>
                <w:color w:val="000000" w:themeColor="text1"/>
                <w14:textFill>
                  <w14:solidFill>
                    <w14:schemeClr w14:val="tx1"/>
                  </w14:solidFill>
                </w14:textFill>
              </w:rPr>
              <w:t>高安福丽臻礼制造有限公司年产300万件文化工艺品项目</w:t>
            </w:r>
            <w:r>
              <w:rPr>
                <w:rFonts w:hint="eastAsia"/>
                <w:color w:val="000000" w:themeColor="text1"/>
                <w:highlight w:val="none"/>
                <w14:textFill>
                  <w14:solidFill>
                    <w14:schemeClr w14:val="tx1"/>
                  </w14:solidFill>
                </w14:textFill>
              </w:rPr>
              <w:t>位于</w:t>
            </w:r>
            <w:r>
              <w:rPr>
                <w:rFonts w:hint="eastAsia"/>
                <w:color w:val="000000" w:themeColor="text1"/>
                <w:lang w:val="en-US" w:eastAsia="zh-CN"/>
                <w14:textFill>
                  <w14:solidFill>
                    <w14:schemeClr w14:val="tx1"/>
                  </w14:solidFill>
                </w14:textFill>
              </w:rPr>
              <w:t>江西高安高新技术产业园区新世纪产业园</w:t>
            </w:r>
            <w:r>
              <w:rPr>
                <w:rFonts w:hint="eastAsia"/>
                <w:color w:val="000000" w:themeColor="text1"/>
                <w:highlight w:val="none"/>
                <w14:textFill>
                  <w14:solidFill>
                    <w14:schemeClr w14:val="tx1"/>
                  </w14:solidFill>
                </w14:textFill>
              </w:rPr>
              <w:t>，属工业用地，项目的建设符合国家产业政策，符合园区总体规划和当地环境保护规划。</w:t>
            </w:r>
          </w:p>
          <w:p w14:paraId="765A6CC1">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项目废水、废气及设备噪声分别经治理后，均可达到国家有关排放标准的要求，固体废物均可得到综合利用和安全处置，主要污染物的排放总量均满足当地</w:t>
            </w:r>
            <w:r>
              <w:rPr>
                <w:rFonts w:hint="eastAsia"/>
                <w:color w:val="000000" w:themeColor="text1"/>
                <w:highlight w:val="none"/>
                <w:lang w:val="en-US" w:eastAsia="zh-CN"/>
                <w14:textFill>
                  <w14:solidFill>
                    <w14:schemeClr w14:val="tx1"/>
                  </w14:solidFill>
                </w14:textFill>
              </w:rPr>
              <w:t>生态环境</w:t>
            </w:r>
            <w:r>
              <w:rPr>
                <w:rFonts w:hint="eastAsia"/>
                <w:color w:val="000000" w:themeColor="text1"/>
                <w:highlight w:val="none"/>
                <w14:textFill>
                  <w14:solidFill>
                    <w14:schemeClr w14:val="tx1"/>
                  </w14:solidFill>
                </w14:textFill>
              </w:rPr>
              <w:t>部门确认的总量控制指标的要求。</w:t>
            </w:r>
          </w:p>
          <w:p w14:paraId="291D8066">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因此，本评价认为，在严格执行国家和江西省的各项环保规章制度，并切实落实本报告表所提出的各项污染物防治措施和风险防范措施，保证环保设施达到设计要求并正常运转，将环境管理纳入日常生产管理的前提下，从环境保护的角度上看，</w:t>
            </w:r>
            <w:r>
              <w:rPr>
                <w:rFonts w:hint="eastAsia"/>
                <w:color w:val="000000" w:themeColor="text1"/>
                <w14:textFill>
                  <w14:solidFill>
                    <w14:schemeClr w14:val="tx1"/>
                  </w14:solidFill>
                </w14:textFill>
              </w:rPr>
              <w:t>高安福丽臻礼制造有限公司年产300万件文化工艺品项目</w:t>
            </w:r>
            <w:r>
              <w:rPr>
                <w:rFonts w:hint="eastAsia"/>
                <w:color w:val="000000" w:themeColor="text1"/>
                <w:highlight w:val="none"/>
                <w14:textFill>
                  <w14:solidFill>
                    <w14:schemeClr w14:val="tx1"/>
                  </w14:solidFill>
                </w14:textFill>
              </w:rPr>
              <w:t>的建设是可行的。在项目建设和生产运行过程中，建设单位应确保环保资金的投入量和合理使用，使“三同时”工作落到实处。</w:t>
            </w:r>
          </w:p>
          <w:p w14:paraId="46709FB7">
            <w:pPr>
              <w:pStyle w:val="149"/>
              <w:keepNext w:val="0"/>
              <w:keepLines w:val="0"/>
              <w:pageBreakBefore w:val="0"/>
              <w:widowControl w:val="0"/>
              <w:kinsoku/>
              <w:wordWrap/>
              <w:overflowPunct/>
              <w:topLinePunct w:val="0"/>
              <w:autoSpaceDE/>
              <w:autoSpaceDN/>
              <w:bidi w:val="0"/>
              <w:adjustRightInd/>
              <w:snapToGrid/>
              <w:spacing w:line="360" w:lineRule="auto"/>
              <w:ind w:firstLine="48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议：（1）建设单位必须严格执行“三同时”制度，项目配套的环保设施与主体工程同时设计、同时施工、同时投入使用；（2）建设单位在完成项目审批后，应启动应急预案编制，并在生态环境主管部门备案，并定期开展应急演练，防止突发性环境风险事故的发生。一旦出现风险事故，必须立即停产并启动应急预案，及时采取相应措施，控制并削减污染影响，确保周边居民生命财产安全与环境安全；（3）涉及项目安全等问题，建设单位应严格按相关单位和部门编制、批准的报告文件执行。</w:t>
            </w:r>
            <w:r>
              <w:rPr>
                <w:color w:val="000000" w:themeColor="text1"/>
                <w:highlight w:val="none"/>
                <w14:textFill>
                  <w14:solidFill>
                    <w14:schemeClr w14:val="tx1"/>
                  </w14:solidFill>
                </w14:textFill>
              </w:rPr>
              <w:t xml:space="preserve"> </w:t>
            </w:r>
          </w:p>
          <w:p w14:paraId="0D8EAAC3">
            <w:pPr>
              <w:ind w:firstLine="480"/>
              <w:rPr>
                <w:rFonts w:hint="eastAsia"/>
                <w:color w:val="000000" w:themeColor="text1"/>
                <w:kern w:val="0"/>
                <w:highlight w:val="none"/>
                <w:u w:val="single"/>
                <w14:textFill>
                  <w14:solidFill>
                    <w14:schemeClr w14:val="tx1"/>
                  </w14:solidFill>
                </w14:textFill>
              </w:rPr>
            </w:pPr>
            <w:r>
              <w:rPr>
                <w:rFonts w:hint="eastAsia"/>
                <w:color w:val="000000" w:themeColor="text1"/>
                <w:kern w:val="0"/>
                <w:highlight w:val="none"/>
                <w:u w:val="single"/>
                <w14:textFill>
                  <w14:solidFill>
                    <w14:schemeClr w14:val="tx1"/>
                  </w14:solidFill>
                </w14:textFill>
              </w:rPr>
              <w:t>【注：项目基础资料均由建设单位提供，并对其准确性和有效性负责。建设单位未来如需增加本报告表所涉及之外的污染源或对其功能进行调整，则应按要求向有关</w:t>
            </w:r>
            <w:r>
              <w:rPr>
                <w:rFonts w:hint="eastAsia"/>
                <w:color w:val="000000" w:themeColor="text1"/>
                <w:kern w:val="0"/>
                <w:highlight w:val="none"/>
                <w:u w:val="single"/>
                <w:lang w:val="en-US" w:eastAsia="zh-CN"/>
                <w14:textFill>
                  <w14:solidFill>
                    <w14:schemeClr w14:val="tx1"/>
                  </w14:solidFill>
                </w14:textFill>
              </w:rPr>
              <w:t>生态环境</w:t>
            </w:r>
            <w:r>
              <w:rPr>
                <w:rFonts w:hint="eastAsia"/>
                <w:color w:val="000000" w:themeColor="text1"/>
                <w:kern w:val="0"/>
                <w:highlight w:val="none"/>
                <w:u w:val="single"/>
                <w14:textFill>
                  <w14:solidFill>
                    <w14:schemeClr w14:val="tx1"/>
                  </w14:solidFill>
                </w14:textFill>
              </w:rPr>
              <w:t>部门进行申报，并按污染控制目标采取相应的污染治理措施。】</w:t>
            </w:r>
          </w:p>
          <w:p w14:paraId="126F04F6">
            <w:pPr>
              <w:ind w:firstLine="480"/>
              <w:rPr>
                <w:rFonts w:hint="eastAsia"/>
                <w:color w:val="000000" w:themeColor="text1"/>
                <w:kern w:val="0"/>
                <w:highlight w:val="none"/>
                <w:u w:val="single"/>
                <w14:textFill>
                  <w14:solidFill>
                    <w14:schemeClr w14:val="tx1"/>
                  </w14:solidFill>
                </w14:textFill>
              </w:rPr>
            </w:pPr>
          </w:p>
          <w:p w14:paraId="2BA449F6">
            <w:pPr>
              <w:ind w:firstLine="480"/>
              <w:rPr>
                <w:rFonts w:hint="eastAsia"/>
                <w:color w:val="000000" w:themeColor="text1"/>
                <w:kern w:val="0"/>
                <w:highlight w:val="none"/>
                <w:u w:val="single"/>
                <w14:textFill>
                  <w14:solidFill>
                    <w14:schemeClr w14:val="tx1"/>
                  </w14:solidFill>
                </w14:textFill>
              </w:rPr>
            </w:pPr>
          </w:p>
          <w:p w14:paraId="3C2B8F1A">
            <w:pPr>
              <w:ind w:firstLine="480"/>
              <w:rPr>
                <w:rFonts w:hint="eastAsia"/>
                <w:color w:val="000000" w:themeColor="text1"/>
                <w:kern w:val="0"/>
                <w:highlight w:val="none"/>
                <w:u w:val="single"/>
                <w14:textFill>
                  <w14:solidFill>
                    <w14:schemeClr w14:val="tx1"/>
                  </w14:solidFill>
                </w14:textFill>
              </w:rPr>
            </w:pPr>
          </w:p>
          <w:p w14:paraId="1222DDF1">
            <w:pPr>
              <w:ind w:firstLine="480"/>
              <w:rPr>
                <w:rFonts w:hint="eastAsia"/>
                <w:color w:val="000000" w:themeColor="text1"/>
                <w:kern w:val="0"/>
                <w:highlight w:val="none"/>
                <w:u w:val="single"/>
                <w14:textFill>
                  <w14:solidFill>
                    <w14:schemeClr w14:val="tx1"/>
                  </w14:solidFill>
                </w14:textFill>
              </w:rPr>
            </w:pPr>
          </w:p>
          <w:p w14:paraId="7681A11C">
            <w:pPr>
              <w:ind w:firstLine="480"/>
              <w:rPr>
                <w:rFonts w:hint="eastAsia"/>
                <w:color w:val="000000" w:themeColor="text1"/>
                <w:kern w:val="0"/>
                <w:highlight w:val="none"/>
                <w:u w:val="single"/>
                <w14:textFill>
                  <w14:solidFill>
                    <w14:schemeClr w14:val="tx1"/>
                  </w14:solidFill>
                </w14:textFill>
              </w:rPr>
            </w:pPr>
          </w:p>
        </w:tc>
      </w:tr>
    </w:tbl>
    <w:p w14:paraId="0E6A2802">
      <w:pPr>
        <w:ind w:firstLine="0" w:firstLineChars="0"/>
        <w:rPr>
          <w:rFonts w:ascii="宋体"/>
          <w:color w:val="000000" w:themeColor="text1"/>
          <w14:textFill>
            <w14:solidFill>
              <w14:schemeClr w14:val="tx1"/>
            </w14:solidFill>
          </w14:textFill>
        </w:rPr>
        <w:sectPr>
          <w:pgSz w:w="11906" w:h="16838"/>
          <w:pgMar w:top="1797" w:right="1440" w:bottom="1797" w:left="1440" w:header="851" w:footer="1134" w:gutter="0"/>
          <w:pgBorders>
            <w:top w:val="none" w:sz="0" w:space="0"/>
            <w:left w:val="none" w:sz="0" w:space="0"/>
            <w:bottom w:val="none" w:sz="0" w:space="0"/>
            <w:right w:val="none" w:sz="0" w:space="0"/>
          </w:pgBorders>
          <w:cols w:space="0" w:num="1"/>
          <w:docGrid w:linePitch="312" w:charSpace="0"/>
        </w:sectPr>
      </w:pPr>
    </w:p>
    <w:p w14:paraId="198D8AC1">
      <w:pPr>
        <w:pStyle w:val="31"/>
        <w:spacing w:before="0" w:beforeAutospacing="0" w:after="0" w:afterAutospacing="0" w:line="240" w:lineRule="auto"/>
        <w:ind w:firstLine="640"/>
        <w:outlineLvl w:val="0"/>
        <w:rPr>
          <w:rFonts w:hint="eastAsia" w:ascii="黑体" w:hAnsi="黑体" w:eastAsia="黑体"/>
          <w:snapToGrid w:val="0"/>
          <w:color w:val="000000" w:themeColor="text1"/>
          <w:sz w:val="32"/>
          <w:szCs w:val="32"/>
          <w14:textFill>
            <w14:solidFill>
              <w14:schemeClr w14:val="tx1"/>
            </w14:solidFill>
          </w14:textFill>
        </w:rPr>
      </w:pPr>
      <w:bookmarkStart w:id="35" w:name="_Toc28364"/>
      <w:r>
        <w:rPr>
          <w:rFonts w:hint="eastAsia" w:ascii="黑体" w:hAnsi="黑体" w:eastAsia="黑体"/>
          <w:snapToGrid w:val="0"/>
          <w:color w:val="000000" w:themeColor="text1"/>
          <w:sz w:val="32"/>
          <w:szCs w:val="32"/>
          <w14:textFill>
            <w14:solidFill>
              <w14:schemeClr w14:val="tx1"/>
            </w14:solidFill>
          </w14:textFill>
        </w:rPr>
        <w:t>附表</w:t>
      </w:r>
      <w:bookmarkEnd w:id="35"/>
    </w:p>
    <w:p w14:paraId="6610C02A">
      <w:pPr>
        <w:pStyle w:val="31"/>
        <w:spacing w:before="0" w:beforeAutospacing="0" w:after="0" w:afterAutospacing="0" w:line="336" w:lineRule="auto"/>
        <w:ind w:firstLine="0" w:firstLineChars="0"/>
        <w:jc w:val="center"/>
        <w:rPr>
          <w:rFonts w:hint="eastAsia" w:ascii="黑体" w:hAnsi="黑体" w:eastAsia="黑体" w:cs="黑体"/>
          <w:snapToGrid w:val="0"/>
          <w:color w:val="000000" w:themeColor="text1"/>
          <w:sz w:val="38"/>
          <w:szCs w:val="38"/>
          <w14:textFill>
            <w14:solidFill>
              <w14:schemeClr w14:val="tx1"/>
            </w14:solidFill>
          </w14:textFill>
        </w:rPr>
      </w:pPr>
      <w:r>
        <w:rPr>
          <w:rFonts w:hint="eastAsia" w:ascii="黑体" w:hAnsi="黑体" w:eastAsia="黑体" w:cs="黑体"/>
          <w:snapToGrid w:val="0"/>
          <w:color w:val="000000" w:themeColor="text1"/>
          <w:sz w:val="38"/>
          <w:szCs w:val="38"/>
          <w14:textFill>
            <w14:solidFill>
              <w14:schemeClr w14:val="tx1"/>
            </w14:solidFill>
          </w14:textFill>
        </w:rPr>
        <w:t>建设项目污染物排放量汇总表</w:t>
      </w:r>
    </w:p>
    <w:tbl>
      <w:tblPr>
        <w:tblStyle w:val="36"/>
        <w:tblW w:w="136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1399"/>
        <w:gridCol w:w="1680"/>
        <w:gridCol w:w="1260"/>
        <w:gridCol w:w="1680"/>
        <w:gridCol w:w="1540"/>
        <w:gridCol w:w="1366"/>
        <w:gridCol w:w="1674"/>
        <w:gridCol w:w="1450"/>
      </w:tblGrid>
      <w:tr w14:paraId="3220F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blHeader/>
          <w:jc w:val="center"/>
        </w:trPr>
        <w:tc>
          <w:tcPr>
            <w:tcW w:w="1568" w:type="dxa"/>
            <w:tcBorders>
              <w:tl2br w:val="single" w:color="auto" w:sz="4" w:space="0"/>
            </w:tcBorders>
            <w:tcMar>
              <w:left w:w="28" w:type="dxa"/>
              <w:right w:w="28" w:type="dxa"/>
            </w:tcMar>
            <w:vAlign w:val="center"/>
          </w:tcPr>
          <w:p w14:paraId="2BA8F1FC">
            <w:pPr>
              <w:pStyle w:val="68"/>
              <w:spacing w:beforeLines="0" w:afterLines="0" w:line="240" w:lineRule="auto"/>
              <w:ind w:firstLine="0" w:firstLineChars="0"/>
              <w:rPr>
                <w:rFonts w:ascii="Times New Roman" w:cs="宋体"/>
                <w:b/>
                <w:bCs/>
                <w:snapToGrid w:val="0"/>
                <w:color w:val="000000" w:themeColor="text1"/>
                <w:spacing w:val="-6"/>
                <w:kern w:val="21"/>
                <w:sz w:val="21"/>
                <w:szCs w:val="21"/>
                <w14:textFill>
                  <w14:solidFill>
                    <w14:schemeClr w14:val="tx1"/>
                  </w14:solidFill>
                </w14:textFill>
              </w:rPr>
            </w:pPr>
            <w:r>
              <w:rPr>
                <w:rFonts w:hint="eastAsia" w:ascii="Times New Roman" w:cs="宋体"/>
                <w:b/>
                <w:bCs/>
                <w:snapToGrid w:val="0"/>
                <w:color w:val="000000" w:themeColor="text1"/>
                <w:spacing w:val="-6"/>
                <w:kern w:val="21"/>
                <w:sz w:val="21"/>
                <w:szCs w:val="21"/>
                <w14:textFill>
                  <w14:solidFill>
                    <w14:schemeClr w14:val="tx1"/>
                  </w14:solidFill>
                </w14:textFill>
              </w:rPr>
              <w:t xml:space="preserve">        项目</w:t>
            </w:r>
          </w:p>
          <w:p w14:paraId="0B582B83">
            <w:pPr>
              <w:pStyle w:val="68"/>
              <w:spacing w:beforeLines="0" w:afterLines="0" w:line="240" w:lineRule="auto"/>
              <w:ind w:firstLine="0" w:firstLineChars="0"/>
              <w:jc w:val="both"/>
              <w:rPr>
                <w:rFonts w:ascii="Times New Roman" w:cs="宋体"/>
                <w:b/>
                <w:bCs/>
                <w:snapToGrid w:val="0"/>
                <w:color w:val="000000" w:themeColor="text1"/>
                <w:spacing w:val="-6"/>
                <w:kern w:val="21"/>
                <w:sz w:val="21"/>
                <w:szCs w:val="21"/>
                <w14:textFill>
                  <w14:solidFill>
                    <w14:schemeClr w14:val="tx1"/>
                  </w14:solidFill>
                </w14:textFill>
              </w:rPr>
            </w:pPr>
            <w:r>
              <w:rPr>
                <w:rFonts w:hint="eastAsia" w:ascii="Times New Roman" w:cs="宋体"/>
                <w:b/>
                <w:bCs/>
                <w:snapToGrid w:val="0"/>
                <w:color w:val="000000" w:themeColor="text1"/>
                <w:spacing w:val="-6"/>
                <w:kern w:val="21"/>
                <w:sz w:val="21"/>
                <w:szCs w:val="21"/>
                <w14:textFill>
                  <w14:solidFill>
                    <w14:schemeClr w14:val="tx1"/>
                  </w14:solidFill>
                </w14:textFill>
              </w:rPr>
              <w:t>分类</w:t>
            </w:r>
          </w:p>
        </w:tc>
        <w:tc>
          <w:tcPr>
            <w:tcW w:w="1399" w:type="dxa"/>
            <w:tcMar>
              <w:left w:w="28" w:type="dxa"/>
              <w:right w:w="28" w:type="dxa"/>
            </w:tcMar>
            <w:vAlign w:val="center"/>
          </w:tcPr>
          <w:p w14:paraId="508A07B2">
            <w:pPr>
              <w:pStyle w:val="68"/>
              <w:spacing w:beforeLines="0" w:afterLines="0" w:line="240" w:lineRule="auto"/>
              <w:ind w:firstLine="0" w:firstLineChars="0"/>
              <w:rPr>
                <w:rFonts w:ascii="Times New Roman" w:cs="宋体"/>
                <w:b/>
                <w:bCs/>
                <w:snapToGrid w:val="0"/>
                <w:color w:val="000000" w:themeColor="text1"/>
                <w:spacing w:val="-6"/>
                <w:kern w:val="21"/>
                <w:sz w:val="21"/>
                <w:szCs w:val="21"/>
                <w14:textFill>
                  <w14:solidFill>
                    <w14:schemeClr w14:val="tx1"/>
                  </w14:solidFill>
                </w14:textFill>
              </w:rPr>
            </w:pPr>
            <w:r>
              <w:rPr>
                <w:rFonts w:hint="eastAsia" w:ascii="Times New Roman" w:cs="宋体"/>
                <w:b/>
                <w:bCs/>
                <w:snapToGrid w:val="0"/>
                <w:color w:val="000000" w:themeColor="text1"/>
                <w:spacing w:val="-6"/>
                <w:kern w:val="21"/>
                <w:sz w:val="21"/>
                <w:szCs w:val="21"/>
                <w14:textFill>
                  <w14:solidFill>
                    <w14:schemeClr w14:val="tx1"/>
                  </w14:solidFill>
                </w14:textFill>
              </w:rPr>
              <w:t>污染物名称</w:t>
            </w:r>
          </w:p>
        </w:tc>
        <w:tc>
          <w:tcPr>
            <w:tcW w:w="1680" w:type="dxa"/>
            <w:tcMar>
              <w:left w:w="28" w:type="dxa"/>
              <w:right w:w="28" w:type="dxa"/>
            </w:tcMar>
            <w:vAlign w:val="center"/>
          </w:tcPr>
          <w:p w14:paraId="5A561FF7">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t>现有工程</w:t>
            </w:r>
          </w:p>
          <w:p w14:paraId="35151A94">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t>排放量</w:t>
            </w:r>
            <w:r>
              <w:rPr>
                <w:rFonts w:hint="eastAsia" w:ascii="Times New Roman"/>
                <w:b/>
                <w:bCs/>
                <w:snapToGrid w:val="0"/>
                <w:color w:val="000000" w:themeColor="text1"/>
                <w:spacing w:val="-6"/>
                <w:kern w:val="21"/>
                <w:sz w:val="21"/>
                <w:szCs w:val="21"/>
                <w14:textFill>
                  <w14:solidFill>
                    <w14:schemeClr w14:val="tx1"/>
                  </w14:solidFill>
                </w14:textFill>
              </w:rPr>
              <w:t>t/a</w:t>
            </w:r>
            <w:r>
              <w:rPr>
                <w:rFonts w:ascii="Times New Roman"/>
                <w:b/>
                <w:bCs/>
                <w:snapToGrid w:val="0"/>
                <w:color w:val="000000" w:themeColor="text1"/>
                <w:spacing w:val="-6"/>
                <w:kern w:val="21"/>
                <w:sz w:val="21"/>
                <w:szCs w:val="21"/>
                <w14:textFill>
                  <w14:solidFill>
                    <w14:schemeClr w14:val="tx1"/>
                  </w14:solidFill>
                </w14:textFill>
              </w:rPr>
              <w:t>（固</w:t>
            </w:r>
            <w:r>
              <w:rPr>
                <w:rFonts w:hint="eastAsia" w:ascii="Times New Roman"/>
                <w:b/>
                <w:bCs/>
                <w:snapToGrid w:val="0"/>
                <w:color w:val="000000" w:themeColor="text1"/>
                <w:spacing w:val="-6"/>
                <w:kern w:val="21"/>
                <w:sz w:val="21"/>
                <w:szCs w:val="21"/>
                <w14:textFill>
                  <w14:solidFill>
                    <w14:schemeClr w14:val="tx1"/>
                  </w14:solidFill>
                </w14:textFill>
              </w:rPr>
              <w:t>体</w:t>
            </w:r>
            <w:r>
              <w:rPr>
                <w:rFonts w:ascii="Times New Roman"/>
                <w:b/>
                <w:bCs/>
                <w:snapToGrid w:val="0"/>
                <w:color w:val="000000" w:themeColor="text1"/>
                <w:spacing w:val="-6"/>
                <w:kern w:val="21"/>
                <w:sz w:val="21"/>
                <w:szCs w:val="21"/>
                <w14:textFill>
                  <w14:solidFill>
                    <w14:schemeClr w14:val="tx1"/>
                  </w14:solidFill>
                </w14:textFill>
              </w:rPr>
              <w:t>废</w:t>
            </w:r>
            <w:r>
              <w:rPr>
                <w:rFonts w:hint="eastAsia" w:ascii="Times New Roman"/>
                <w:b/>
                <w:bCs/>
                <w:snapToGrid w:val="0"/>
                <w:color w:val="000000" w:themeColor="text1"/>
                <w:spacing w:val="-6"/>
                <w:kern w:val="21"/>
                <w:sz w:val="21"/>
                <w:szCs w:val="21"/>
                <w14:textFill>
                  <w14:solidFill>
                    <w14:schemeClr w14:val="tx1"/>
                  </w14:solidFill>
                </w14:textFill>
              </w:rPr>
              <w:t>物</w:t>
            </w:r>
            <w:r>
              <w:rPr>
                <w:rFonts w:ascii="Times New Roman"/>
                <w:b/>
                <w:bCs/>
                <w:snapToGrid w:val="0"/>
                <w:color w:val="000000" w:themeColor="text1"/>
                <w:spacing w:val="-6"/>
                <w:kern w:val="21"/>
                <w:sz w:val="21"/>
                <w:szCs w:val="21"/>
                <w14:textFill>
                  <w14:solidFill>
                    <w14:schemeClr w14:val="tx1"/>
                  </w14:solidFill>
                </w14:textFill>
              </w:rPr>
              <w:t>产生量）</w:t>
            </w:r>
            <w:r>
              <w:rPr>
                <w:rFonts w:ascii="Times New Roman"/>
                <w:b/>
                <w:bCs/>
                <w:snapToGrid w:val="0"/>
                <w:color w:val="000000" w:themeColor="text1"/>
                <w:spacing w:val="-6"/>
                <w:kern w:val="21"/>
                <w:sz w:val="21"/>
                <w:szCs w:val="21"/>
                <w14:textFill>
                  <w14:solidFill>
                    <w14:schemeClr w14:val="tx1"/>
                  </w14:solidFill>
                </w14:textFill>
              </w:rPr>
              <w:fldChar w:fldCharType="begin"/>
            </w:r>
            <w:r>
              <w:rPr>
                <w:rFonts w:ascii="Times New Roman"/>
                <w:b/>
                <w:bCs/>
                <w:snapToGrid w:val="0"/>
                <w:color w:val="000000" w:themeColor="text1"/>
                <w:spacing w:val="-6"/>
                <w:kern w:val="21"/>
                <w:sz w:val="21"/>
                <w:szCs w:val="21"/>
                <w14:textFill>
                  <w14:solidFill>
                    <w14:schemeClr w14:val="tx1"/>
                  </w14:solidFill>
                </w14:textFill>
              </w:rPr>
              <w:instrText xml:space="preserve"> = 1 \* GB3 \* MERGEFORMAT </w:instrText>
            </w:r>
            <w:r>
              <w:rPr>
                <w:rFonts w:ascii="Times New Roman"/>
                <w:b/>
                <w:bCs/>
                <w:snapToGrid w:val="0"/>
                <w:color w:val="000000" w:themeColor="text1"/>
                <w:spacing w:val="-6"/>
                <w:kern w:val="21"/>
                <w:sz w:val="21"/>
                <w:szCs w:val="21"/>
                <w14:textFill>
                  <w14:solidFill>
                    <w14:schemeClr w14:val="tx1"/>
                  </w14:solidFill>
                </w14:textFill>
              </w:rPr>
              <w:fldChar w:fldCharType="separate"/>
            </w:r>
            <w:r>
              <w:rPr>
                <w:rFonts w:hint="eastAsia" w:ascii="Times New Roman" w:cs="宋体"/>
                <w:b/>
                <w:bCs/>
                <w:color w:val="000000" w:themeColor="text1"/>
                <w:kern w:val="2"/>
                <w:sz w:val="21"/>
                <w:szCs w:val="21"/>
                <w14:textFill>
                  <w14:solidFill>
                    <w14:schemeClr w14:val="tx1"/>
                  </w14:solidFill>
                </w14:textFill>
              </w:rPr>
              <w:t>①</w:t>
            </w:r>
            <w:r>
              <w:rPr>
                <w:rFonts w:ascii="Times New Roman"/>
                <w:b/>
                <w:bCs/>
                <w:snapToGrid w:val="0"/>
                <w:color w:val="000000" w:themeColor="text1"/>
                <w:spacing w:val="-6"/>
                <w:kern w:val="21"/>
                <w:sz w:val="21"/>
                <w:szCs w:val="21"/>
                <w14:textFill>
                  <w14:solidFill>
                    <w14:schemeClr w14:val="tx1"/>
                  </w14:solidFill>
                </w14:textFill>
              </w:rPr>
              <w:fldChar w:fldCharType="end"/>
            </w:r>
          </w:p>
        </w:tc>
        <w:tc>
          <w:tcPr>
            <w:tcW w:w="1260" w:type="dxa"/>
            <w:tcMar>
              <w:left w:w="28" w:type="dxa"/>
              <w:right w:w="28" w:type="dxa"/>
            </w:tcMar>
            <w:vAlign w:val="center"/>
          </w:tcPr>
          <w:p w14:paraId="05A95D10">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t>现有工程</w:t>
            </w:r>
          </w:p>
          <w:p w14:paraId="4D63D241">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t>许可排放量</w:t>
            </w:r>
            <w:r>
              <w:rPr>
                <w:rFonts w:hint="eastAsia" w:ascii="Times New Roman"/>
                <w:b/>
                <w:bCs/>
                <w:snapToGrid w:val="0"/>
                <w:color w:val="000000" w:themeColor="text1"/>
                <w:spacing w:val="-6"/>
                <w:kern w:val="21"/>
                <w:sz w:val="21"/>
                <w:szCs w:val="21"/>
                <w14:textFill>
                  <w14:solidFill>
                    <w14:schemeClr w14:val="tx1"/>
                  </w14:solidFill>
                </w14:textFill>
              </w:rPr>
              <w:t>t/a</w:t>
            </w:r>
            <w:r>
              <w:rPr>
                <w:rFonts w:ascii="Times New Roman"/>
                <w:b/>
                <w:bCs/>
                <w:snapToGrid w:val="0"/>
                <w:color w:val="000000" w:themeColor="text1"/>
                <w:spacing w:val="-6"/>
                <w:kern w:val="21"/>
                <w:sz w:val="21"/>
                <w:szCs w:val="21"/>
                <w14:textFill>
                  <w14:solidFill>
                    <w14:schemeClr w14:val="tx1"/>
                  </w14:solidFill>
                </w14:textFill>
              </w:rPr>
              <w:fldChar w:fldCharType="begin"/>
            </w:r>
            <w:r>
              <w:rPr>
                <w:rFonts w:ascii="Times New Roman"/>
                <w:b/>
                <w:bCs/>
                <w:snapToGrid w:val="0"/>
                <w:color w:val="000000" w:themeColor="text1"/>
                <w:spacing w:val="-6"/>
                <w:kern w:val="21"/>
                <w:sz w:val="21"/>
                <w:szCs w:val="21"/>
                <w14:textFill>
                  <w14:solidFill>
                    <w14:schemeClr w14:val="tx1"/>
                  </w14:solidFill>
                </w14:textFill>
              </w:rPr>
              <w:instrText xml:space="preserve"> = 2 \* GB3 \* MERGEFORMAT </w:instrText>
            </w:r>
            <w:r>
              <w:rPr>
                <w:rFonts w:ascii="Times New Roman"/>
                <w:b/>
                <w:bCs/>
                <w:snapToGrid w:val="0"/>
                <w:color w:val="000000" w:themeColor="text1"/>
                <w:spacing w:val="-6"/>
                <w:kern w:val="21"/>
                <w:sz w:val="21"/>
                <w:szCs w:val="21"/>
                <w14:textFill>
                  <w14:solidFill>
                    <w14:schemeClr w14:val="tx1"/>
                  </w14:solidFill>
                </w14:textFill>
              </w:rPr>
              <w:fldChar w:fldCharType="separate"/>
            </w:r>
            <w:r>
              <w:rPr>
                <w:rFonts w:hint="eastAsia" w:ascii="Times New Roman" w:cs="宋体"/>
                <w:b/>
                <w:bCs/>
                <w:snapToGrid w:val="0"/>
                <w:color w:val="000000" w:themeColor="text1"/>
                <w:spacing w:val="-6"/>
                <w:kern w:val="21"/>
                <w:sz w:val="21"/>
                <w:szCs w:val="21"/>
                <w14:textFill>
                  <w14:solidFill>
                    <w14:schemeClr w14:val="tx1"/>
                  </w14:solidFill>
                </w14:textFill>
              </w:rPr>
              <w:t>②</w:t>
            </w:r>
            <w:r>
              <w:rPr>
                <w:rFonts w:ascii="Times New Roman"/>
                <w:b/>
                <w:bCs/>
                <w:snapToGrid w:val="0"/>
                <w:color w:val="000000" w:themeColor="text1"/>
                <w:spacing w:val="-6"/>
                <w:kern w:val="21"/>
                <w:sz w:val="21"/>
                <w:szCs w:val="21"/>
                <w14:textFill>
                  <w14:solidFill>
                    <w14:schemeClr w14:val="tx1"/>
                  </w14:solidFill>
                </w14:textFill>
              </w:rPr>
              <w:fldChar w:fldCharType="end"/>
            </w:r>
          </w:p>
        </w:tc>
        <w:tc>
          <w:tcPr>
            <w:tcW w:w="1680" w:type="dxa"/>
            <w:tcMar>
              <w:left w:w="28" w:type="dxa"/>
              <w:right w:w="28" w:type="dxa"/>
            </w:tcMar>
            <w:vAlign w:val="center"/>
          </w:tcPr>
          <w:p w14:paraId="0985DE3C">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t>在建工程排放量（固</w:t>
            </w:r>
            <w:r>
              <w:rPr>
                <w:rFonts w:hint="eastAsia" w:ascii="Times New Roman"/>
                <w:b/>
                <w:bCs/>
                <w:snapToGrid w:val="0"/>
                <w:color w:val="000000" w:themeColor="text1"/>
                <w:spacing w:val="-6"/>
                <w:kern w:val="21"/>
                <w:sz w:val="21"/>
                <w:szCs w:val="21"/>
                <w14:textFill>
                  <w14:solidFill>
                    <w14:schemeClr w14:val="tx1"/>
                  </w14:solidFill>
                </w14:textFill>
              </w:rPr>
              <w:t>体</w:t>
            </w:r>
            <w:r>
              <w:rPr>
                <w:rFonts w:ascii="Times New Roman"/>
                <w:b/>
                <w:bCs/>
                <w:snapToGrid w:val="0"/>
                <w:color w:val="000000" w:themeColor="text1"/>
                <w:spacing w:val="-6"/>
                <w:kern w:val="21"/>
                <w:sz w:val="21"/>
                <w:szCs w:val="21"/>
                <w14:textFill>
                  <w14:solidFill>
                    <w14:schemeClr w14:val="tx1"/>
                  </w14:solidFill>
                </w14:textFill>
              </w:rPr>
              <w:t>废</w:t>
            </w:r>
            <w:r>
              <w:rPr>
                <w:rFonts w:hint="eastAsia" w:ascii="Times New Roman"/>
                <w:b/>
                <w:bCs/>
                <w:snapToGrid w:val="0"/>
                <w:color w:val="000000" w:themeColor="text1"/>
                <w:spacing w:val="-6"/>
                <w:kern w:val="21"/>
                <w:sz w:val="21"/>
                <w:szCs w:val="21"/>
                <w14:textFill>
                  <w14:solidFill>
                    <w14:schemeClr w14:val="tx1"/>
                  </w14:solidFill>
                </w14:textFill>
              </w:rPr>
              <w:t>物</w:t>
            </w:r>
            <w:r>
              <w:rPr>
                <w:rFonts w:ascii="Times New Roman"/>
                <w:b/>
                <w:bCs/>
                <w:snapToGrid w:val="0"/>
                <w:color w:val="000000" w:themeColor="text1"/>
                <w:spacing w:val="-6"/>
                <w:kern w:val="21"/>
                <w:sz w:val="21"/>
                <w:szCs w:val="21"/>
                <w14:textFill>
                  <w14:solidFill>
                    <w14:schemeClr w14:val="tx1"/>
                  </w14:solidFill>
                </w14:textFill>
              </w:rPr>
              <w:t>产生量）</w:t>
            </w:r>
            <w:r>
              <w:rPr>
                <w:rFonts w:ascii="Times New Roman"/>
                <w:b/>
                <w:bCs/>
                <w:snapToGrid w:val="0"/>
                <w:color w:val="000000" w:themeColor="text1"/>
                <w:spacing w:val="-6"/>
                <w:kern w:val="21"/>
                <w:sz w:val="21"/>
                <w:szCs w:val="21"/>
                <w14:textFill>
                  <w14:solidFill>
                    <w14:schemeClr w14:val="tx1"/>
                  </w14:solidFill>
                </w14:textFill>
              </w:rPr>
              <w:fldChar w:fldCharType="begin"/>
            </w:r>
            <w:r>
              <w:rPr>
                <w:rFonts w:ascii="Times New Roman"/>
                <w:b/>
                <w:bCs/>
                <w:snapToGrid w:val="0"/>
                <w:color w:val="000000" w:themeColor="text1"/>
                <w:spacing w:val="-6"/>
                <w:kern w:val="21"/>
                <w:sz w:val="21"/>
                <w:szCs w:val="21"/>
                <w14:textFill>
                  <w14:solidFill>
                    <w14:schemeClr w14:val="tx1"/>
                  </w14:solidFill>
                </w14:textFill>
              </w:rPr>
              <w:instrText xml:space="preserve"> = 3 \* GB3 \* MERGEFORMAT </w:instrText>
            </w:r>
            <w:r>
              <w:rPr>
                <w:rFonts w:ascii="Times New Roman"/>
                <w:b/>
                <w:bCs/>
                <w:snapToGrid w:val="0"/>
                <w:color w:val="000000" w:themeColor="text1"/>
                <w:spacing w:val="-6"/>
                <w:kern w:val="21"/>
                <w:sz w:val="21"/>
                <w:szCs w:val="21"/>
                <w14:textFill>
                  <w14:solidFill>
                    <w14:schemeClr w14:val="tx1"/>
                  </w14:solidFill>
                </w14:textFill>
              </w:rPr>
              <w:fldChar w:fldCharType="separate"/>
            </w:r>
            <w:r>
              <w:rPr>
                <w:rFonts w:hint="eastAsia" w:ascii="Times New Roman" w:cs="宋体"/>
                <w:b/>
                <w:bCs/>
                <w:color w:val="000000" w:themeColor="text1"/>
                <w:kern w:val="2"/>
                <w:sz w:val="21"/>
                <w:szCs w:val="21"/>
                <w14:textFill>
                  <w14:solidFill>
                    <w14:schemeClr w14:val="tx1"/>
                  </w14:solidFill>
                </w14:textFill>
              </w:rPr>
              <w:t>③</w:t>
            </w:r>
            <w:r>
              <w:rPr>
                <w:rFonts w:ascii="Times New Roman"/>
                <w:b/>
                <w:bCs/>
                <w:snapToGrid w:val="0"/>
                <w:color w:val="000000" w:themeColor="text1"/>
                <w:spacing w:val="-6"/>
                <w:kern w:val="21"/>
                <w:sz w:val="21"/>
                <w:szCs w:val="21"/>
                <w14:textFill>
                  <w14:solidFill>
                    <w14:schemeClr w14:val="tx1"/>
                  </w14:solidFill>
                </w14:textFill>
              </w:rPr>
              <w:fldChar w:fldCharType="end"/>
            </w:r>
          </w:p>
        </w:tc>
        <w:tc>
          <w:tcPr>
            <w:tcW w:w="1540" w:type="dxa"/>
            <w:tcMar>
              <w:left w:w="28" w:type="dxa"/>
              <w:right w:w="28" w:type="dxa"/>
            </w:tcMar>
            <w:vAlign w:val="center"/>
          </w:tcPr>
          <w:p w14:paraId="6FAB565F">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t>本项目排放量</w:t>
            </w:r>
            <w:r>
              <w:rPr>
                <w:rFonts w:hint="eastAsia" w:ascii="Times New Roman"/>
                <w:b/>
                <w:bCs/>
                <w:snapToGrid w:val="0"/>
                <w:color w:val="000000" w:themeColor="text1"/>
                <w:spacing w:val="-6"/>
                <w:kern w:val="21"/>
                <w:sz w:val="21"/>
                <w:szCs w:val="21"/>
                <w14:textFill>
                  <w14:solidFill>
                    <w14:schemeClr w14:val="tx1"/>
                  </w14:solidFill>
                </w14:textFill>
              </w:rPr>
              <w:t>t/a</w:t>
            </w:r>
            <w:r>
              <w:rPr>
                <w:rFonts w:ascii="Times New Roman"/>
                <w:b/>
                <w:bCs/>
                <w:snapToGrid w:val="0"/>
                <w:color w:val="000000" w:themeColor="text1"/>
                <w:spacing w:val="-6"/>
                <w:kern w:val="21"/>
                <w:sz w:val="21"/>
                <w:szCs w:val="21"/>
                <w14:textFill>
                  <w14:solidFill>
                    <w14:schemeClr w14:val="tx1"/>
                  </w14:solidFill>
                </w14:textFill>
              </w:rPr>
              <w:t>（固</w:t>
            </w:r>
            <w:r>
              <w:rPr>
                <w:rFonts w:hint="eastAsia" w:ascii="Times New Roman"/>
                <w:b/>
                <w:bCs/>
                <w:snapToGrid w:val="0"/>
                <w:color w:val="000000" w:themeColor="text1"/>
                <w:spacing w:val="-6"/>
                <w:kern w:val="21"/>
                <w:sz w:val="21"/>
                <w:szCs w:val="21"/>
                <w14:textFill>
                  <w14:solidFill>
                    <w14:schemeClr w14:val="tx1"/>
                  </w14:solidFill>
                </w14:textFill>
              </w:rPr>
              <w:t>体</w:t>
            </w:r>
            <w:r>
              <w:rPr>
                <w:rFonts w:ascii="Times New Roman"/>
                <w:b/>
                <w:bCs/>
                <w:snapToGrid w:val="0"/>
                <w:color w:val="000000" w:themeColor="text1"/>
                <w:spacing w:val="-6"/>
                <w:kern w:val="21"/>
                <w:sz w:val="21"/>
                <w:szCs w:val="21"/>
                <w14:textFill>
                  <w14:solidFill>
                    <w14:schemeClr w14:val="tx1"/>
                  </w14:solidFill>
                </w14:textFill>
              </w:rPr>
              <w:t>废</w:t>
            </w:r>
            <w:r>
              <w:rPr>
                <w:rFonts w:hint="eastAsia" w:ascii="Times New Roman"/>
                <w:b/>
                <w:bCs/>
                <w:snapToGrid w:val="0"/>
                <w:color w:val="000000" w:themeColor="text1"/>
                <w:spacing w:val="-6"/>
                <w:kern w:val="21"/>
                <w:sz w:val="21"/>
                <w:szCs w:val="21"/>
                <w14:textFill>
                  <w14:solidFill>
                    <w14:schemeClr w14:val="tx1"/>
                  </w14:solidFill>
                </w14:textFill>
              </w:rPr>
              <w:t>物</w:t>
            </w:r>
            <w:r>
              <w:rPr>
                <w:rFonts w:ascii="Times New Roman"/>
                <w:b/>
                <w:bCs/>
                <w:snapToGrid w:val="0"/>
                <w:color w:val="000000" w:themeColor="text1"/>
                <w:spacing w:val="-6"/>
                <w:kern w:val="21"/>
                <w:sz w:val="21"/>
                <w:szCs w:val="21"/>
                <w14:textFill>
                  <w14:solidFill>
                    <w14:schemeClr w14:val="tx1"/>
                  </w14:solidFill>
                </w14:textFill>
              </w:rPr>
              <w:t>产生量）</w:t>
            </w:r>
            <w:r>
              <w:rPr>
                <w:rFonts w:ascii="Times New Roman"/>
                <w:b/>
                <w:bCs/>
                <w:snapToGrid w:val="0"/>
                <w:color w:val="000000" w:themeColor="text1"/>
                <w:spacing w:val="-6"/>
                <w:kern w:val="21"/>
                <w:sz w:val="21"/>
                <w:szCs w:val="21"/>
                <w14:textFill>
                  <w14:solidFill>
                    <w14:schemeClr w14:val="tx1"/>
                  </w14:solidFill>
                </w14:textFill>
              </w:rPr>
              <w:fldChar w:fldCharType="begin"/>
            </w:r>
            <w:r>
              <w:rPr>
                <w:rFonts w:ascii="Times New Roman"/>
                <w:b/>
                <w:bCs/>
                <w:snapToGrid w:val="0"/>
                <w:color w:val="000000" w:themeColor="text1"/>
                <w:spacing w:val="-6"/>
                <w:kern w:val="21"/>
                <w:sz w:val="21"/>
                <w:szCs w:val="21"/>
                <w14:textFill>
                  <w14:solidFill>
                    <w14:schemeClr w14:val="tx1"/>
                  </w14:solidFill>
                </w14:textFill>
              </w:rPr>
              <w:instrText xml:space="preserve"> = 4 \* GB3 \* MERGEFORMAT </w:instrText>
            </w:r>
            <w:r>
              <w:rPr>
                <w:rFonts w:ascii="Times New Roman"/>
                <w:b/>
                <w:bCs/>
                <w:snapToGrid w:val="0"/>
                <w:color w:val="000000" w:themeColor="text1"/>
                <w:spacing w:val="-6"/>
                <w:kern w:val="21"/>
                <w:sz w:val="21"/>
                <w:szCs w:val="21"/>
                <w14:textFill>
                  <w14:solidFill>
                    <w14:schemeClr w14:val="tx1"/>
                  </w14:solidFill>
                </w14:textFill>
              </w:rPr>
              <w:fldChar w:fldCharType="separate"/>
            </w:r>
            <w:r>
              <w:rPr>
                <w:rFonts w:hint="eastAsia" w:ascii="Times New Roman" w:cs="宋体"/>
                <w:b/>
                <w:bCs/>
                <w:color w:val="000000" w:themeColor="text1"/>
                <w:kern w:val="2"/>
                <w:sz w:val="21"/>
                <w:szCs w:val="21"/>
                <w14:textFill>
                  <w14:solidFill>
                    <w14:schemeClr w14:val="tx1"/>
                  </w14:solidFill>
                </w14:textFill>
              </w:rPr>
              <w:t>④</w:t>
            </w:r>
            <w:r>
              <w:rPr>
                <w:rFonts w:ascii="Times New Roman"/>
                <w:b/>
                <w:bCs/>
                <w:snapToGrid w:val="0"/>
                <w:color w:val="000000" w:themeColor="text1"/>
                <w:spacing w:val="-6"/>
                <w:kern w:val="21"/>
                <w:sz w:val="21"/>
                <w:szCs w:val="21"/>
                <w14:textFill>
                  <w14:solidFill>
                    <w14:schemeClr w14:val="tx1"/>
                  </w14:solidFill>
                </w14:textFill>
              </w:rPr>
              <w:fldChar w:fldCharType="end"/>
            </w:r>
          </w:p>
        </w:tc>
        <w:tc>
          <w:tcPr>
            <w:tcW w:w="1366" w:type="dxa"/>
            <w:tcMar>
              <w:left w:w="28" w:type="dxa"/>
              <w:right w:w="28" w:type="dxa"/>
            </w:tcMar>
            <w:vAlign w:val="center"/>
          </w:tcPr>
          <w:p w14:paraId="1B1D6BA8">
            <w:pPr>
              <w:pStyle w:val="68"/>
              <w:spacing w:beforeLines="0" w:afterLines="0" w:line="240" w:lineRule="auto"/>
              <w:ind w:firstLine="0" w:firstLineChars="0"/>
              <w:rPr>
                <w:rFonts w:ascii="Times New Roman"/>
                <w:b/>
                <w:bCs/>
                <w:snapToGrid w:val="0"/>
                <w:color w:val="000000" w:themeColor="text1"/>
                <w:spacing w:val="-16"/>
                <w:kern w:val="21"/>
                <w:sz w:val="21"/>
                <w:szCs w:val="21"/>
                <w14:textFill>
                  <w14:solidFill>
                    <w14:schemeClr w14:val="tx1"/>
                  </w14:solidFill>
                </w14:textFill>
              </w:rPr>
            </w:pPr>
            <w:r>
              <w:rPr>
                <w:rFonts w:ascii="Times New Roman"/>
                <w:b/>
                <w:bCs/>
                <w:snapToGrid w:val="0"/>
                <w:color w:val="000000" w:themeColor="text1"/>
                <w:spacing w:val="-16"/>
                <w:kern w:val="21"/>
                <w:sz w:val="21"/>
                <w:szCs w:val="21"/>
                <w14:textFill>
                  <w14:solidFill>
                    <w14:schemeClr w14:val="tx1"/>
                  </w14:solidFill>
                </w14:textFill>
              </w:rPr>
              <w:t>以新带老削减量</w:t>
            </w:r>
            <w:r>
              <w:rPr>
                <w:rFonts w:hint="eastAsia" w:ascii="Times New Roman"/>
                <w:b/>
                <w:bCs/>
                <w:snapToGrid w:val="0"/>
                <w:color w:val="000000" w:themeColor="text1"/>
                <w:spacing w:val="-6"/>
                <w:kern w:val="21"/>
                <w:sz w:val="21"/>
                <w:szCs w:val="21"/>
                <w14:textFill>
                  <w14:solidFill>
                    <w14:schemeClr w14:val="tx1"/>
                  </w14:solidFill>
                </w14:textFill>
              </w:rPr>
              <w:t>t/a</w:t>
            </w:r>
            <w:r>
              <w:rPr>
                <w:rFonts w:ascii="Times New Roman"/>
                <w:b/>
                <w:bCs/>
                <w:snapToGrid w:val="0"/>
                <w:color w:val="000000" w:themeColor="text1"/>
                <w:spacing w:val="-16"/>
                <w:kern w:val="21"/>
                <w:sz w:val="21"/>
                <w:szCs w:val="21"/>
                <w14:textFill>
                  <w14:solidFill>
                    <w14:schemeClr w14:val="tx1"/>
                  </w14:solidFill>
                </w14:textFill>
              </w:rPr>
              <w:t>（新建项目不填）</w:t>
            </w:r>
            <w:r>
              <w:rPr>
                <w:rFonts w:ascii="Times New Roman"/>
                <w:b/>
                <w:bCs/>
                <w:snapToGrid w:val="0"/>
                <w:color w:val="000000" w:themeColor="text1"/>
                <w:spacing w:val="-16"/>
                <w:kern w:val="21"/>
                <w:sz w:val="21"/>
                <w:szCs w:val="21"/>
                <w14:textFill>
                  <w14:solidFill>
                    <w14:schemeClr w14:val="tx1"/>
                  </w14:solidFill>
                </w14:textFill>
              </w:rPr>
              <w:fldChar w:fldCharType="begin"/>
            </w:r>
            <w:r>
              <w:rPr>
                <w:rFonts w:ascii="Times New Roman"/>
                <w:b/>
                <w:bCs/>
                <w:snapToGrid w:val="0"/>
                <w:color w:val="000000" w:themeColor="text1"/>
                <w:spacing w:val="-16"/>
                <w:kern w:val="21"/>
                <w:sz w:val="21"/>
                <w:szCs w:val="21"/>
                <w14:textFill>
                  <w14:solidFill>
                    <w14:schemeClr w14:val="tx1"/>
                  </w14:solidFill>
                </w14:textFill>
              </w:rPr>
              <w:instrText xml:space="preserve"> = 5 \* GB3 \* MERGEFORMAT </w:instrText>
            </w:r>
            <w:r>
              <w:rPr>
                <w:rFonts w:ascii="Times New Roman"/>
                <w:b/>
                <w:bCs/>
                <w:snapToGrid w:val="0"/>
                <w:color w:val="000000" w:themeColor="text1"/>
                <w:spacing w:val="-16"/>
                <w:kern w:val="21"/>
                <w:sz w:val="21"/>
                <w:szCs w:val="21"/>
                <w14:textFill>
                  <w14:solidFill>
                    <w14:schemeClr w14:val="tx1"/>
                  </w14:solidFill>
                </w14:textFill>
              </w:rPr>
              <w:fldChar w:fldCharType="separate"/>
            </w:r>
            <w:r>
              <w:rPr>
                <w:rFonts w:hint="eastAsia" w:ascii="Times New Roman" w:cs="宋体"/>
                <w:b/>
                <w:bCs/>
                <w:color w:val="000000" w:themeColor="text1"/>
                <w:kern w:val="2"/>
                <w:sz w:val="21"/>
                <w:szCs w:val="21"/>
                <w14:textFill>
                  <w14:solidFill>
                    <w14:schemeClr w14:val="tx1"/>
                  </w14:solidFill>
                </w14:textFill>
              </w:rPr>
              <w:t>⑤</w:t>
            </w:r>
            <w:r>
              <w:rPr>
                <w:rFonts w:ascii="Times New Roman"/>
                <w:b/>
                <w:bCs/>
                <w:snapToGrid w:val="0"/>
                <w:color w:val="000000" w:themeColor="text1"/>
                <w:spacing w:val="-16"/>
                <w:kern w:val="21"/>
                <w:sz w:val="21"/>
                <w:szCs w:val="21"/>
                <w14:textFill>
                  <w14:solidFill>
                    <w14:schemeClr w14:val="tx1"/>
                  </w14:solidFill>
                </w14:textFill>
              </w:rPr>
              <w:fldChar w:fldCharType="end"/>
            </w:r>
          </w:p>
        </w:tc>
        <w:tc>
          <w:tcPr>
            <w:tcW w:w="1674" w:type="dxa"/>
            <w:tcMar>
              <w:left w:w="28" w:type="dxa"/>
              <w:right w:w="28" w:type="dxa"/>
            </w:tcMar>
            <w:vAlign w:val="center"/>
          </w:tcPr>
          <w:p w14:paraId="52B7CA4C">
            <w:pPr>
              <w:pStyle w:val="68"/>
              <w:spacing w:beforeLines="0" w:afterLines="0" w:line="240" w:lineRule="auto"/>
              <w:ind w:firstLine="0" w:firstLineChars="0"/>
              <w:rPr>
                <w:rFonts w:ascii="Times New Roman"/>
                <w:b/>
                <w:bCs/>
                <w:snapToGrid w:val="0"/>
                <w:color w:val="000000" w:themeColor="text1"/>
                <w:spacing w:val="-16"/>
                <w:kern w:val="21"/>
                <w:sz w:val="21"/>
                <w:szCs w:val="21"/>
                <w14:textFill>
                  <w14:solidFill>
                    <w14:schemeClr w14:val="tx1"/>
                  </w14:solidFill>
                </w14:textFill>
              </w:rPr>
            </w:pPr>
            <w:r>
              <w:rPr>
                <w:rFonts w:ascii="Times New Roman"/>
                <w:b/>
                <w:bCs/>
                <w:snapToGrid w:val="0"/>
                <w:color w:val="000000" w:themeColor="text1"/>
                <w:spacing w:val="-16"/>
                <w:kern w:val="21"/>
                <w:sz w:val="21"/>
                <w:szCs w:val="21"/>
                <w14:textFill>
                  <w14:solidFill>
                    <w14:schemeClr w14:val="tx1"/>
                  </w14:solidFill>
                </w14:textFill>
              </w:rPr>
              <w:t>本项目建成后</w:t>
            </w:r>
          </w:p>
          <w:p w14:paraId="6FD89D46">
            <w:pPr>
              <w:pStyle w:val="68"/>
              <w:spacing w:beforeLines="0" w:afterLines="0" w:line="240" w:lineRule="auto"/>
              <w:ind w:firstLine="0" w:firstLineChars="0"/>
              <w:rPr>
                <w:rFonts w:ascii="Times New Roman"/>
                <w:b/>
                <w:bCs/>
                <w:snapToGrid w:val="0"/>
                <w:color w:val="000000" w:themeColor="text1"/>
                <w:spacing w:val="-16"/>
                <w:kern w:val="21"/>
                <w:sz w:val="21"/>
                <w:szCs w:val="21"/>
                <w14:textFill>
                  <w14:solidFill>
                    <w14:schemeClr w14:val="tx1"/>
                  </w14:solidFill>
                </w14:textFill>
              </w:rPr>
            </w:pPr>
            <w:r>
              <w:rPr>
                <w:rFonts w:hint="eastAsia" w:ascii="Times New Roman"/>
                <w:b/>
                <w:bCs/>
                <w:snapToGrid w:val="0"/>
                <w:color w:val="000000" w:themeColor="text1"/>
                <w:spacing w:val="-16"/>
                <w:kern w:val="21"/>
                <w:sz w:val="21"/>
                <w:szCs w:val="21"/>
                <w14:textFill>
                  <w14:solidFill>
                    <w14:schemeClr w14:val="tx1"/>
                  </w14:solidFill>
                </w14:textFill>
              </w:rPr>
              <w:t>全厂</w:t>
            </w:r>
            <w:r>
              <w:rPr>
                <w:rFonts w:ascii="Times New Roman"/>
                <w:b/>
                <w:bCs/>
                <w:snapToGrid w:val="0"/>
                <w:color w:val="000000" w:themeColor="text1"/>
                <w:spacing w:val="-16"/>
                <w:kern w:val="21"/>
                <w:sz w:val="21"/>
                <w:szCs w:val="21"/>
                <w14:textFill>
                  <w14:solidFill>
                    <w14:schemeClr w14:val="tx1"/>
                  </w14:solidFill>
                </w14:textFill>
              </w:rPr>
              <w:t>排放量</w:t>
            </w:r>
            <w:r>
              <w:rPr>
                <w:rFonts w:hint="eastAsia" w:ascii="Times New Roman"/>
                <w:b/>
                <w:bCs/>
                <w:snapToGrid w:val="0"/>
                <w:color w:val="000000" w:themeColor="text1"/>
                <w:spacing w:val="-6"/>
                <w:kern w:val="21"/>
                <w:sz w:val="21"/>
                <w:szCs w:val="21"/>
                <w14:textFill>
                  <w14:solidFill>
                    <w14:schemeClr w14:val="tx1"/>
                  </w14:solidFill>
                </w14:textFill>
              </w:rPr>
              <w:t>t/a</w:t>
            </w:r>
            <w:r>
              <w:rPr>
                <w:rFonts w:ascii="Times New Roman"/>
                <w:b/>
                <w:bCs/>
                <w:snapToGrid w:val="0"/>
                <w:color w:val="000000" w:themeColor="text1"/>
                <w:spacing w:val="-16"/>
                <w:kern w:val="21"/>
                <w:sz w:val="21"/>
                <w:szCs w:val="21"/>
                <w14:textFill>
                  <w14:solidFill>
                    <w14:schemeClr w14:val="tx1"/>
                  </w14:solidFill>
                </w14:textFill>
              </w:rPr>
              <w:t>（固</w:t>
            </w:r>
            <w:r>
              <w:rPr>
                <w:rFonts w:hint="eastAsia" w:ascii="Times New Roman"/>
                <w:b/>
                <w:bCs/>
                <w:snapToGrid w:val="0"/>
                <w:color w:val="000000" w:themeColor="text1"/>
                <w:spacing w:val="-16"/>
                <w:kern w:val="21"/>
                <w:sz w:val="21"/>
                <w:szCs w:val="21"/>
                <w14:textFill>
                  <w14:solidFill>
                    <w14:schemeClr w14:val="tx1"/>
                  </w14:solidFill>
                </w14:textFill>
              </w:rPr>
              <w:t>体</w:t>
            </w:r>
            <w:r>
              <w:rPr>
                <w:rFonts w:ascii="Times New Roman"/>
                <w:b/>
                <w:bCs/>
                <w:snapToGrid w:val="0"/>
                <w:color w:val="000000" w:themeColor="text1"/>
                <w:spacing w:val="-16"/>
                <w:kern w:val="21"/>
                <w:sz w:val="21"/>
                <w:szCs w:val="21"/>
                <w14:textFill>
                  <w14:solidFill>
                    <w14:schemeClr w14:val="tx1"/>
                  </w14:solidFill>
                </w14:textFill>
              </w:rPr>
              <w:t>废</w:t>
            </w:r>
            <w:r>
              <w:rPr>
                <w:rFonts w:hint="eastAsia" w:ascii="Times New Roman"/>
                <w:b/>
                <w:bCs/>
                <w:snapToGrid w:val="0"/>
                <w:color w:val="000000" w:themeColor="text1"/>
                <w:spacing w:val="-16"/>
                <w:kern w:val="21"/>
                <w:sz w:val="21"/>
                <w:szCs w:val="21"/>
                <w14:textFill>
                  <w14:solidFill>
                    <w14:schemeClr w14:val="tx1"/>
                  </w14:solidFill>
                </w14:textFill>
              </w:rPr>
              <w:t>物</w:t>
            </w:r>
            <w:r>
              <w:rPr>
                <w:rFonts w:ascii="Times New Roman"/>
                <w:b/>
                <w:bCs/>
                <w:snapToGrid w:val="0"/>
                <w:color w:val="000000" w:themeColor="text1"/>
                <w:spacing w:val="-16"/>
                <w:kern w:val="21"/>
                <w:sz w:val="21"/>
                <w:szCs w:val="21"/>
                <w14:textFill>
                  <w14:solidFill>
                    <w14:schemeClr w14:val="tx1"/>
                  </w14:solidFill>
                </w14:textFill>
              </w:rPr>
              <w:t>产生量）</w:t>
            </w:r>
            <w:r>
              <w:rPr>
                <w:rFonts w:ascii="Times New Roman"/>
                <w:b/>
                <w:bCs/>
                <w:snapToGrid w:val="0"/>
                <w:color w:val="000000" w:themeColor="text1"/>
                <w:spacing w:val="-16"/>
                <w:kern w:val="21"/>
                <w:sz w:val="21"/>
                <w:szCs w:val="21"/>
                <w14:textFill>
                  <w14:solidFill>
                    <w14:schemeClr w14:val="tx1"/>
                  </w14:solidFill>
                </w14:textFill>
              </w:rPr>
              <w:fldChar w:fldCharType="begin"/>
            </w:r>
            <w:r>
              <w:rPr>
                <w:rFonts w:ascii="Times New Roman"/>
                <w:b/>
                <w:bCs/>
                <w:snapToGrid w:val="0"/>
                <w:color w:val="000000" w:themeColor="text1"/>
                <w:spacing w:val="-16"/>
                <w:kern w:val="21"/>
                <w:sz w:val="21"/>
                <w:szCs w:val="21"/>
                <w14:textFill>
                  <w14:solidFill>
                    <w14:schemeClr w14:val="tx1"/>
                  </w14:solidFill>
                </w14:textFill>
              </w:rPr>
              <w:instrText xml:space="preserve"> = 6 \* GB3 \* MERGEFORMAT </w:instrText>
            </w:r>
            <w:r>
              <w:rPr>
                <w:rFonts w:ascii="Times New Roman"/>
                <w:b/>
                <w:bCs/>
                <w:snapToGrid w:val="0"/>
                <w:color w:val="000000" w:themeColor="text1"/>
                <w:spacing w:val="-16"/>
                <w:kern w:val="21"/>
                <w:sz w:val="21"/>
                <w:szCs w:val="21"/>
                <w14:textFill>
                  <w14:solidFill>
                    <w14:schemeClr w14:val="tx1"/>
                  </w14:solidFill>
                </w14:textFill>
              </w:rPr>
              <w:fldChar w:fldCharType="separate"/>
            </w:r>
            <w:r>
              <w:rPr>
                <w:rFonts w:hint="eastAsia" w:ascii="Times New Roman" w:cs="宋体"/>
                <w:b/>
                <w:bCs/>
                <w:color w:val="000000" w:themeColor="text1"/>
                <w:kern w:val="2"/>
                <w:sz w:val="21"/>
                <w:szCs w:val="21"/>
                <w14:textFill>
                  <w14:solidFill>
                    <w14:schemeClr w14:val="tx1"/>
                  </w14:solidFill>
                </w14:textFill>
              </w:rPr>
              <w:t>⑥</w:t>
            </w:r>
            <w:r>
              <w:rPr>
                <w:rFonts w:ascii="Times New Roman"/>
                <w:b/>
                <w:bCs/>
                <w:snapToGrid w:val="0"/>
                <w:color w:val="000000" w:themeColor="text1"/>
                <w:spacing w:val="-16"/>
                <w:kern w:val="21"/>
                <w:sz w:val="21"/>
                <w:szCs w:val="21"/>
                <w14:textFill>
                  <w14:solidFill>
                    <w14:schemeClr w14:val="tx1"/>
                  </w14:solidFill>
                </w14:textFill>
              </w:rPr>
              <w:fldChar w:fldCharType="end"/>
            </w:r>
          </w:p>
        </w:tc>
        <w:tc>
          <w:tcPr>
            <w:tcW w:w="1450" w:type="dxa"/>
            <w:tcMar>
              <w:left w:w="28" w:type="dxa"/>
              <w:right w:w="28" w:type="dxa"/>
            </w:tcMar>
            <w:vAlign w:val="center"/>
          </w:tcPr>
          <w:p w14:paraId="64167433">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t>变化量</w:t>
            </w:r>
            <w:r>
              <w:rPr>
                <w:rFonts w:hint="eastAsia" w:ascii="Times New Roman"/>
                <w:b/>
                <w:bCs/>
                <w:snapToGrid w:val="0"/>
                <w:color w:val="000000" w:themeColor="text1"/>
                <w:spacing w:val="-6"/>
                <w:kern w:val="21"/>
                <w:sz w:val="21"/>
                <w:szCs w:val="21"/>
                <w14:textFill>
                  <w14:solidFill>
                    <w14:schemeClr w14:val="tx1"/>
                  </w14:solidFill>
                </w14:textFill>
              </w:rPr>
              <w:t>t/a</w:t>
            </w:r>
          </w:p>
          <w:p w14:paraId="4C74A669">
            <w:pPr>
              <w:pStyle w:val="68"/>
              <w:spacing w:beforeLines="0" w:afterLines="0" w:line="240" w:lineRule="auto"/>
              <w:ind w:firstLine="0" w:firstLineChars="0"/>
              <w:rPr>
                <w:rFonts w:ascii="Times New Roman"/>
                <w:b/>
                <w:bCs/>
                <w:snapToGrid w:val="0"/>
                <w:color w:val="000000" w:themeColor="text1"/>
                <w:spacing w:val="-6"/>
                <w:kern w:val="21"/>
                <w:sz w:val="21"/>
                <w:szCs w:val="21"/>
                <w14:textFill>
                  <w14:solidFill>
                    <w14:schemeClr w14:val="tx1"/>
                  </w14:solidFill>
                </w14:textFill>
              </w:rPr>
            </w:pPr>
            <w:r>
              <w:rPr>
                <w:rFonts w:ascii="Times New Roman"/>
                <w:b/>
                <w:bCs/>
                <w:snapToGrid w:val="0"/>
                <w:color w:val="000000" w:themeColor="text1"/>
                <w:spacing w:val="-6"/>
                <w:kern w:val="21"/>
                <w:sz w:val="21"/>
                <w:szCs w:val="21"/>
                <w14:textFill>
                  <w14:solidFill>
                    <w14:schemeClr w14:val="tx1"/>
                  </w14:solidFill>
                </w14:textFill>
              </w:rPr>
              <w:fldChar w:fldCharType="begin"/>
            </w:r>
            <w:r>
              <w:rPr>
                <w:rFonts w:ascii="Times New Roman"/>
                <w:b/>
                <w:bCs/>
                <w:snapToGrid w:val="0"/>
                <w:color w:val="000000" w:themeColor="text1"/>
                <w:spacing w:val="-6"/>
                <w:kern w:val="21"/>
                <w:sz w:val="21"/>
                <w:szCs w:val="21"/>
                <w14:textFill>
                  <w14:solidFill>
                    <w14:schemeClr w14:val="tx1"/>
                  </w14:solidFill>
                </w14:textFill>
              </w:rPr>
              <w:instrText xml:space="preserve"> = 7 \* GB3 \* MERGEFORMAT </w:instrText>
            </w:r>
            <w:r>
              <w:rPr>
                <w:rFonts w:ascii="Times New Roman"/>
                <w:b/>
                <w:bCs/>
                <w:snapToGrid w:val="0"/>
                <w:color w:val="000000" w:themeColor="text1"/>
                <w:spacing w:val="-6"/>
                <w:kern w:val="21"/>
                <w:sz w:val="21"/>
                <w:szCs w:val="21"/>
                <w14:textFill>
                  <w14:solidFill>
                    <w14:schemeClr w14:val="tx1"/>
                  </w14:solidFill>
                </w14:textFill>
              </w:rPr>
              <w:fldChar w:fldCharType="separate"/>
            </w:r>
            <w:r>
              <w:rPr>
                <w:rFonts w:hint="eastAsia" w:ascii="Times New Roman" w:cs="宋体"/>
                <w:b/>
                <w:bCs/>
                <w:color w:val="000000" w:themeColor="text1"/>
                <w:kern w:val="2"/>
                <w:sz w:val="21"/>
                <w:szCs w:val="21"/>
                <w14:textFill>
                  <w14:solidFill>
                    <w14:schemeClr w14:val="tx1"/>
                  </w14:solidFill>
                </w14:textFill>
              </w:rPr>
              <w:t>⑦</w:t>
            </w:r>
            <w:r>
              <w:rPr>
                <w:rFonts w:ascii="Times New Roman"/>
                <w:b/>
                <w:bCs/>
                <w:snapToGrid w:val="0"/>
                <w:color w:val="000000" w:themeColor="text1"/>
                <w:spacing w:val="-6"/>
                <w:kern w:val="21"/>
                <w:sz w:val="21"/>
                <w:szCs w:val="21"/>
                <w14:textFill>
                  <w14:solidFill>
                    <w14:schemeClr w14:val="tx1"/>
                  </w14:solidFill>
                </w14:textFill>
              </w:rPr>
              <w:fldChar w:fldCharType="end"/>
            </w:r>
          </w:p>
        </w:tc>
      </w:tr>
      <w:tr w14:paraId="5A560C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restart"/>
            <w:vAlign w:val="center"/>
          </w:tcPr>
          <w:p w14:paraId="3643C4C6">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r>
              <w:rPr>
                <w:rFonts w:hint="eastAsia" w:ascii="Times New Roman" w:cs="宋体"/>
                <w:snapToGrid w:val="0"/>
                <w:color w:val="000000" w:themeColor="text1"/>
                <w:kern w:val="21"/>
                <w:sz w:val="21"/>
                <w:szCs w:val="21"/>
                <w14:textFill>
                  <w14:solidFill>
                    <w14:schemeClr w14:val="tx1"/>
                  </w14:solidFill>
                </w14:textFill>
              </w:rPr>
              <w:t>废气</w:t>
            </w:r>
          </w:p>
        </w:tc>
        <w:tc>
          <w:tcPr>
            <w:tcW w:w="1399" w:type="dxa"/>
            <w:vAlign w:val="center"/>
          </w:tcPr>
          <w:p w14:paraId="60E0C262">
            <w:pPr>
              <w:widowControl/>
              <w:spacing w:line="240" w:lineRule="auto"/>
              <w:ind w:firstLine="0" w:firstLineChars="0"/>
              <w:jc w:val="center"/>
              <w:textAlignment w:val="center"/>
              <w:rPr>
                <w:rFonts w:hint="eastAsia"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颗粒物</w:t>
            </w:r>
          </w:p>
        </w:tc>
        <w:tc>
          <w:tcPr>
            <w:tcW w:w="1680" w:type="dxa"/>
            <w:vAlign w:val="center"/>
          </w:tcPr>
          <w:p w14:paraId="298E1D5E">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260" w:type="dxa"/>
            <w:vAlign w:val="center"/>
          </w:tcPr>
          <w:p w14:paraId="4C096AFA">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680" w:type="dxa"/>
            <w:vAlign w:val="center"/>
          </w:tcPr>
          <w:p w14:paraId="2059CBC5">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540" w:type="dxa"/>
            <w:vAlign w:val="center"/>
          </w:tcPr>
          <w:p w14:paraId="2FEAFAF7">
            <w:pPr>
              <w:pStyle w:val="54"/>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0.043</w:t>
            </w:r>
          </w:p>
        </w:tc>
        <w:tc>
          <w:tcPr>
            <w:tcW w:w="1366" w:type="dxa"/>
            <w:vAlign w:val="center"/>
          </w:tcPr>
          <w:p w14:paraId="64AAAA9F">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sz w:val="21"/>
                <w:szCs w:val="21"/>
                <w14:textFill>
                  <w14:solidFill>
                    <w14:schemeClr w14:val="tx1"/>
                  </w14:solidFill>
                </w14:textFill>
              </w:rPr>
              <w:t>0</w:t>
            </w:r>
          </w:p>
        </w:tc>
        <w:tc>
          <w:tcPr>
            <w:tcW w:w="1674" w:type="dxa"/>
            <w:vAlign w:val="center"/>
          </w:tcPr>
          <w:p w14:paraId="02608E40">
            <w:pPr>
              <w:pStyle w:val="54"/>
              <w:rPr>
                <w:rFonts w:hint="eastAsia" w:eastAsia="宋体"/>
                <w:color w:val="000000" w:themeColor="text1"/>
                <w:sz w:val="21"/>
                <w:szCs w:val="21"/>
                <w:lang w:eastAsia="zh-CN"/>
                <w14:textFill>
                  <w14:solidFill>
                    <w14:schemeClr w14:val="tx1"/>
                  </w14:solidFill>
                </w14:textFill>
              </w:rPr>
            </w:pPr>
          </w:p>
        </w:tc>
        <w:tc>
          <w:tcPr>
            <w:tcW w:w="1450" w:type="dxa"/>
            <w:vAlign w:val="center"/>
          </w:tcPr>
          <w:p w14:paraId="4D3DE3B9">
            <w:pPr>
              <w:pStyle w:val="54"/>
              <w:rPr>
                <w:color w:val="000000" w:themeColor="text1"/>
                <w:sz w:val="21"/>
                <w:szCs w:val="21"/>
                <w14:textFill>
                  <w14:solidFill>
                    <w14:schemeClr w14:val="tx1"/>
                  </w14:solidFill>
                </w14:textFill>
              </w:rPr>
            </w:pPr>
          </w:p>
        </w:tc>
      </w:tr>
      <w:tr w14:paraId="20243A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3219F38B">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28A0EFA4">
            <w:pPr>
              <w:widowControl/>
              <w:spacing w:line="240" w:lineRule="auto"/>
              <w:ind w:firstLine="0" w:firstLineChars="0"/>
              <w:jc w:val="center"/>
              <w:textAlignment w:val="center"/>
              <w:rPr>
                <w:rFonts w:hint="eastAsia"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苯乙烯</w:t>
            </w:r>
          </w:p>
        </w:tc>
        <w:tc>
          <w:tcPr>
            <w:tcW w:w="1680" w:type="dxa"/>
            <w:vAlign w:val="center"/>
          </w:tcPr>
          <w:p w14:paraId="41163FBE">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260" w:type="dxa"/>
            <w:vAlign w:val="center"/>
          </w:tcPr>
          <w:p w14:paraId="0D983BB6">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680" w:type="dxa"/>
            <w:vAlign w:val="center"/>
          </w:tcPr>
          <w:p w14:paraId="243766DF">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540" w:type="dxa"/>
            <w:vAlign w:val="center"/>
          </w:tcPr>
          <w:p w14:paraId="7C7243DD">
            <w:pPr>
              <w:widowControl/>
              <w:spacing w:line="240" w:lineRule="auto"/>
              <w:ind w:firstLine="0" w:firstLineChars="0"/>
              <w:jc w:val="center"/>
              <w:textAlignment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0.016</w:t>
            </w:r>
          </w:p>
        </w:tc>
        <w:tc>
          <w:tcPr>
            <w:tcW w:w="1366" w:type="dxa"/>
            <w:vAlign w:val="center"/>
          </w:tcPr>
          <w:p w14:paraId="46A260BB">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674" w:type="dxa"/>
            <w:vAlign w:val="center"/>
          </w:tcPr>
          <w:p w14:paraId="5E65D20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0338410D">
            <w:pPr>
              <w:pStyle w:val="54"/>
              <w:rPr>
                <w:color w:val="000000" w:themeColor="text1"/>
                <w:sz w:val="21"/>
                <w:szCs w:val="21"/>
                <w14:textFill>
                  <w14:solidFill>
                    <w14:schemeClr w14:val="tx1"/>
                  </w14:solidFill>
                </w14:textFill>
              </w:rPr>
            </w:pPr>
          </w:p>
        </w:tc>
      </w:tr>
      <w:tr w14:paraId="03649E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28EB1BF2">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5E9BE662">
            <w:pPr>
              <w:widowControl/>
              <w:spacing w:line="240" w:lineRule="auto"/>
              <w:ind w:firstLine="0" w:firstLineChars="0"/>
              <w:jc w:val="center"/>
              <w:textAlignment w:val="center"/>
              <w:rPr>
                <w:rFonts w:hint="eastAsia"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二甲苯</w:t>
            </w:r>
          </w:p>
        </w:tc>
        <w:tc>
          <w:tcPr>
            <w:tcW w:w="1680" w:type="dxa"/>
            <w:vAlign w:val="center"/>
          </w:tcPr>
          <w:p w14:paraId="1DE224C8">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260" w:type="dxa"/>
            <w:vAlign w:val="center"/>
          </w:tcPr>
          <w:p w14:paraId="07A9C4B5">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680" w:type="dxa"/>
            <w:vAlign w:val="center"/>
          </w:tcPr>
          <w:p w14:paraId="16EC0223">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540" w:type="dxa"/>
            <w:vAlign w:val="center"/>
          </w:tcPr>
          <w:p w14:paraId="771ABCE6">
            <w:pPr>
              <w:widowControl/>
              <w:spacing w:line="240" w:lineRule="auto"/>
              <w:ind w:firstLine="0" w:firstLineChars="0"/>
              <w:jc w:val="center"/>
              <w:textAlignment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0.208</w:t>
            </w:r>
          </w:p>
        </w:tc>
        <w:tc>
          <w:tcPr>
            <w:tcW w:w="1366" w:type="dxa"/>
            <w:vAlign w:val="center"/>
          </w:tcPr>
          <w:p w14:paraId="57CDA8A2">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674" w:type="dxa"/>
            <w:vAlign w:val="center"/>
          </w:tcPr>
          <w:p w14:paraId="07CB2A0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18189DA6">
            <w:pPr>
              <w:pStyle w:val="54"/>
              <w:rPr>
                <w:color w:val="000000" w:themeColor="text1"/>
                <w:sz w:val="21"/>
                <w:szCs w:val="21"/>
                <w14:textFill>
                  <w14:solidFill>
                    <w14:schemeClr w14:val="tx1"/>
                  </w14:solidFill>
                </w14:textFill>
              </w:rPr>
            </w:pPr>
          </w:p>
        </w:tc>
      </w:tr>
      <w:tr w14:paraId="4440FB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0622E32D">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4B5E1467">
            <w:pPr>
              <w:widowControl/>
              <w:spacing w:line="240" w:lineRule="auto"/>
              <w:ind w:firstLine="0" w:firstLineChars="0"/>
              <w:jc w:val="center"/>
              <w:textAlignment w:val="center"/>
              <w:rPr>
                <w:rFonts w:hint="default"/>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TVOC</w:t>
            </w:r>
          </w:p>
        </w:tc>
        <w:tc>
          <w:tcPr>
            <w:tcW w:w="1680" w:type="dxa"/>
            <w:vAlign w:val="center"/>
          </w:tcPr>
          <w:p w14:paraId="5F78D0FF">
            <w:pPr>
              <w:pStyle w:val="54"/>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1260" w:type="dxa"/>
            <w:vAlign w:val="center"/>
          </w:tcPr>
          <w:p w14:paraId="5C937683">
            <w:pPr>
              <w:pStyle w:val="54"/>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1680" w:type="dxa"/>
            <w:vAlign w:val="center"/>
          </w:tcPr>
          <w:p w14:paraId="6B2F458C">
            <w:pPr>
              <w:pStyle w:val="54"/>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1540" w:type="dxa"/>
            <w:vAlign w:val="center"/>
          </w:tcPr>
          <w:p w14:paraId="4A83F6CF">
            <w:pPr>
              <w:widowControl/>
              <w:spacing w:line="240" w:lineRule="auto"/>
              <w:ind w:firstLine="0" w:firstLineChars="0"/>
              <w:jc w:val="center"/>
              <w:textAlignment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0.850</w:t>
            </w:r>
          </w:p>
        </w:tc>
        <w:tc>
          <w:tcPr>
            <w:tcW w:w="1366" w:type="dxa"/>
            <w:vAlign w:val="center"/>
          </w:tcPr>
          <w:p w14:paraId="43AC9495">
            <w:pPr>
              <w:pStyle w:val="54"/>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w:t>
            </w:r>
          </w:p>
        </w:tc>
        <w:tc>
          <w:tcPr>
            <w:tcW w:w="1674" w:type="dxa"/>
            <w:vAlign w:val="center"/>
          </w:tcPr>
          <w:p w14:paraId="293FA8F3">
            <w:pPr>
              <w:widowControl/>
              <w:spacing w:line="240" w:lineRule="auto"/>
              <w:ind w:firstLine="0" w:firstLineChars="0"/>
              <w:jc w:val="center"/>
              <w:textAlignment w:val="center"/>
              <w:rPr>
                <w:rFonts w:hint="eastAsia"/>
                <w:color w:val="000000" w:themeColor="text1"/>
                <w:kern w:val="0"/>
                <w:sz w:val="21"/>
                <w:szCs w:val="21"/>
                <w:lang w:bidi="ar"/>
                <w14:textFill>
                  <w14:solidFill>
                    <w14:schemeClr w14:val="tx1"/>
                  </w14:solidFill>
                </w14:textFill>
              </w:rPr>
            </w:pPr>
          </w:p>
        </w:tc>
        <w:tc>
          <w:tcPr>
            <w:tcW w:w="1450" w:type="dxa"/>
            <w:vAlign w:val="center"/>
          </w:tcPr>
          <w:p w14:paraId="0E06B3AD">
            <w:pPr>
              <w:pStyle w:val="54"/>
              <w:rPr>
                <w:rFonts w:hint="eastAsia"/>
                <w:color w:val="000000" w:themeColor="text1"/>
                <w:sz w:val="21"/>
                <w:szCs w:val="21"/>
                <w:lang w:bidi="ar"/>
                <w14:textFill>
                  <w14:solidFill>
                    <w14:schemeClr w14:val="tx1"/>
                  </w14:solidFill>
                </w14:textFill>
              </w:rPr>
            </w:pPr>
          </w:p>
        </w:tc>
      </w:tr>
      <w:tr w14:paraId="02B4D4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restart"/>
            <w:vAlign w:val="center"/>
          </w:tcPr>
          <w:p w14:paraId="6E0CF39E">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r>
              <w:rPr>
                <w:rFonts w:hint="eastAsia" w:ascii="Times New Roman" w:cs="宋体"/>
                <w:snapToGrid w:val="0"/>
                <w:color w:val="000000" w:themeColor="text1"/>
                <w:kern w:val="21"/>
                <w:sz w:val="21"/>
                <w:szCs w:val="21"/>
                <w14:textFill>
                  <w14:solidFill>
                    <w14:schemeClr w14:val="tx1"/>
                  </w14:solidFill>
                </w14:textFill>
              </w:rPr>
              <w:t>废水</w:t>
            </w:r>
          </w:p>
        </w:tc>
        <w:tc>
          <w:tcPr>
            <w:tcW w:w="1399" w:type="dxa"/>
            <w:vAlign w:val="center"/>
          </w:tcPr>
          <w:p w14:paraId="01EAE7A4">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COD</w:t>
            </w:r>
          </w:p>
        </w:tc>
        <w:tc>
          <w:tcPr>
            <w:tcW w:w="1680" w:type="dxa"/>
            <w:vAlign w:val="center"/>
          </w:tcPr>
          <w:p w14:paraId="2BC54024">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260" w:type="dxa"/>
            <w:vAlign w:val="center"/>
          </w:tcPr>
          <w:p w14:paraId="493A7C72">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680" w:type="dxa"/>
            <w:vAlign w:val="center"/>
          </w:tcPr>
          <w:p w14:paraId="63C50A50">
            <w:pPr>
              <w:pStyle w:val="54"/>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1540" w:type="dxa"/>
            <w:vAlign w:val="center"/>
          </w:tcPr>
          <w:p w14:paraId="1929844B">
            <w:pPr>
              <w:pStyle w:val="54"/>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0.437 </w:t>
            </w:r>
          </w:p>
        </w:tc>
        <w:tc>
          <w:tcPr>
            <w:tcW w:w="1366" w:type="dxa"/>
            <w:vAlign w:val="center"/>
          </w:tcPr>
          <w:p w14:paraId="68C4F3E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sz w:val="21"/>
                <w:szCs w:val="21"/>
                <w14:textFill>
                  <w14:solidFill>
                    <w14:schemeClr w14:val="tx1"/>
                  </w14:solidFill>
                </w14:textFill>
              </w:rPr>
              <w:t>0</w:t>
            </w:r>
          </w:p>
        </w:tc>
        <w:tc>
          <w:tcPr>
            <w:tcW w:w="1674" w:type="dxa"/>
            <w:vAlign w:val="center"/>
          </w:tcPr>
          <w:p w14:paraId="66CEE4A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2A25AEEF">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7BEC28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6E4440A3">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4B709E49">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BOD</w:t>
            </w:r>
            <w:r>
              <w:rPr>
                <w:color w:val="000000" w:themeColor="text1"/>
                <w:kern w:val="0"/>
                <w:sz w:val="21"/>
                <w:szCs w:val="21"/>
                <w:vertAlign w:val="subscript"/>
                <w:lang w:bidi="ar"/>
                <w14:textFill>
                  <w14:solidFill>
                    <w14:schemeClr w14:val="tx1"/>
                  </w14:solidFill>
                </w14:textFill>
              </w:rPr>
              <w:t>5</w:t>
            </w:r>
          </w:p>
        </w:tc>
        <w:tc>
          <w:tcPr>
            <w:tcW w:w="1680" w:type="dxa"/>
            <w:vAlign w:val="center"/>
          </w:tcPr>
          <w:p w14:paraId="3A7524AC">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3B0C9F45">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6E46EA2A">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vAlign w:val="center"/>
          </w:tcPr>
          <w:p w14:paraId="31922DC4">
            <w:pPr>
              <w:pStyle w:val="54"/>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0.175 </w:t>
            </w:r>
          </w:p>
        </w:tc>
        <w:tc>
          <w:tcPr>
            <w:tcW w:w="1366" w:type="dxa"/>
            <w:vAlign w:val="center"/>
          </w:tcPr>
          <w:p w14:paraId="4FF2903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279484C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07B6692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797A9D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2DEBC5D3">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4910F78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SS</w:t>
            </w:r>
          </w:p>
        </w:tc>
        <w:tc>
          <w:tcPr>
            <w:tcW w:w="1680" w:type="dxa"/>
            <w:vAlign w:val="center"/>
          </w:tcPr>
          <w:p w14:paraId="2AF4177C">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7135C10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363BAA6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vAlign w:val="center"/>
          </w:tcPr>
          <w:p w14:paraId="2A04D802">
            <w:pPr>
              <w:pStyle w:val="54"/>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0.109 </w:t>
            </w:r>
          </w:p>
        </w:tc>
        <w:tc>
          <w:tcPr>
            <w:tcW w:w="1366" w:type="dxa"/>
            <w:vAlign w:val="center"/>
          </w:tcPr>
          <w:p w14:paraId="16DF8D1C">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1935307C">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2891B93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4E4084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6FED1519">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754F583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氨氮</w:t>
            </w:r>
          </w:p>
        </w:tc>
        <w:tc>
          <w:tcPr>
            <w:tcW w:w="1680" w:type="dxa"/>
            <w:vAlign w:val="center"/>
          </w:tcPr>
          <w:p w14:paraId="7FF7303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49023EF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763598F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vAlign w:val="center"/>
          </w:tcPr>
          <w:p w14:paraId="013A076A">
            <w:pPr>
              <w:pStyle w:val="54"/>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0.052 </w:t>
            </w:r>
          </w:p>
        </w:tc>
        <w:tc>
          <w:tcPr>
            <w:tcW w:w="1366" w:type="dxa"/>
            <w:vAlign w:val="center"/>
          </w:tcPr>
          <w:p w14:paraId="2A3B0C4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3653D8EA">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49B56069">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04A7D9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1C315CBE">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2CBFB83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TP</w:t>
            </w:r>
          </w:p>
        </w:tc>
        <w:tc>
          <w:tcPr>
            <w:tcW w:w="1680" w:type="dxa"/>
            <w:vAlign w:val="center"/>
          </w:tcPr>
          <w:p w14:paraId="520A217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69B2C11F">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09A7BBE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vAlign w:val="center"/>
          </w:tcPr>
          <w:p w14:paraId="02DF2C49">
            <w:pPr>
              <w:pStyle w:val="54"/>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0.009 </w:t>
            </w:r>
          </w:p>
        </w:tc>
        <w:tc>
          <w:tcPr>
            <w:tcW w:w="1366" w:type="dxa"/>
            <w:vAlign w:val="center"/>
          </w:tcPr>
          <w:p w14:paraId="46B2B0E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503A6E15">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6C9E0161">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5B1E83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3657A4C9">
            <w:pPr>
              <w:pStyle w:val="68"/>
              <w:spacing w:beforeLines="0" w:afterLines="0" w:line="240" w:lineRule="auto"/>
              <w:ind w:firstLine="0" w:firstLineChars="0"/>
              <w:rPr>
                <w:rFonts w:ascii="Times New Roman" w:cs="宋体"/>
                <w:snapToGrid w:val="0"/>
                <w:color w:val="000000" w:themeColor="text1"/>
                <w:kern w:val="21"/>
                <w:sz w:val="21"/>
                <w:szCs w:val="21"/>
                <w14:textFill>
                  <w14:solidFill>
                    <w14:schemeClr w14:val="tx1"/>
                  </w14:solidFill>
                </w14:textFill>
              </w:rPr>
            </w:pPr>
          </w:p>
        </w:tc>
        <w:tc>
          <w:tcPr>
            <w:tcW w:w="1399" w:type="dxa"/>
            <w:vAlign w:val="center"/>
          </w:tcPr>
          <w:p w14:paraId="5B59770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动植物油</w:t>
            </w:r>
          </w:p>
        </w:tc>
        <w:tc>
          <w:tcPr>
            <w:tcW w:w="1680" w:type="dxa"/>
            <w:vAlign w:val="center"/>
          </w:tcPr>
          <w:p w14:paraId="12392B3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363C336D">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3E8DB0E4">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vAlign w:val="center"/>
          </w:tcPr>
          <w:p w14:paraId="5CC801EE">
            <w:pPr>
              <w:pStyle w:val="54"/>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 xml:space="preserve">0.022 </w:t>
            </w:r>
          </w:p>
        </w:tc>
        <w:tc>
          <w:tcPr>
            <w:tcW w:w="1366" w:type="dxa"/>
            <w:vAlign w:val="center"/>
          </w:tcPr>
          <w:p w14:paraId="7FFEDEE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6FBA1CC8">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51EF0EF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09EF9E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Align w:val="center"/>
          </w:tcPr>
          <w:p w14:paraId="3CA50168">
            <w:pPr>
              <w:pStyle w:val="54"/>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生活垃圾</w:t>
            </w:r>
          </w:p>
        </w:tc>
        <w:tc>
          <w:tcPr>
            <w:tcW w:w="1399" w:type="dxa"/>
            <w:vAlign w:val="center"/>
          </w:tcPr>
          <w:p w14:paraId="2133C295">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生活</w:t>
            </w:r>
          </w:p>
          <w:p w14:paraId="59BC92C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rFonts w:hint="eastAsia"/>
                <w:color w:val="000000" w:themeColor="text1"/>
                <w:kern w:val="0"/>
                <w:sz w:val="21"/>
                <w:szCs w:val="21"/>
                <w:lang w:bidi="ar"/>
                <w14:textFill>
                  <w14:solidFill>
                    <w14:schemeClr w14:val="tx1"/>
                  </w14:solidFill>
                </w14:textFill>
              </w:rPr>
              <w:t>垃圾</w:t>
            </w:r>
          </w:p>
        </w:tc>
        <w:tc>
          <w:tcPr>
            <w:tcW w:w="1680" w:type="dxa"/>
            <w:vAlign w:val="center"/>
          </w:tcPr>
          <w:p w14:paraId="32572B5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55277789">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66219A0F">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vAlign w:val="center"/>
          </w:tcPr>
          <w:p w14:paraId="322022BE">
            <w:pPr>
              <w:widowControl/>
              <w:spacing w:line="240" w:lineRule="auto"/>
              <w:ind w:firstLine="0" w:firstLineChars="0"/>
              <w:jc w:val="center"/>
              <w:textAlignment w:val="center"/>
              <w:rPr>
                <w:rFonts w:hint="default" w:eastAsia="宋体"/>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13.65</w:t>
            </w:r>
          </w:p>
        </w:tc>
        <w:tc>
          <w:tcPr>
            <w:tcW w:w="1366" w:type="dxa"/>
            <w:vAlign w:val="center"/>
          </w:tcPr>
          <w:p w14:paraId="15E19F14">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0BA083C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27EB538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2991C0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restart"/>
            <w:vAlign w:val="center"/>
          </w:tcPr>
          <w:p w14:paraId="48A48E3A">
            <w:pPr>
              <w:pStyle w:val="54"/>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一般工业固体废物</w:t>
            </w:r>
          </w:p>
        </w:tc>
        <w:tc>
          <w:tcPr>
            <w:tcW w:w="1399" w:type="dxa"/>
            <w:shd w:val="clear" w:color="auto" w:fill="auto"/>
            <w:vAlign w:val="center"/>
          </w:tcPr>
          <w:p w14:paraId="6BF132D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废包装袋</w:t>
            </w:r>
          </w:p>
        </w:tc>
        <w:tc>
          <w:tcPr>
            <w:tcW w:w="1680" w:type="dxa"/>
            <w:vAlign w:val="center"/>
          </w:tcPr>
          <w:p w14:paraId="1F375D69">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2A0744C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73E5A87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4C7D670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0.166</w:t>
            </w:r>
          </w:p>
        </w:tc>
        <w:tc>
          <w:tcPr>
            <w:tcW w:w="1366" w:type="dxa"/>
            <w:vAlign w:val="center"/>
          </w:tcPr>
          <w:p w14:paraId="01E54FA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552CAB2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2DAEE4F1">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7D0F76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577FA0A8">
            <w:pPr>
              <w:pStyle w:val="54"/>
              <w:rPr>
                <w:color w:val="000000" w:themeColor="text1"/>
                <w:sz w:val="21"/>
                <w:szCs w:val="21"/>
                <w14:textFill>
                  <w14:solidFill>
                    <w14:schemeClr w14:val="tx1"/>
                  </w14:solidFill>
                </w14:textFill>
              </w:rPr>
            </w:pPr>
          </w:p>
        </w:tc>
        <w:tc>
          <w:tcPr>
            <w:tcW w:w="1399" w:type="dxa"/>
            <w:shd w:val="clear" w:color="auto" w:fill="auto"/>
            <w:vAlign w:val="center"/>
          </w:tcPr>
          <w:p w14:paraId="5643330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废模具</w:t>
            </w:r>
          </w:p>
        </w:tc>
        <w:tc>
          <w:tcPr>
            <w:tcW w:w="1680" w:type="dxa"/>
            <w:vAlign w:val="center"/>
          </w:tcPr>
          <w:p w14:paraId="6B08B5B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4830B74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0FF2F6E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76F5ED6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4.000</w:t>
            </w:r>
          </w:p>
        </w:tc>
        <w:tc>
          <w:tcPr>
            <w:tcW w:w="1366" w:type="dxa"/>
            <w:vAlign w:val="center"/>
          </w:tcPr>
          <w:p w14:paraId="53A1763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743FED5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5380537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37ABB7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554A2CEF">
            <w:pPr>
              <w:pStyle w:val="54"/>
              <w:rPr>
                <w:color w:val="000000" w:themeColor="text1"/>
                <w:sz w:val="21"/>
                <w:szCs w:val="21"/>
                <w14:textFill>
                  <w14:solidFill>
                    <w14:schemeClr w14:val="tx1"/>
                  </w14:solidFill>
                </w14:textFill>
              </w:rPr>
            </w:pPr>
          </w:p>
        </w:tc>
        <w:tc>
          <w:tcPr>
            <w:tcW w:w="1399" w:type="dxa"/>
            <w:shd w:val="clear" w:color="auto" w:fill="auto"/>
            <w:vAlign w:val="center"/>
          </w:tcPr>
          <w:p w14:paraId="19AAC0B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边角料</w:t>
            </w:r>
          </w:p>
        </w:tc>
        <w:tc>
          <w:tcPr>
            <w:tcW w:w="1680" w:type="dxa"/>
            <w:vAlign w:val="center"/>
          </w:tcPr>
          <w:p w14:paraId="46B0EC6D">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0C6ADC4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7A92537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5A9989E5">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w:t>
            </w: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450</w:t>
            </w:r>
          </w:p>
        </w:tc>
        <w:tc>
          <w:tcPr>
            <w:tcW w:w="1366" w:type="dxa"/>
            <w:vAlign w:val="center"/>
          </w:tcPr>
          <w:p w14:paraId="4F4C0BE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33718478">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24F3CA7C">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0A73EF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519F727F">
            <w:pPr>
              <w:pStyle w:val="54"/>
              <w:rPr>
                <w:color w:val="000000" w:themeColor="text1"/>
                <w:sz w:val="21"/>
                <w:szCs w:val="21"/>
                <w14:textFill>
                  <w14:solidFill>
                    <w14:schemeClr w14:val="tx1"/>
                  </w14:solidFill>
                </w14:textFill>
              </w:rPr>
            </w:pPr>
          </w:p>
        </w:tc>
        <w:tc>
          <w:tcPr>
            <w:tcW w:w="1399" w:type="dxa"/>
            <w:shd w:val="clear" w:color="auto" w:fill="auto"/>
            <w:vAlign w:val="center"/>
          </w:tcPr>
          <w:p w14:paraId="6CF8459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布袋除尘收集尘</w:t>
            </w:r>
          </w:p>
        </w:tc>
        <w:tc>
          <w:tcPr>
            <w:tcW w:w="1680" w:type="dxa"/>
            <w:vAlign w:val="center"/>
          </w:tcPr>
          <w:p w14:paraId="0B93327D">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29049D88">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311C461F">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24BAD35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0.150</w:t>
            </w:r>
          </w:p>
        </w:tc>
        <w:tc>
          <w:tcPr>
            <w:tcW w:w="1366" w:type="dxa"/>
            <w:vAlign w:val="center"/>
          </w:tcPr>
          <w:p w14:paraId="2E49FC9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676C9DE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4CF2675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4F892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1CCAA643">
            <w:pPr>
              <w:pStyle w:val="54"/>
              <w:rPr>
                <w:color w:val="000000" w:themeColor="text1"/>
                <w:sz w:val="21"/>
                <w:szCs w:val="21"/>
                <w14:textFill>
                  <w14:solidFill>
                    <w14:schemeClr w14:val="tx1"/>
                  </w14:solidFill>
                </w14:textFill>
              </w:rPr>
            </w:pPr>
          </w:p>
        </w:tc>
        <w:tc>
          <w:tcPr>
            <w:tcW w:w="1399" w:type="dxa"/>
            <w:shd w:val="clear" w:color="auto" w:fill="auto"/>
            <w:vAlign w:val="center"/>
          </w:tcPr>
          <w:p w14:paraId="25591AA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废布袋</w:t>
            </w:r>
          </w:p>
        </w:tc>
        <w:tc>
          <w:tcPr>
            <w:tcW w:w="1680" w:type="dxa"/>
            <w:vAlign w:val="center"/>
          </w:tcPr>
          <w:p w14:paraId="666048FD">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16DD075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386EC6D5">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0CCE9E6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0.002</w:t>
            </w:r>
          </w:p>
        </w:tc>
        <w:tc>
          <w:tcPr>
            <w:tcW w:w="1366" w:type="dxa"/>
            <w:vAlign w:val="center"/>
          </w:tcPr>
          <w:p w14:paraId="6D9F20F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sz w:val="21"/>
                <w:szCs w:val="21"/>
                <w14:textFill>
                  <w14:solidFill>
                    <w14:schemeClr w14:val="tx1"/>
                  </w14:solidFill>
                </w14:textFill>
              </w:rPr>
              <w:t>0</w:t>
            </w:r>
          </w:p>
        </w:tc>
        <w:tc>
          <w:tcPr>
            <w:tcW w:w="1674" w:type="dxa"/>
            <w:vAlign w:val="center"/>
          </w:tcPr>
          <w:p w14:paraId="0CC09E3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5483636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5CCF5C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5B9EC1BF">
            <w:pPr>
              <w:pStyle w:val="54"/>
              <w:rPr>
                <w:color w:val="000000" w:themeColor="text1"/>
                <w:sz w:val="21"/>
                <w:szCs w:val="21"/>
                <w14:textFill>
                  <w14:solidFill>
                    <w14:schemeClr w14:val="tx1"/>
                  </w14:solidFill>
                </w14:textFill>
              </w:rPr>
            </w:pPr>
          </w:p>
        </w:tc>
        <w:tc>
          <w:tcPr>
            <w:tcW w:w="1399" w:type="dxa"/>
            <w:shd w:val="clear" w:color="auto" w:fill="auto"/>
            <w:vAlign w:val="center"/>
          </w:tcPr>
          <w:p w14:paraId="747BADFA">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车间沉降粉尘</w:t>
            </w:r>
          </w:p>
        </w:tc>
        <w:tc>
          <w:tcPr>
            <w:tcW w:w="1680" w:type="dxa"/>
            <w:vAlign w:val="center"/>
          </w:tcPr>
          <w:p w14:paraId="47CE37BF">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4D3D71D4">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4944AAE1">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6A5C63E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0.003</w:t>
            </w:r>
          </w:p>
        </w:tc>
        <w:tc>
          <w:tcPr>
            <w:tcW w:w="1366" w:type="dxa"/>
            <w:vAlign w:val="center"/>
          </w:tcPr>
          <w:p w14:paraId="7571CA3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sz w:val="21"/>
                <w:szCs w:val="21"/>
                <w14:textFill>
                  <w14:solidFill>
                    <w14:schemeClr w14:val="tx1"/>
                  </w14:solidFill>
                </w14:textFill>
              </w:rPr>
              <w:t>0</w:t>
            </w:r>
          </w:p>
        </w:tc>
        <w:tc>
          <w:tcPr>
            <w:tcW w:w="1674" w:type="dxa"/>
            <w:vAlign w:val="center"/>
          </w:tcPr>
          <w:p w14:paraId="29689C3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2D3EC9C5">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3EA0CB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restart"/>
            <w:vAlign w:val="center"/>
          </w:tcPr>
          <w:p w14:paraId="1A296885">
            <w:pPr>
              <w:pStyle w:val="54"/>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危险废物</w:t>
            </w:r>
          </w:p>
        </w:tc>
        <w:tc>
          <w:tcPr>
            <w:tcW w:w="1399" w:type="dxa"/>
            <w:vAlign w:val="center"/>
          </w:tcPr>
          <w:p w14:paraId="419B639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废包装桶</w:t>
            </w:r>
          </w:p>
        </w:tc>
        <w:tc>
          <w:tcPr>
            <w:tcW w:w="1680" w:type="dxa"/>
            <w:vAlign w:val="center"/>
          </w:tcPr>
          <w:p w14:paraId="0147CD28">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3A96275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2D6FE3BD">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3880924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w:t>
            </w: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580</w:t>
            </w:r>
          </w:p>
        </w:tc>
        <w:tc>
          <w:tcPr>
            <w:tcW w:w="1366" w:type="dxa"/>
            <w:vAlign w:val="center"/>
          </w:tcPr>
          <w:p w14:paraId="377814E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14C74986">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3C5C5E7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003678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vAlign w:val="center"/>
          </w:tcPr>
          <w:p w14:paraId="39A53606">
            <w:pPr>
              <w:pStyle w:val="54"/>
              <w:rPr>
                <w:color w:val="000000" w:themeColor="text1"/>
                <w:sz w:val="21"/>
                <w:szCs w:val="21"/>
                <w14:textFill>
                  <w14:solidFill>
                    <w14:schemeClr w14:val="tx1"/>
                  </w14:solidFill>
                </w14:textFill>
              </w:rPr>
            </w:pPr>
          </w:p>
        </w:tc>
        <w:tc>
          <w:tcPr>
            <w:tcW w:w="1399" w:type="dxa"/>
            <w:vAlign w:val="center"/>
          </w:tcPr>
          <w:p w14:paraId="12165C3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漆渣</w:t>
            </w:r>
          </w:p>
        </w:tc>
        <w:tc>
          <w:tcPr>
            <w:tcW w:w="1680" w:type="dxa"/>
            <w:vAlign w:val="center"/>
          </w:tcPr>
          <w:p w14:paraId="7EDCBA9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74EF226C">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150874E9">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0079C2E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0.197</w:t>
            </w:r>
          </w:p>
        </w:tc>
        <w:tc>
          <w:tcPr>
            <w:tcW w:w="1366" w:type="dxa"/>
            <w:vAlign w:val="center"/>
          </w:tcPr>
          <w:p w14:paraId="5A35AFA4">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589FFD1F">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0CBE6BB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0DF26C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tcPr>
          <w:p w14:paraId="44C9560A">
            <w:pPr>
              <w:pStyle w:val="54"/>
              <w:rPr>
                <w:color w:val="000000" w:themeColor="text1"/>
                <w:sz w:val="21"/>
                <w:szCs w:val="21"/>
                <w14:textFill>
                  <w14:solidFill>
                    <w14:schemeClr w14:val="tx1"/>
                  </w14:solidFill>
                </w14:textFill>
              </w:rPr>
            </w:pPr>
          </w:p>
        </w:tc>
        <w:tc>
          <w:tcPr>
            <w:tcW w:w="1399" w:type="dxa"/>
            <w:vAlign w:val="center"/>
          </w:tcPr>
          <w:p w14:paraId="7AF69DD7">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废彩绘笔</w:t>
            </w:r>
          </w:p>
        </w:tc>
        <w:tc>
          <w:tcPr>
            <w:tcW w:w="1680" w:type="dxa"/>
            <w:vAlign w:val="center"/>
          </w:tcPr>
          <w:p w14:paraId="62123205">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6F15DFD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3538A514">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5921BAD1">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0.094</w:t>
            </w:r>
          </w:p>
        </w:tc>
        <w:tc>
          <w:tcPr>
            <w:tcW w:w="1366" w:type="dxa"/>
            <w:vAlign w:val="center"/>
          </w:tcPr>
          <w:p w14:paraId="7E08D9DC">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349AC961">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312C5CD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12CB95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tcPr>
          <w:p w14:paraId="2832FCFB">
            <w:pPr>
              <w:pStyle w:val="54"/>
              <w:rPr>
                <w:color w:val="000000" w:themeColor="text1"/>
                <w:sz w:val="21"/>
                <w:szCs w:val="21"/>
                <w14:textFill>
                  <w14:solidFill>
                    <w14:schemeClr w14:val="tx1"/>
                  </w14:solidFill>
                </w14:textFill>
              </w:rPr>
            </w:pPr>
          </w:p>
        </w:tc>
        <w:tc>
          <w:tcPr>
            <w:tcW w:w="1399" w:type="dxa"/>
            <w:vAlign w:val="center"/>
          </w:tcPr>
          <w:p w14:paraId="471FE593">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废过滤棉</w:t>
            </w:r>
          </w:p>
        </w:tc>
        <w:tc>
          <w:tcPr>
            <w:tcW w:w="1680" w:type="dxa"/>
            <w:vAlign w:val="center"/>
          </w:tcPr>
          <w:p w14:paraId="2DB721AE">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6593CB8D">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71F4DB0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59839094">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0.426</w:t>
            </w:r>
          </w:p>
        </w:tc>
        <w:tc>
          <w:tcPr>
            <w:tcW w:w="1366" w:type="dxa"/>
            <w:vAlign w:val="center"/>
          </w:tcPr>
          <w:p w14:paraId="274E737B">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07B0F6E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2AFBA3E7">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37A188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tcPr>
          <w:p w14:paraId="27222682">
            <w:pPr>
              <w:pStyle w:val="54"/>
              <w:rPr>
                <w:color w:val="000000" w:themeColor="text1"/>
                <w:sz w:val="21"/>
                <w:szCs w:val="21"/>
                <w14:textFill>
                  <w14:solidFill>
                    <w14:schemeClr w14:val="tx1"/>
                  </w14:solidFill>
                </w14:textFill>
              </w:rPr>
            </w:pPr>
          </w:p>
        </w:tc>
        <w:tc>
          <w:tcPr>
            <w:tcW w:w="1399" w:type="dxa"/>
            <w:vAlign w:val="center"/>
          </w:tcPr>
          <w:p w14:paraId="642C1CB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废活性炭</w:t>
            </w:r>
          </w:p>
        </w:tc>
        <w:tc>
          <w:tcPr>
            <w:tcW w:w="1680" w:type="dxa"/>
            <w:vAlign w:val="center"/>
          </w:tcPr>
          <w:p w14:paraId="0B55BFD8">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73AD798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611B91B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79B14449">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eastAsia="宋体" w:cs="Times New Roman"/>
                <w:b w:val="0"/>
                <w:bCs/>
                <w:color w:val="000000" w:themeColor="text1"/>
                <w:sz w:val="21"/>
                <w:szCs w:val="21"/>
                <w:highlight w:val="none"/>
                <w:vertAlign w:val="baseline"/>
                <w:lang w:val="en-US" w:eastAsia="zh-CN"/>
                <w14:textFill>
                  <w14:solidFill>
                    <w14:schemeClr w14:val="tx1"/>
                  </w14:solidFill>
                </w14:textFill>
              </w:rPr>
              <w:t>5.316</w:t>
            </w:r>
          </w:p>
        </w:tc>
        <w:tc>
          <w:tcPr>
            <w:tcW w:w="1366" w:type="dxa"/>
            <w:vAlign w:val="center"/>
          </w:tcPr>
          <w:p w14:paraId="2095909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24D7E1D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08FEF249">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4B3FDA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tcPr>
          <w:p w14:paraId="4AFC8AE1">
            <w:pPr>
              <w:pStyle w:val="54"/>
              <w:rPr>
                <w:color w:val="000000" w:themeColor="text1"/>
                <w:sz w:val="21"/>
                <w:szCs w:val="21"/>
                <w14:textFill>
                  <w14:solidFill>
                    <w14:schemeClr w14:val="tx1"/>
                  </w14:solidFill>
                </w14:textFill>
              </w:rPr>
            </w:pPr>
          </w:p>
        </w:tc>
        <w:tc>
          <w:tcPr>
            <w:tcW w:w="1399" w:type="dxa"/>
            <w:vAlign w:val="center"/>
          </w:tcPr>
          <w:p w14:paraId="5568B12E">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废机油</w:t>
            </w:r>
          </w:p>
        </w:tc>
        <w:tc>
          <w:tcPr>
            <w:tcW w:w="1680" w:type="dxa"/>
            <w:vAlign w:val="center"/>
          </w:tcPr>
          <w:p w14:paraId="2C620A94">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483C939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56F6570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43748AB8">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0.050</w:t>
            </w:r>
          </w:p>
        </w:tc>
        <w:tc>
          <w:tcPr>
            <w:tcW w:w="1366" w:type="dxa"/>
            <w:vAlign w:val="center"/>
          </w:tcPr>
          <w:p w14:paraId="68FA880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6E40CCC1">
            <w:pPr>
              <w:widowControl/>
              <w:spacing w:line="240" w:lineRule="auto"/>
              <w:ind w:firstLine="0" w:firstLineChars="0"/>
              <w:jc w:val="center"/>
              <w:textAlignment w:val="center"/>
              <w:rPr>
                <w:rFonts w:hint="eastAsia"/>
                <w:color w:val="000000" w:themeColor="text1"/>
                <w:kern w:val="0"/>
                <w:sz w:val="21"/>
                <w:szCs w:val="21"/>
                <w:lang w:bidi="ar"/>
                <w14:textFill>
                  <w14:solidFill>
                    <w14:schemeClr w14:val="tx1"/>
                  </w14:solidFill>
                </w14:textFill>
              </w:rPr>
            </w:pPr>
          </w:p>
        </w:tc>
        <w:tc>
          <w:tcPr>
            <w:tcW w:w="1450" w:type="dxa"/>
            <w:vAlign w:val="center"/>
          </w:tcPr>
          <w:p w14:paraId="46FBF702">
            <w:pPr>
              <w:widowControl/>
              <w:spacing w:line="240" w:lineRule="auto"/>
              <w:ind w:firstLine="0" w:firstLineChars="0"/>
              <w:jc w:val="center"/>
              <w:textAlignment w:val="center"/>
              <w:rPr>
                <w:rFonts w:hint="eastAsia"/>
                <w:color w:val="000000" w:themeColor="text1"/>
                <w:kern w:val="0"/>
                <w:sz w:val="21"/>
                <w:szCs w:val="21"/>
                <w:lang w:bidi="ar"/>
                <w14:textFill>
                  <w14:solidFill>
                    <w14:schemeClr w14:val="tx1"/>
                  </w14:solidFill>
                </w14:textFill>
              </w:rPr>
            </w:pPr>
          </w:p>
        </w:tc>
      </w:tr>
      <w:tr w14:paraId="4D429C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tcPr>
          <w:p w14:paraId="1DB3A7FB">
            <w:pPr>
              <w:pStyle w:val="54"/>
              <w:rPr>
                <w:color w:val="000000" w:themeColor="text1"/>
                <w:sz w:val="21"/>
                <w:szCs w:val="21"/>
                <w14:textFill>
                  <w14:solidFill>
                    <w14:schemeClr w14:val="tx1"/>
                  </w14:solidFill>
                </w14:textFill>
              </w:rPr>
            </w:pPr>
          </w:p>
        </w:tc>
        <w:tc>
          <w:tcPr>
            <w:tcW w:w="1399" w:type="dxa"/>
            <w:vAlign w:val="center"/>
          </w:tcPr>
          <w:p w14:paraId="104018F6">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废机油桶</w:t>
            </w:r>
          </w:p>
        </w:tc>
        <w:tc>
          <w:tcPr>
            <w:tcW w:w="1680" w:type="dxa"/>
            <w:vAlign w:val="center"/>
          </w:tcPr>
          <w:p w14:paraId="060A4181">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527FA4D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05E2AD3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641AB3F2">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0.003</w:t>
            </w:r>
          </w:p>
        </w:tc>
        <w:tc>
          <w:tcPr>
            <w:tcW w:w="1366" w:type="dxa"/>
            <w:vAlign w:val="center"/>
          </w:tcPr>
          <w:p w14:paraId="6F763CE1">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260A6825">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784A1633">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r w14:paraId="79EFF9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8" w:type="dxa"/>
            <w:vMerge w:val="continue"/>
          </w:tcPr>
          <w:p w14:paraId="0F80DC3C">
            <w:pPr>
              <w:pStyle w:val="54"/>
              <w:rPr>
                <w:color w:val="000000" w:themeColor="text1"/>
                <w:sz w:val="21"/>
                <w:szCs w:val="21"/>
                <w14:textFill>
                  <w14:solidFill>
                    <w14:schemeClr w14:val="tx1"/>
                  </w14:solidFill>
                </w14:textFill>
              </w:rPr>
            </w:pPr>
          </w:p>
        </w:tc>
        <w:tc>
          <w:tcPr>
            <w:tcW w:w="1399" w:type="dxa"/>
            <w:vAlign w:val="center"/>
          </w:tcPr>
          <w:p w14:paraId="5D8D9F4B">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color w:val="000000" w:themeColor="text1"/>
                <w:kern w:val="0"/>
                <w:sz w:val="21"/>
                <w:szCs w:val="21"/>
                <w:lang w:bidi="ar"/>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含油废抹布及劳保用品</w:t>
            </w:r>
          </w:p>
        </w:tc>
        <w:tc>
          <w:tcPr>
            <w:tcW w:w="1680" w:type="dxa"/>
            <w:vAlign w:val="center"/>
          </w:tcPr>
          <w:p w14:paraId="1D24F49D">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260" w:type="dxa"/>
            <w:vAlign w:val="center"/>
          </w:tcPr>
          <w:p w14:paraId="2DC8E1E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80" w:type="dxa"/>
            <w:vAlign w:val="center"/>
          </w:tcPr>
          <w:p w14:paraId="0E8E737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540" w:type="dxa"/>
            <w:shd w:val="clear" w:color="auto" w:fill="auto"/>
            <w:vAlign w:val="center"/>
          </w:tcPr>
          <w:p w14:paraId="09EF95D0">
            <w:pPr>
              <w:pStyle w:val="173"/>
              <w:keepNext/>
              <w:keepLines/>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highlight w:val="none"/>
                <w:vertAlign w:val="baseline"/>
                <w:lang w:val="en-US" w:eastAsia="zh-CN"/>
                <w14:textFill>
                  <w14:solidFill>
                    <w14:schemeClr w14:val="tx1"/>
                  </w14:solidFill>
                </w14:textFill>
              </w:rPr>
              <w:t>0.005</w:t>
            </w:r>
          </w:p>
        </w:tc>
        <w:tc>
          <w:tcPr>
            <w:tcW w:w="1366" w:type="dxa"/>
            <w:vAlign w:val="center"/>
          </w:tcPr>
          <w:p w14:paraId="47530548">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r>
              <w:rPr>
                <w:color w:val="000000" w:themeColor="text1"/>
                <w:kern w:val="0"/>
                <w:sz w:val="21"/>
                <w:szCs w:val="21"/>
                <w:lang w:bidi="ar"/>
                <w14:textFill>
                  <w14:solidFill>
                    <w14:schemeClr w14:val="tx1"/>
                  </w14:solidFill>
                </w14:textFill>
              </w:rPr>
              <w:t>0</w:t>
            </w:r>
          </w:p>
        </w:tc>
        <w:tc>
          <w:tcPr>
            <w:tcW w:w="1674" w:type="dxa"/>
            <w:vAlign w:val="center"/>
          </w:tcPr>
          <w:p w14:paraId="56FE8840">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c>
          <w:tcPr>
            <w:tcW w:w="1450" w:type="dxa"/>
            <w:vAlign w:val="center"/>
          </w:tcPr>
          <w:p w14:paraId="7DBDEB12">
            <w:pPr>
              <w:widowControl/>
              <w:spacing w:line="240" w:lineRule="auto"/>
              <w:ind w:firstLine="0" w:firstLineChars="0"/>
              <w:jc w:val="center"/>
              <w:textAlignment w:val="center"/>
              <w:rPr>
                <w:color w:val="000000" w:themeColor="text1"/>
                <w:kern w:val="0"/>
                <w:sz w:val="21"/>
                <w:szCs w:val="21"/>
                <w:lang w:bidi="ar"/>
                <w14:textFill>
                  <w14:solidFill>
                    <w14:schemeClr w14:val="tx1"/>
                  </w14:solidFill>
                </w14:textFill>
              </w:rPr>
            </w:pPr>
          </w:p>
        </w:tc>
      </w:tr>
    </w:tbl>
    <w:p w14:paraId="6BC054BA">
      <w:pPr>
        <w:pStyle w:val="68"/>
        <w:spacing w:beforeLines="0" w:afterLines="0" w:line="260" w:lineRule="auto"/>
        <w:ind w:firstLine="480"/>
        <w:jc w:val="left"/>
        <w:rPr>
          <w:rFonts w:hint="eastAsia" w:hAnsi="宋体" w:eastAsia="黑体"/>
          <w:color w:val="000000" w:themeColor="text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sectPr>
      <w:footerReference r:id="rId15" w:type="default"/>
      <w:pgSz w:w="16838" w:h="11906" w:orient="landscape"/>
      <w:pgMar w:top="1474" w:right="1587" w:bottom="1531" w:left="1587" w:header="851" w:footer="964" w:gutter="0"/>
      <w:pgBorders>
        <w:top w:val="none" w:sz="0" w:space="0"/>
        <w:left w:val="none" w:sz="0" w:space="0"/>
        <w:bottom w:val="none" w:sz="0" w:space="0"/>
        <w:right w:val="none" w:sz="0" w:space="0"/>
      </w:pgBorders>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隶书">
    <w:altName w:val="方正隶书_GBK"/>
    <w:panose1 w:val="02010509060101010101"/>
    <w:charset w:val="86"/>
    <w:family w:val="modern"/>
    <w:pitch w:val="default"/>
    <w:sig w:usb0="00000000" w:usb1="00000000" w:usb2="00000000" w:usb3="00000000" w:csb0="00040000" w:csb1="00000000"/>
  </w:font>
  <w:font w:name="方正隶书_GBK">
    <w:panose1 w:val="02000000000000000000"/>
    <w:charset w:val="86"/>
    <w:family w:val="auto"/>
    <w:pitch w:val="default"/>
    <w:sig w:usb0="00000001" w:usb1="08000000" w:usb2="00000000" w:usb3="00000000" w:csb0="00040000" w:csb1="00000000"/>
  </w:font>
  <w:font w:name="楷体_GB2312">
    <w:altName w:val="方正楷体_GBK"/>
    <w:panose1 w:val="00000000000000000000"/>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86"/>
    <w:family w:val="swiss"/>
    <w:pitch w:val="default"/>
    <w:sig w:usb0="00000000" w:usb1="00000000" w:usb2="0000003F" w:usb3="00000000" w:csb0="603F01FF" w:csb1="FFFF0000"/>
  </w:font>
  <w:font w:name="新宋体-18030">
    <w:altName w:val="方正书宋_GBK"/>
    <w:panose1 w:val="00000000000000000000"/>
    <w:charset w:val="00"/>
    <w:family w:val="auto"/>
    <w:pitch w:val="default"/>
    <w:sig w:usb0="00000000" w:usb1="00000000" w:usb2="00000000" w:usb3="00000000" w:csb0="00040001" w:csb1="00000000"/>
  </w:font>
  <w:font w:name="方正仿宋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Wingdings 2">
    <w:altName w:val="MathJax_Vector"/>
    <w:panose1 w:val="05020102010507070707"/>
    <w:charset w:val="02"/>
    <w:family w:val="roman"/>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TimesNewRomanPSMT">
    <w:altName w:val="DejaVu Sans"/>
    <w:panose1 w:val="00000000000000000000"/>
    <w:charset w:val="86"/>
    <w:family w:val="auto"/>
    <w:pitch w:val="default"/>
    <w:sig w:usb0="00000000" w:usb1="00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Cambria Math">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Kingsoft UE">
    <w:panose1 w:val="02000100010000000000"/>
    <w:charset w:val="00"/>
    <w:family w:val="auto"/>
    <w:pitch w:val="default"/>
    <w:sig w:usb0="00000001" w:usb1="00004000" w:usb2="00000000" w:usb3="00000000" w:csb0="00000001"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206A">
    <w:pPr>
      <w:tabs>
        <w:tab w:val="center" w:pos="4153"/>
        <w:tab w:val="right" w:pos="8306"/>
      </w:tabs>
      <w:ind w:right="360"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E2A71">
    <w:pPr>
      <w:pStyle w:val="2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0A7E4">
    <w:pPr>
      <w:pStyle w:val="2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25535">
    <w:pPr>
      <w:pStyle w:val="22"/>
      <w:ind w:right="360"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166370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B00A3E">
                          <w:pPr>
                            <w:pStyle w:val="22"/>
                            <w:ind w:firstLine="0" w:firstLineChars="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3.1pt;height:144pt;width:144pt;mso-position-horizontal:center;mso-position-horizontal-relative:margin;mso-wrap-style:none;z-index:251661312;mso-width-relative:page;mso-height-relative:page;" filled="f" stroked="f" coordsize="21600,21600" o:gfxdata="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n5KT/VAAAABwEAAA8AAAAAAAAAAQAgAAAAIgAAAGRycy9kb3ducmV2LnhtbFBLAQIUABQA&#10;AAAIAIdO4kAr7evWLAIAAFcEAAAOAAAAAAAAAAEAIAAAACQBAABkcnMvZTJvRG9jLnhtbFBLBQYA&#10;AAAABgAGAFkBAADCBQAAAAA=&#10;">
              <v:fill on="f" focussize="0,0"/>
              <v:stroke on="f" weight="0.5pt"/>
              <v:imagedata o:title=""/>
              <o:lock v:ext="edit" aspectratio="f"/>
              <v:textbox inset="0mm,0mm,0mm,0mm" style="mso-fit-shape-to-text:t;">
                <w:txbxContent>
                  <w:p w14:paraId="6FB00A3E">
                    <w:pPr>
                      <w:pStyle w:val="22"/>
                      <w:ind w:firstLine="0" w:firstLineChars="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79171">
    <w:pPr>
      <w:pStyle w:val="22"/>
      <w:spacing w:line="240" w:lineRule="auto"/>
      <w:ind w:firstLine="0" w:firstLineChars="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166370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179B06">
                          <w:pPr>
                            <w:pStyle w:val="22"/>
                            <w:spacing w:line="240" w:lineRule="auto"/>
                            <w:ind w:firstLine="0" w:firstLineChars="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3.1pt;height:144pt;width:144pt;mso-position-horizontal:center;mso-position-horizontal-relative:margin;mso-wrap-style:none;z-index:251659264;mso-width-relative:page;mso-height-relative:page;" filled="f" stroked="f" coordsize="21600,21600" o:gfxdata="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n5KT/VAAAABwEAAA8AAAAAAAAAAQAgAAAAIgAAAGRycy9kb3ducmV2LnhtbFBLAQIUABQA&#10;AAAIAIdO4kC9Dt23LAIAAFUEAAAOAAAAAAAAAAEAIAAAACQBAABkcnMvZTJvRG9jLnhtbFBLBQYA&#10;AAAABgAGAFkBAADCBQAAAAA=&#10;">
              <v:fill on="f" focussize="0,0"/>
              <v:stroke on="f" weight="0.5pt"/>
              <v:imagedata o:title=""/>
              <o:lock v:ext="edit" aspectratio="f"/>
              <v:textbox inset="0mm,0mm,0mm,0mm" style="mso-fit-shape-to-text:t;">
                <w:txbxContent>
                  <w:p w14:paraId="5B179B06">
                    <w:pPr>
                      <w:pStyle w:val="22"/>
                      <w:spacing w:line="240" w:lineRule="auto"/>
                      <w:ind w:firstLine="0" w:firstLineChars="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D18EB">
    <w:pPr>
      <w:pStyle w:val="22"/>
      <w:spacing w:line="240" w:lineRule="auto"/>
      <w:ind w:firstLine="0" w:firstLineChars="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166370</wp:posOffset>
              </wp:positionV>
              <wp:extent cx="396240" cy="1504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6240" cy="150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A90BCA">
                          <w:pPr>
                            <w:pStyle w:val="22"/>
                            <w:spacing w:line="240" w:lineRule="auto"/>
                            <w:ind w:firstLine="0" w:firstLineChars="0"/>
                            <w:jc w:val="both"/>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3.1pt;height:11.85pt;width:31.2pt;mso-position-horizontal:center;mso-position-horizontal-relative:margin;z-index:251660288;mso-width-relative:page;mso-height-relative:page;" filled="f" stroked="f" coordsize="21600,21600" o:gfxdata="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sHfFLVAAAABQEAAA8AAAAAAAAAAQAgAAAAIgAAAGRycy9kb3ducmV2LnhtbFBL&#10;AQIUABQAAAAIAIdO4kDFZvrAMgIAAFUEAAAOAAAAAAAAAAEAIAAAACQBAABkcnMvZTJvRG9jLnht&#10;bFBLBQYAAAAABgAGAFkBAADIBQAAAAA=&#10;">
              <v:fill on="f" focussize="0,0"/>
              <v:stroke on="f" weight="0.5pt"/>
              <v:imagedata o:title=""/>
              <o:lock v:ext="edit" aspectratio="f"/>
              <v:textbox inset="0mm,0mm,0mm,0mm">
                <w:txbxContent>
                  <w:p w14:paraId="13A90BCA">
                    <w:pPr>
                      <w:pStyle w:val="22"/>
                      <w:spacing w:line="240" w:lineRule="auto"/>
                      <w:ind w:firstLine="0" w:firstLineChars="0"/>
                      <w:jc w:val="both"/>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7FDCE">
    <w:pPr>
      <w:pStyle w:val="22"/>
      <w:spacing w:line="240" w:lineRule="auto"/>
      <w:ind w:firstLine="0" w:firstLineChars="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166370</wp:posOffset>
              </wp:positionV>
              <wp:extent cx="396240" cy="150495"/>
              <wp:effectExtent l="0" t="0" r="0" b="0"/>
              <wp:wrapNone/>
              <wp:docPr id="6" name="文本框 6"/>
              <wp:cNvGraphicFramePr/>
              <a:graphic xmlns:a="http://schemas.openxmlformats.org/drawingml/2006/main">
                <a:graphicData uri="http://schemas.microsoft.com/office/word/2010/wordprocessingShape">
                  <wps:wsp>
                    <wps:cNvSpPr txBox="1"/>
                    <wps:spPr>
                      <a:xfrm>
                        <a:off x="0" y="0"/>
                        <a:ext cx="396240" cy="150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27456D">
                          <w:pPr>
                            <w:pStyle w:val="22"/>
                            <w:spacing w:line="240" w:lineRule="auto"/>
                            <w:ind w:firstLine="0" w:firstLineChars="0"/>
                            <w:jc w:val="both"/>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3.1pt;height:11.85pt;width:31.2pt;mso-position-horizontal:center;mso-position-horizontal-relative:margin;z-index:251661312;mso-width-relative:page;mso-height-relative:page;" filled="f" stroked="f" coordsize="21600,21600" o:gfxdata="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mwd8UtUAAAAFAQAADwAAAAAAAAABACAAAAAiAAAAZHJzL2Rvd25yZXYueG1sUEsB&#10;AhQAFAAAAAgAh07iQPS/KQsxAgAAVQQAAA4AAAAAAAAAAQAgAAAAJAEAAGRycy9lMm9Eb2MueG1s&#10;UEsFBgAAAAAGAAYAWQEAAMcFAAAAAA==&#10;">
              <v:fill on="f" focussize="0,0"/>
              <v:stroke on="f" weight="0.5pt"/>
              <v:imagedata o:title=""/>
              <o:lock v:ext="edit" aspectratio="f"/>
              <v:textbox inset="0mm,0mm,0mm,0mm">
                <w:txbxContent>
                  <w:p w14:paraId="4F27456D">
                    <w:pPr>
                      <w:pStyle w:val="22"/>
                      <w:spacing w:line="240" w:lineRule="auto"/>
                      <w:ind w:firstLine="0" w:firstLineChars="0"/>
                      <w:jc w:val="both"/>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A8124">
    <w:pPr>
      <w:pStyle w:val="22"/>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166370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0A73C3">
                          <w:pPr>
                            <w:pStyle w:val="22"/>
                            <w:spacing w:line="240" w:lineRule="auto"/>
                            <w:ind w:firstLine="0" w:firstLineChars="0"/>
                            <w:jc w:val="both"/>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3.1pt;height:144pt;width:144pt;mso-position-horizontal:center;mso-position-horizontal-relative:margin;mso-wrap-style:none;z-index:251662336;mso-width-relative:page;mso-height-relative:page;" filled="f" stroked="f" coordsize="21600,21600" o:gfxdata="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n5KT/VAAAABwEAAA8AAAAAAAAAAQAgAAAAIgAAAGRycy9kb3ducmV2LnhtbFBLAQIUABQA&#10;AAAIAIdO4kCvY9gwLAIAAFUEAAAOAAAAAAAAAAEAIAAAACQBAABkcnMvZTJvRG9jLnhtbFBLBQYA&#10;AAAABgAGAFkBAADCBQAAAAA=&#10;">
              <v:fill on="f" focussize="0,0"/>
              <v:stroke on="f" weight="0.5pt"/>
              <v:imagedata o:title=""/>
              <o:lock v:ext="edit" aspectratio="f"/>
              <v:textbox inset="0mm,0mm,0mm,0mm" style="mso-fit-shape-to-text:t;">
                <w:txbxContent>
                  <w:p w14:paraId="690A73C3">
                    <w:pPr>
                      <w:pStyle w:val="22"/>
                      <w:spacing w:line="240" w:lineRule="auto"/>
                      <w:ind w:firstLine="0" w:firstLineChars="0"/>
                      <w:jc w:val="both"/>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78FB8">
    <w:pPr>
      <w:pStyle w:val="12"/>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D27E3">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E82A3">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B3EAB7"/>
    <w:multiLevelType w:val="multilevel"/>
    <w:tmpl w:val="ABB3EAB7"/>
    <w:lvl w:ilvl="0" w:tentative="0">
      <w:start w:val="1"/>
      <w:numFmt w:val="decimal"/>
      <w:suff w:val="nothing"/>
      <w:lvlText w:val="图4.%1"/>
      <w:lvlJc w:val="center"/>
      <w:pPr>
        <w:tabs>
          <w:tab w:val="left" w:pos="0"/>
        </w:tabs>
        <w:ind w:left="0" w:firstLine="0"/>
      </w:pPr>
      <w:rPr>
        <w:rFonts w:hint="default" w:ascii="Times New Roman" w:hAnsi="Times New Roman" w:eastAsia="宋体" w:cs="Times New Roman"/>
        <w:b/>
        <w:bCs/>
        <w:sz w:val="21"/>
        <w:szCs w:val="21"/>
      </w:rPr>
    </w:lvl>
    <w:lvl w:ilvl="1" w:tentative="0">
      <w:start w:val="1"/>
      <w:numFmt w:val="lowerLetter"/>
      <w:lvlText w:val="%2)"/>
      <w:lvlJc w:val="center"/>
      <w:pPr>
        <w:tabs>
          <w:tab w:val="left" w:pos="840"/>
        </w:tabs>
        <w:ind w:left="840" w:hanging="420"/>
      </w:pPr>
      <w:rPr>
        <w:rFonts w:hint="default" w:ascii="宋体" w:hAnsi="宋体" w:eastAsia="宋体" w:cs="宋体"/>
      </w:rPr>
    </w:lvl>
    <w:lvl w:ilvl="2" w:tentative="0">
      <w:start w:val="1"/>
      <w:numFmt w:val="lowerRoman"/>
      <w:lvlText w:val="%3."/>
      <w:lvlJc w:val="center"/>
      <w:pPr>
        <w:tabs>
          <w:tab w:val="left" w:pos="1260"/>
        </w:tabs>
        <w:ind w:left="1260" w:hanging="420"/>
      </w:pPr>
      <w:rPr>
        <w:rFonts w:hint="default" w:ascii="宋体" w:hAnsi="宋体" w:eastAsia="宋体" w:cs="宋体"/>
      </w:rPr>
    </w:lvl>
    <w:lvl w:ilvl="3" w:tentative="0">
      <w:start w:val="1"/>
      <w:numFmt w:val="decimal"/>
      <w:lvlText w:val="%4."/>
      <w:lvlJc w:val="center"/>
      <w:pPr>
        <w:tabs>
          <w:tab w:val="left" w:pos="1680"/>
        </w:tabs>
        <w:ind w:left="1680" w:hanging="420"/>
      </w:pPr>
      <w:rPr>
        <w:rFonts w:hint="default" w:ascii="宋体" w:hAnsi="宋体" w:eastAsia="宋体" w:cs="宋体"/>
      </w:rPr>
    </w:lvl>
    <w:lvl w:ilvl="4" w:tentative="0">
      <w:start w:val="1"/>
      <w:numFmt w:val="lowerLetter"/>
      <w:pStyle w:val="152"/>
      <w:lvlText w:val="%5)"/>
      <w:lvlJc w:val="center"/>
      <w:pPr>
        <w:tabs>
          <w:tab w:val="left" w:pos="2100"/>
        </w:tabs>
        <w:ind w:left="2100" w:hanging="420"/>
      </w:pPr>
      <w:rPr>
        <w:rFonts w:hint="default"/>
      </w:rPr>
    </w:lvl>
    <w:lvl w:ilvl="5" w:tentative="0">
      <w:start w:val="1"/>
      <w:numFmt w:val="lowerRoman"/>
      <w:lvlText w:val="%6."/>
      <w:lvlJc w:val="center"/>
      <w:pPr>
        <w:tabs>
          <w:tab w:val="left" w:pos="2520"/>
        </w:tabs>
        <w:ind w:left="2520" w:hanging="420"/>
      </w:pPr>
      <w:rPr>
        <w:rFonts w:hint="default"/>
      </w:rPr>
    </w:lvl>
    <w:lvl w:ilvl="6" w:tentative="0">
      <w:start w:val="1"/>
      <w:numFmt w:val="decimal"/>
      <w:lvlText w:val="%7."/>
      <w:lvlJc w:val="center"/>
      <w:pPr>
        <w:tabs>
          <w:tab w:val="left" w:pos="2940"/>
        </w:tabs>
        <w:ind w:left="2940" w:hanging="420"/>
      </w:pPr>
      <w:rPr>
        <w:rFonts w:hint="default"/>
      </w:rPr>
    </w:lvl>
    <w:lvl w:ilvl="7" w:tentative="0">
      <w:start w:val="1"/>
      <w:numFmt w:val="lowerLetter"/>
      <w:lvlText w:val="%8)"/>
      <w:lvlJc w:val="center"/>
      <w:pPr>
        <w:tabs>
          <w:tab w:val="left" w:pos="3360"/>
        </w:tabs>
        <w:ind w:left="3360" w:hanging="420"/>
      </w:pPr>
      <w:rPr>
        <w:rFonts w:hint="default"/>
      </w:rPr>
    </w:lvl>
    <w:lvl w:ilvl="8" w:tentative="0">
      <w:start w:val="1"/>
      <w:numFmt w:val="lowerRoman"/>
      <w:lvlText w:val="%9."/>
      <w:lvlJc w:val="center"/>
      <w:pPr>
        <w:tabs>
          <w:tab w:val="left" w:pos="3780"/>
        </w:tabs>
        <w:ind w:left="3780" w:hanging="420"/>
      </w:pPr>
      <w:rPr>
        <w:rFonts w:hint="default"/>
      </w:rPr>
    </w:lvl>
  </w:abstractNum>
  <w:abstractNum w:abstractNumId="1">
    <w:nsid w:val="B6D20BCD"/>
    <w:multiLevelType w:val="singleLevel"/>
    <w:tmpl w:val="B6D20BCD"/>
    <w:lvl w:ilvl="0" w:tentative="0">
      <w:start w:val="1"/>
      <w:numFmt w:val="decimal"/>
      <w:lvlText w:val="%1."/>
      <w:lvlJc w:val="left"/>
      <w:pPr>
        <w:tabs>
          <w:tab w:val="left" w:pos="312"/>
        </w:tabs>
      </w:pPr>
    </w:lvl>
  </w:abstractNum>
  <w:abstractNum w:abstractNumId="2">
    <w:nsid w:val="BB99A3FA"/>
    <w:multiLevelType w:val="singleLevel"/>
    <w:tmpl w:val="BB99A3FA"/>
    <w:lvl w:ilvl="0" w:tentative="0">
      <w:start w:val="1"/>
      <w:numFmt w:val="decimal"/>
      <w:pStyle w:val="145"/>
      <w:suff w:val="nothing"/>
      <w:lvlText w:val="表4-%1"/>
      <w:lvlJc w:val="left"/>
      <w:pPr>
        <w:tabs>
          <w:tab w:val="left" w:pos="0"/>
        </w:tabs>
        <w:ind w:left="2160" w:firstLine="0"/>
      </w:pPr>
      <w:rPr>
        <w:rFonts w:hint="default" w:ascii="Times New Roman" w:hAnsi="Times New Roman" w:eastAsia="宋体" w:cs="Times New Roman"/>
        <w:b/>
        <w:bCs/>
        <w:sz w:val="21"/>
        <w:szCs w:val="21"/>
      </w:rPr>
    </w:lvl>
  </w:abstractNum>
  <w:abstractNum w:abstractNumId="3">
    <w:nsid w:val="C45B3EBD"/>
    <w:multiLevelType w:val="singleLevel"/>
    <w:tmpl w:val="C45B3EBD"/>
    <w:lvl w:ilvl="0" w:tentative="0">
      <w:start w:val="1"/>
      <w:numFmt w:val="decimal"/>
      <w:pStyle w:val="140"/>
      <w:suff w:val="nothing"/>
      <w:lvlText w:val="表2-%1 "/>
      <w:lvlJc w:val="center"/>
      <w:pPr>
        <w:tabs>
          <w:tab w:val="left" w:pos="0"/>
        </w:tabs>
        <w:ind w:left="0" w:firstLine="0"/>
      </w:pPr>
      <w:rPr>
        <w:rFonts w:hint="default" w:ascii="Times New Roman" w:hAnsi="Times New Roman" w:eastAsia="宋体" w:cs="Times New Roman"/>
        <w:b/>
        <w:bCs/>
        <w:sz w:val="21"/>
        <w:szCs w:val="21"/>
      </w:rPr>
    </w:lvl>
  </w:abstractNum>
  <w:abstractNum w:abstractNumId="4">
    <w:nsid w:val="F91448B4"/>
    <w:multiLevelType w:val="multilevel"/>
    <w:tmpl w:val="F91448B4"/>
    <w:lvl w:ilvl="0" w:tentative="0">
      <w:start w:val="1"/>
      <w:numFmt w:val="decimal"/>
      <w:suff w:val="space"/>
      <w:lvlText w:val="%1"/>
      <w:lvlJc w:val="left"/>
      <w:pPr>
        <w:tabs>
          <w:tab w:val="left" w:pos="420"/>
        </w:tabs>
        <w:ind w:left="0" w:firstLine="0"/>
      </w:pPr>
      <w:rPr>
        <w:rFonts w:hint="default" w:ascii="Times New Roman" w:hAnsi="Times New Roman" w:eastAsia="宋体" w:cs="宋体"/>
      </w:rPr>
    </w:lvl>
    <w:lvl w:ilvl="1" w:tentative="0">
      <w:start w:val="1"/>
      <w:numFmt w:val="decimal"/>
      <w:suff w:val="space"/>
      <w:lvlText w:val="%1.%2"/>
      <w:lvlJc w:val="left"/>
      <w:pPr>
        <w:tabs>
          <w:tab w:val="left" w:pos="0"/>
        </w:tabs>
        <w:ind w:left="0" w:firstLine="0"/>
      </w:pPr>
      <w:rPr>
        <w:rFonts w:hint="default" w:ascii="Times New Roman" w:hAnsi="Times New Roman" w:eastAsia="宋体" w:cs="宋体"/>
      </w:rPr>
    </w:lvl>
    <w:lvl w:ilvl="2" w:tentative="0">
      <w:start w:val="1"/>
      <w:numFmt w:val="decimal"/>
      <w:pStyle w:val="4"/>
      <w:suff w:val="space"/>
      <w:lvlText w:val="%1.%2.%3"/>
      <w:lvlJc w:val="left"/>
      <w:pPr>
        <w:tabs>
          <w:tab w:val="left" w:pos="0"/>
        </w:tabs>
        <w:ind w:left="240" w:firstLine="0"/>
      </w:pPr>
      <w:rPr>
        <w:rFonts w:hint="default" w:ascii="Times New Roman" w:hAnsi="Times New Roman" w:eastAsia="宋体" w:cs="宋体"/>
      </w:rPr>
    </w:lvl>
    <w:lvl w:ilvl="3" w:tentative="0">
      <w:start w:val="1"/>
      <w:numFmt w:val="decimal"/>
      <w:suff w:val="space"/>
      <w:lvlText w:val="%1.%2.%3.%4"/>
      <w:lvlJc w:val="left"/>
      <w:pPr>
        <w:tabs>
          <w:tab w:val="left" w:pos="420"/>
        </w:tabs>
        <w:ind w:left="1200" w:firstLine="0"/>
      </w:pPr>
      <w:rPr>
        <w:rFonts w:hint="default" w:ascii="Times New Roman" w:hAnsi="Times New Roman" w:eastAsia="宋体" w:cs="宋体"/>
      </w:rPr>
    </w:lvl>
    <w:lvl w:ilvl="4" w:tentative="0">
      <w:start w:val="1"/>
      <w:numFmt w:val="decimal"/>
      <w:lvlRestart w:val="2"/>
      <w:lvlText w:val="图%1.%2-%5 "/>
      <w:lvlJc w:val="left"/>
      <w:pPr>
        <w:ind w:left="1008" w:hanging="1008"/>
      </w:pPr>
      <w:rPr>
        <w:rFonts w:hint="default" w:ascii="Times New Roman" w:hAnsi="Times New Roman" w:eastAsia="宋体" w:cs="宋体"/>
        <w:b/>
        <w:sz w:val="24"/>
        <w:szCs w:val="24"/>
      </w:rPr>
    </w:lvl>
    <w:lvl w:ilvl="5" w:tentative="0">
      <w:start w:val="1"/>
      <w:numFmt w:val="decimal"/>
      <w:lvlRestart w:val="2"/>
      <w:lvlText w:val="图%1.%2-%6 "/>
      <w:lvlJc w:val="center"/>
      <w:pPr>
        <w:tabs>
          <w:tab w:val="left" w:pos="420"/>
        </w:tabs>
        <w:ind w:left="0" w:firstLine="0"/>
      </w:pPr>
      <w:rPr>
        <w:rFonts w:hint="default" w:ascii="Times New Roman" w:hAnsi="Times New Roman" w:eastAsia="宋体" w:cs="宋体"/>
        <w:b/>
        <w:bCs/>
        <w:sz w:val="24"/>
        <w:szCs w:val="24"/>
      </w:rPr>
    </w:lvl>
    <w:lvl w:ilvl="6" w:tentative="0">
      <w:start w:val="1"/>
      <w:numFmt w:val="decimal"/>
      <w:lvlRestart w:val="2"/>
      <w:lvlText w:val="表%1.%2-%7"/>
      <w:lvlJc w:val="center"/>
      <w:pPr>
        <w:tabs>
          <w:tab w:val="left" w:pos="420"/>
        </w:tabs>
        <w:ind w:left="1296" w:hanging="1296"/>
      </w:pPr>
      <w:rPr>
        <w:rFonts w:hint="default" w:ascii="Times New Roman" w:hAnsi="Times New Roman" w:eastAsia="宋体" w:cs="宋体"/>
        <w:sz w:val="24"/>
        <w:szCs w:val="24"/>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5">
    <w:nsid w:val="02954161"/>
    <w:multiLevelType w:val="singleLevel"/>
    <w:tmpl w:val="02954161"/>
    <w:lvl w:ilvl="0" w:tentative="0">
      <w:start w:val="3"/>
      <w:numFmt w:val="decimal"/>
      <w:suff w:val="nothing"/>
      <w:lvlText w:val="（%1）"/>
      <w:lvlJc w:val="left"/>
    </w:lvl>
  </w:abstractNum>
  <w:abstractNum w:abstractNumId="6">
    <w:nsid w:val="0FD4A5A9"/>
    <w:multiLevelType w:val="singleLevel"/>
    <w:tmpl w:val="0FD4A5A9"/>
    <w:lvl w:ilvl="0" w:tentative="0">
      <w:start w:val="1"/>
      <w:numFmt w:val="decimal"/>
      <w:lvlText w:val="%1."/>
      <w:lvlJc w:val="left"/>
      <w:pPr>
        <w:tabs>
          <w:tab w:val="left" w:pos="312"/>
        </w:tabs>
      </w:pPr>
    </w:lvl>
  </w:abstractNum>
  <w:abstractNum w:abstractNumId="7">
    <w:nsid w:val="1E1B9F5A"/>
    <w:multiLevelType w:val="singleLevel"/>
    <w:tmpl w:val="1E1B9F5A"/>
    <w:lvl w:ilvl="0" w:tentative="0">
      <w:start w:val="1"/>
      <w:numFmt w:val="decimal"/>
      <w:lvlText w:val="%1."/>
      <w:lvlJc w:val="left"/>
      <w:pPr>
        <w:tabs>
          <w:tab w:val="left" w:pos="312"/>
        </w:tabs>
      </w:pPr>
    </w:lvl>
  </w:abstractNum>
  <w:abstractNum w:abstractNumId="8">
    <w:nsid w:val="212A900A"/>
    <w:multiLevelType w:val="multilevel"/>
    <w:tmpl w:val="212A900A"/>
    <w:lvl w:ilvl="0" w:tentative="0">
      <w:start w:val="1"/>
      <w:numFmt w:val="chineseCounting"/>
      <w:suff w:val="nothing"/>
      <w:lvlText w:val="%1、"/>
      <w:lvlJc w:val="left"/>
      <w:pPr>
        <w:tabs>
          <w:tab w:val="left" w:pos="0"/>
        </w:tabs>
        <w:ind w:left="425" w:hanging="425"/>
      </w:pPr>
      <w:rPr>
        <w:rFonts w:hint="eastAsia" w:ascii="黑体" w:hAnsi="黑体" w:eastAsia="黑体" w:cs="黑体"/>
        <w:b/>
        <w:bCs/>
        <w:sz w:val="30"/>
        <w:szCs w:val="30"/>
      </w:rPr>
    </w:lvl>
    <w:lvl w:ilvl="1" w:tentative="0">
      <w:start w:val="1"/>
      <w:numFmt w:val="decimal"/>
      <w:isLgl/>
      <w:lvlText w:val="%2、"/>
      <w:lvlJc w:val="left"/>
      <w:pPr>
        <w:tabs>
          <w:tab w:val="left" w:pos="420"/>
        </w:tabs>
        <w:ind w:left="425" w:hanging="425"/>
      </w:pPr>
      <w:rPr>
        <w:rFonts w:hint="eastAsia" w:ascii="宋体" w:hAnsi="宋体" w:eastAsia="宋体" w:cs="宋体"/>
        <w:b/>
        <w:bCs/>
        <w:sz w:val="24"/>
        <w:szCs w:val="24"/>
      </w:rPr>
    </w:lvl>
    <w:lvl w:ilvl="2" w:tentative="0">
      <w:start w:val="1"/>
      <w:numFmt w:val="decimal"/>
      <w:isLgl/>
      <w:lvlText w:val="%2.%3."/>
      <w:lvlJc w:val="left"/>
      <w:pPr>
        <w:tabs>
          <w:tab w:val="left" w:pos="420"/>
        </w:tabs>
        <w:ind w:left="0" w:firstLine="0"/>
      </w:pPr>
      <w:rPr>
        <w:rFonts w:hint="eastAsia" w:ascii="宋体" w:hAnsi="宋体" w:eastAsia="宋体" w:cs="宋体"/>
        <w:sz w:val="24"/>
        <w:szCs w:val="24"/>
      </w:rPr>
    </w:lvl>
    <w:lvl w:ilvl="3" w:tentative="0">
      <w:start w:val="1"/>
      <w:numFmt w:val="decimal"/>
      <w:lvlRestart w:val="1"/>
      <w:pStyle w:val="150"/>
      <w:isLgl/>
      <w:lvlText w:val="表%1-%4"/>
      <w:lvlJc w:val="left"/>
      <w:pPr>
        <w:tabs>
          <w:tab w:val="left" w:pos="283"/>
        </w:tabs>
        <w:ind w:left="283" w:hanging="283"/>
      </w:pPr>
      <w:rPr>
        <w:rFonts w:hint="eastAsia" w:ascii="宋体" w:hAnsi="宋体" w:eastAsia="宋体" w:cs="宋体"/>
        <w:b/>
        <w:bCs/>
        <w:sz w:val="21"/>
        <w:szCs w:val="21"/>
      </w:rPr>
    </w:lvl>
    <w:lvl w:ilvl="4" w:tentative="0">
      <w:start w:val="1"/>
      <w:numFmt w:val="decimal"/>
      <w:lvlRestart w:val="1"/>
      <w:isLgl/>
      <w:lvlText w:val="图%1-%5"/>
      <w:lvlJc w:val="left"/>
      <w:pPr>
        <w:tabs>
          <w:tab w:val="left" w:pos="283"/>
        </w:tabs>
        <w:ind w:left="283" w:hanging="283"/>
      </w:pPr>
      <w:rPr>
        <w:rFonts w:hint="default" w:ascii="宋体" w:hAnsi="宋体" w:eastAsia="宋体" w:cs="宋体"/>
        <w:b/>
        <w:bCs/>
        <w:color w:val="auto"/>
        <w:sz w:val="21"/>
        <w:szCs w:val="21"/>
      </w:rPr>
    </w:lvl>
    <w:lvl w:ilvl="5" w:tentative="0">
      <w:start w:val="1"/>
      <w:numFmt w:val="decimal"/>
      <w:lvlRestart w:val="2"/>
      <w:suff w:val="nothing"/>
      <w:lvlText w:val="（%6）"/>
      <w:lvlJc w:val="left"/>
      <w:pPr>
        <w:ind w:left="1134" w:hanging="1134"/>
      </w:pPr>
      <w:rPr>
        <w:rFonts w:hint="eastAsia" w:ascii="宋体" w:hAnsi="宋体" w:eastAsia="宋体" w:cs="宋体"/>
        <w:b/>
        <w:bCs/>
        <w:sz w:val="24"/>
        <w:szCs w:val="24"/>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9">
    <w:nsid w:val="46FD19E4"/>
    <w:multiLevelType w:val="singleLevel"/>
    <w:tmpl w:val="46FD19E4"/>
    <w:lvl w:ilvl="0" w:tentative="0">
      <w:start w:val="1"/>
      <w:numFmt w:val="decimal"/>
      <w:pStyle w:val="153"/>
      <w:suff w:val="nothing"/>
      <w:lvlText w:val="图2.%1 "/>
      <w:lvlJc w:val="center"/>
      <w:pPr>
        <w:tabs>
          <w:tab w:val="left" w:pos="0"/>
        </w:tabs>
        <w:ind w:left="0" w:firstLine="0"/>
      </w:pPr>
      <w:rPr>
        <w:rFonts w:hint="default"/>
        <w:b/>
        <w:bCs/>
        <w:sz w:val="21"/>
        <w:szCs w:val="21"/>
      </w:rPr>
    </w:lvl>
  </w:abstractNum>
  <w:abstractNum w:abstractNumId="10">
    <w:nsid w:val="485531A2"/>
    <w:multiLevelType w:val="multilevel"/>
    <w:tmpl w:val="485531A2"/>
    <w:lvl w:ilvl="0" w:tentative="0">
      <w:start w:val="1"/>
      <w:numFmt w:val="decimal"/>
      <w:suff w:val="space"/>
      <w:lvlText w:val="%1 "/>
      <w:lvlJc w:val="left"/>
      <w:pPr>
        <w:ind w:left="567" w:hanging="567"/>
      </w:pPr>
      <w:rPr>
        <w:rFonts w:hint="eastAsia"/>
        <w:color w:val="auto"/>
      </w:rPr>
    </w:lvl>
    <w:lvl w:ilvl="1" w:tentative="0">
      <w:start w:val="1"/>
      <w:numFmt w:val="decimal"/>
      <w:isLgl/>
      <w:suff w:val="space"/>
      <w:lvlText w:val="%1.%2."/>
      <w:lvlJc w:val="left"/>
      <w:pPr>
        <w:ind w:left="567" w:hanging="567"/>
      </w:pPr>
      <w:rPr>
        <w:rFonts w:hint="eastAsia" w:cs="Times New Roman"/>
        <w:i w:val="0"/>
        <w:iCs w:val="0"/>
        <w:caps w:val="0"/>
        <w:smallCaps w:val="0"/>
        <w:strike w:val="0"/>
        <w:dstrike w:val="0"/>
        <w:vanish w:val="0"/>
        <w:spacing w:val="0"/>
        <w:position w:val="0"/>
        <w:u w:val="none"/>
        <w:vertAlign w:val="baseline"/>
      </w:rPr>
    </w:lvl>
    <w:lvl w:ilvl="2" w:tentative="0">
      <w:start w:val="1"/>
      <w:numFmt w:val="decimal"/>
      <w:isLgl/>
      <w:suff w:val="space"/>
      <w:lvlText w:val="%1.%2.%3."/>
      <w:lvlJc w:val="left"/>
      <w:pPr>
        <w:ind w:left="567" w:hanging="567"/>
      </w:pPr>
      <w:rPr>
        <w:rFonts w:hint="eastAsia"/>
      </w:rPr>
    </w:lvl>
    <w:lvl w:ilvl="3" w:tentative="0">
      <w:start w:val="1"/>
      <w:numFmt w:val="decimal"/>
      <w:isLgl/>
      <w:suff w:val="space"/>
      <w:lvlText w:val="%1.%2.%3.%4."/>
      <w:lvlJc w:val="left"/>
      <w:pPr>
        <w:ind w:left="567" w:hanging="567"/>
      </w:pPr>
      <w:rPr>
        <w:rFonts w:hint="default" w:cs="Times New Roman"/>
        <w:b/>
        <w:bCs w:val="0"/>
        <w:i w:val="0"/>
        <w:iCs w:val="0"/>
        <w:caps w:val="0"/>
        <w:smallCaps w:val="0"/>
        <w:strike w:val="0"/>
        <w:dstrike w:val="0"/>
        <w:vanish w:val="0"/>
        <w:color w:val="000000"/>
        <w:spacing w:val="0"/>
        <w:position w:val="0"/>
        <w:u w:val="none"/>
        <w:vertAlign w:val="baseline"/>
      </w:rPr>
    </w:lvl>
    <w:lvl w:ilvl="4" w:tentative="0">
      <w:start w:val="1"/>
      <w:numFmt w:val="decimal"/>
      <w:isLgl/>
      <w:lvlText w:val="%1.%2.%3.%4.%5."/>
      <w:lvlJc w:val="left"/>
      <w:pPr>
        <w:ind w:left="567" w:hanging="567"/>
      </w:pPr>
      <w:rPr>
        <w:rFonts w:hint="eastAsia"/>
      </w:rPr>
    </w:lvl>
    <w:lvl w:ilvl="5" w:tentative="0">
      <w:start w:val="1"/>
      <w:numFmt w:val="decimal"/>
      <w:lvlRestart w:val="2"/>
      <w:pStyle w:val="128"/>
      <w:isLgl/>
      <w:suff w:val="space"/>
      <w:lvlText w:val="表%1.%2-%6"/>
      <w:lvlJc w:val="center"/>
      <w:pPr>
        <w:ind w:left="0" w:firstLine="0"/>
      </w:pPr>
      <w:rPr>
        <w:rFonts w:hint="default" w:ascii="Times New Roman" w:hAnsi="Times New Roman" w:cs="Times New Roman"/>
        <w:b/>
        <w:bCs w:val="0"/>
        <w:i w:val="0"/>
        <w:iCs w:val="0"/>
        <w:caps w:val="0"/>
        <w:smallCaps w:val="0"/>
        <w:strike w:val="0"/>
        <w:dstrike w:val="0"/>
        <w:vanish w:val="0"/>
        <w:color w:val="000000"/>
        <w:spacing w:val="0"/>
        <w:position w:val="0"/>
        <w:u w:val="none"/>
        <w:vertAlign w:val="baseline"/>
      </w:rPr>
    </w:lvl>
    <w:lvl w:ilvl="6" w:tentative="0">
      <w:start w:val="1"/>
      <w:numFmt w:val="decimal"/>
      <w:lvlRestart w:val="2"/>
      <w:isLgl/>
      <w:suff w:val="space"/>
      <w:lvlText w:val="图%1.%2-%7"/>
      <w:lvlJc w:val="center"/>
      <w:pPr>
        <w:ind w:left="0" w:firstLine="0"/>
      </w:pPr>
      <w:rPr>
        <w:rFonts w:hint="default" w:ascii="Times New Roman" w:hAnsi="Times New Roman" w:cs="Times New Roman"/>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Times New Roman"/>
        <w:b w:val="0"/>
        <w:bCs w:val="0"/>
        <w:i w:val="0"/>
        <w:iCs w:val="0"/>
        <w:caps w:val="0"/>
        <w:smallCaps w:val="0"/>
        <w:strike w:val="0"/>
        <w:dstrike w:val="0"/>
        <w:vanish w:val="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11">
    <w:nsid w:val="56319848"/>
    <w:multiLevelType w:val="multilevel"/>
    <w:tmpl w:val="56319848"/>
    <w:lvl w:ilvl="0" w:tentative="0">
      <w:start w:val="1"/>
      <w:numFmt w:val="chineseCounting"/>
      <w:pStyle w:val="56"/>
      <w:suff w:val="nothing"/>
      <w:lvlText w:val="%1、"/>
      <w:lvlJc w:val="left"/>
      <w:pPr>
        <w:tabs>
          <w:tab w:val="left" w:pos="0"/>
        </w:tabs>
        <w:ind w:left="425" w:hanging="425"/>
      </w:pPr>
      <w:rPr>
        <w:rFonts w:hint="eastAsia" w:ascii="Times New Roman" w:hAnsi="Times New Roman" w:eastAsia="黑体" w:cs="宋体"/>
        <w:b w:val="0"/>
        <w:bCs w:val="0"/>
        <w:sz w:val="30"/>
        <w:szCs w:val="30"/>
      </w:rPr>
    </w:lvl>
    <w:lvl w:ilvl="1" w:tentative="0">
      <w:start w:val="1"/>
      <w:numFmt w:val="decimal"/>
      <w:isLgl/>
      <w:suff w:val="nothing"/>
      <w:lvlText w:val="%2、"/>
      <w:lvlJc w:val="left"/>
      <w:pPr>
        <w:tabs>
          <w:tab w:val="left" w:pos="420"/>
        </w:tabs>
        <w:ind w:left="0" w:firstLine="0"/>
      </w:pPr>
      <w:rPr>
        <w:rFonts w:hint="eastAsia" w:ascii="宋体" w:hAnsi="宋体" w:eastAsia="宋体" w:cs="宋体"/>
        <w:b/>
        <w:bCs/>
        <w:sz w:val="24"/>
        <w:szCs w:val="24"/>
      </w:rPr>
    </w:lvl>
    <w:lvl w:ilvl="2" w:tentative="0">
      <w:start w:val="1"/>
      <w:numFmt w:val="decimal"/>
      <w:isLgl/>
      <w:lvlText w:val="%2.%3"/>
      <w:lvlJc w:val="left"/>
      <w:pPr>
        <w:tabs>
          <w:tab w:val="left" w:pos="420"/>
        </w:tabs>
        <w:ind w:left="0" w:firstLine="0"/>
      </w:pPr>
      <w:rPr>
        <w:rFonts w:hint="eastAsia" w:ascii="宋体" w:hAnsi="宋体" w:eastAsia="宋体" w:cs="宋体"/>
        <w:b/>
        <w:bCs/>
        <w:sz w:val="24"/>
        <w:szCs w:val="24"/>
      </w:rPr>
    </w:lvl>
    <w:lvl w:ilvl="3" w:tentative="0">
      <w:start w:val="1"/>
      <w:numFmt w:val="decimal"/>
      <w:lvlRestart w:val="1"/>
      <w:pStyle w:val="57"/>
      <w:isLgl/>
      <w:lvlText w:val="表%1-%4"/>
      <w:lvlJc w:val="left"/>
      <w:pPr>
        <w:tabs>
          <w:tab w:val="left" w:pos="420"/>
        </w:tabs>
        <w:ind w:left="0" w:firstLine="0"/>
      </w:pPr>
      <w:rPr>
        <w:rFonts w:hint="default" w:ascii="Times New Roman" w:hAnsi="Times New Roman" w:eastAsia="宋体" w:cs="宋体"/>
        <w:b/>
        <w:bCs/>
        <w:color w:val="000000" w:themeColor="text1"/>
        <w:sz w:val="21"/>
        <w:szCs w:val="21"/>
        <w:lang w:val="en-US"/>
        <w14:textFill>
          <w14:solidFill>
            <w14:schemeClr w14:val="tx1"/>
          </w14:solidFill>
        </w14:textFill>
      </w:rPr>
    </w:lvl>
    <w:lvl w:ilvl="4" w:tentative="0">
      <w:start w:val="1"/>
      <w:numFmt w:val="decimal"/>
      <w:lvlRestart w:val="1"/>
      <w:pStyle w:val="58"/>
      <w:isLgl/>
      <w:lvlText w:val="图%1-%5"/>
      <w:lvlJc w:val="left"/>
      <w:pPr>
        <w:tabs>
          <w:tab w:val="left" w:pos="420"/>
        </w:tabs>
        <w:ind w:left="0" w:firstLine="0"/>
      </w:pPr>
      <w:rPr>
        <w:rFonts w:hint="eastAsia" w:ascii="Times New Roman" w:hAnsi="Times New Roman" w:eastAsia="宋体" w:cs="宋体"/>
        <w:b/>
        <w:bCs/>
        <w:sz w:val="21"/>
        <w:szCs w:val="21"/>
      </w:rPr>
    </w:lvl>
    <w:lvl w:ilvl="5" w:tentative="0">
      <w:start w:val="1"/>
      <w:numFmt w:val="decimal"/>
      <w:lvlRestart w:val="2"/>
      <w:suff w:val="nothing"/>
      <w:lvlText w:val="（%6）"/>
      <w:lvlJc w:val="left"/>
      <w:pPr>
        <w:tabs>
          <w:tab w:val="left" w:pos="0"/>
        </w:tabs>
        <w:ind w:left="1554" w:hanging="1134"/>
      </w:pPr>
      <w:rPr>
        <w:rFonts w:hint="eastAsia" w:ascii="Times New Roman" w:hAnsi="Times New Roman" w:eastAsia="宋体" w:cs="宋体"/>
        <w:b/>
        <w:bCs/>
        <w:sz w:val="24"/>
        <w:szCs w:val="24"/>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12">
    <w:nsid w:val="5C1D0252"/>
    <w:multiLevelType w:val="multilevel"/>
    <w:tmpl w:val="5C1D0252"/>
    <w:lvl w:ilvl="0" w:tentative="0">
      <w:start w:val="1"/>
      <w:numFmt w:val="decimal"/>
      <w:lvlText w:val="%1、"/>
      <w:lvlJc w:val="left"/>
      <w:pPr>
        <w:ind w:left="857" w:hanging="375"/>
      </w:pPr>
      <w:rPr>
        <w:rFonts w:hint="default"/>
      </w:rPr>
    </w:lvl>
    <w:lvl w:ilvl="1" w:tentative="0">
      <w:start w:val="1"/>
      <w:numFmt w:val="lowerLetter"/>
      <w:lvlText w:val="%2)"/>
      <w:lvlJc w:val="left"/>
      <w:pPr>
        <w:ind w:left="1362" w:hanging="440"/>
      </w:pPr>
    </w:lvl>
    <w:lvl w:ilvl="2" w:tentative="0">
      <w:start w:val="1"/>
      <w:numFmt w:val="lowerRoman"/>
      <w:lvlText w:val="%3."/>
      <w:lvlJc w:val="right"/>
      <w:pPr>
        <w:ind w:left="1802" w:hanging="440"/>
      </w:pPr>
    </w:lvl>
    <w:lvl w:ilvl="3" w:tentative="0">
      <w:start w:val="1"/>
      <w:numFmt w:val="decimal"/>
      <w:lvlText w:val="%4."/>
      <w:lvlJc w:val="left"/>
      <w:pPr>
        <w:ind w:left="2242" w:hanging="440"/>
      </w:pPr>
    </w:lvl>
    <w:lvl w:ilvl="4" w:tentative="0">
      <w:start w:val="1"/>
      <w:numFmt w:val="lowerLetter"/>
      <w:lvlText w:val="%5)"/>
      <w:lvlJc w:val="left"/>
      <w:pPr>
        <w:ind w:left="2682" w:hanging="440"/>
      </w:pPr>
    </w:lvl>
    <w:lvl w:ilvl="5" w:tentative="0">
      <w:start w:val="1"/>
      <w:numFmt w:val="lowerRoman"/>
      <w:lvlText w:val="%6."/>
      <w:lvlJc w:val="right"/>
      <w:pPr>
        <w:ind w:left="3122" w:hanging="440"/>
      </w:pPr>
    </w:lvl>
    <w:lvl w:ilvl="6" w:tentative="0">
      <w:start w:val="1"/>
      <w:numFmt w:val="decimal"/>
      <w:lvlText w:val="%7."/>
      <w:lvlJc w:val="left"/>
      <w:pPr>
        <w:ind w:left="3562" w:hanging="440"/>
      </w:pPr>
    </w:lvl>
    <w:lvl w:ilvl="7" w:tentative="0">
      <w:start w:val="1"/>
      <w:numFmt w:val="lowerLetter"/>
      <w:lvlText w:val="%8)"/>
      <w:lvlJc w:val="left"/>
      <w:pPr>
        <w:ind w:left="4002" w:hanging="440"/>
      </w:pPr>
    </w:lvl>
    <w:lvl w:ilvl="8" w:tentative="0">
      <w:start w:val="1"/>
      <w:numFmt w:val="lowerRoman"/>
      <w:lvlText w:val="%9."/>
      <w:lvlJc w:val="right"/>
      <w:pPr>
        <w:ind w:left="4442" w:hanging="440"/>
      </w:pPr>
    </w:lvl>
  </w:abstractNum>
  <w:abstractNum w:abstractNumId="13">
    <w:nsid w:val="5C5AB72D"/>
    <w:multiLevelType w:val="singleLevel"/>
    <w:tmpl w:val="5C5AB72D"/>
    <w:lvl w:ilvl="0" w:tentative="0">
      <w:start w:val="1"/>
      <w:numFmt w:val="decimal"/>
      <w:pStyle w:val="138"/>
      <w:lvlText w:val="表1-%1"/>
      <w:lvlJc w:val="left"/>
      <w:pPr>
        <w:tabs>
          <w:tab w:val="left" w:pos="420"/>
        </w:tabs>
        <w:ind w:left="425" w:hanging="425"/>
      </w:pPr>
      <w:rPr>
        <w:rFonts w:hint="default"/>
        <w:sz w:val="21"/>
        <w:szCs w:val="21"/>
      </w:rPr>
    </w:lvl>
  </w:abstractNum>
  <w:abstractNum w:abstractNumId="14">
    <w:nsid w:val="644D3847"/>
    <w:multiLevelType w:val="multilevel"/>
    <w:tmpl w:val="644D3847"/>
    <w:lvl w:ilvl="0" w:tentative="0">
      <w:start w:val="11"/>
      <w:numFmt w:val="none"/>
      <w:suff w:val="nothing"/>
      <w:lvlText w:val="%1"/>
      <w:lvlJc w:val="left"/>
      <w:pPr>
        <w:ind w:left="0" w:firstLine="0"/>
      </w:pPr>
      <w:rPr>
        <w:rFonts w:hint="eastAsia"/>
      </w:rPr>
    </w:lvl>
    <w:lvl w:ilvl="1" w:tentative="0">
      <w:start w:val="1"/>
      <w:numFmt w:val="chineseCountingThousand"/>
      <w:suff w:val="nothing"/>
      <w:lvlText w:val="%2、"/>
      <w:lvlJc w:val="left"/>
      <w:pPr>
        <w:ind w:left="0" w:firstLine="0"/>
      </w:pPr>
      <w:rPr>
        <w:rFonts w:hint="eastAsia"/>
      </w:rPr>
    </w:lvl>
    <w:lvl w:ilvl="2" w:tentative="0">
      <w:start w:val="1"/>
      <w:numFmt w:val="decimal"/>
      <w:suff w:val="nothing"/>
      <w:lvlText w:val="%3、"/>
      <w:lvlJc w:val="left"/>
      <w:pPr>
        <w:ind w:left="425" w:firstLine="0"/>
      </w:pPr>
      <w:rPr>
        <w:rFonts w:hint="eastAsia"/>
        <w:b w:val="0"/>
        <w:sz w:val="24"/>
        <w:szCs w:val="24"/>
      </w:rPr>
    </w:lvl>
    <w:lvl w:ilvl="3" w:tentative="0">
      <w:start w:val="1"/>
      <w:numFmt w:val="decimal"/>
      <w:pStyle w:val="175"/>
      <w:suff w:val="space"/>
      <w:lvlText w:val="%3.%4"/>
      <w:lvlJc w:val="left"/>
      <w:pPr>
        <w:ind w:left="0" w:firstLine="0"/>
      </w:pPr>
    </w:lvl>
    <w:lvl w:ilvl="4" w:tentative="0">
      <w:start w:val="1"/>
      <w:numFmt w:val="decimal"/>
      <w:suff w:val="space"/>
      <w:lvlText w:val="%3.%4.%5"/>
      <w:lvlJc w:val="left"/>
      <w:pPr>
        <w:ind w:left="0" w:firstLine="0"/>
      </w:pPr>
      <w:rPr>
        <w:rFonts w:hint="eastAsia"/>
      </w:rPr>
    </w:lvl>
    <w:lvl w:ilvl="5" w:tentative="0">
      <w:start w:val="1"/>
      <w:numFmt w:val="decimal"/>
      <w:lvlRestart w:val="0"/>
      <w:pStyle w:val="171"/>
      <w:suff w:val="space"/>
      <w:lvlText w:val="表%6"/>
      <w:lvlJc w:val="center"/>
      <w:pPr>
        <w:ind w:left="0" w:firstLine="0"/>
      </w:pPr>
      <w:rPr>
        <w:rFonts w:hint="default"/>
        <w:b w:val="0"/>
        <w:sz w:val="22"/>
        <w:szCs w:val="22"/>
      </w:rPr>
    </w:lvl>
    <w:lvl w:ilvl="6" w:tentative="0">
      <w:start w:val="1"/>
      <w:numFmt w:val="decimal"/>
      <w:lvlRestart w:val="0"/>
      <w:suff w:val="space"/>
      <w:lvlText w:val="图%7"/>
      <w:lvlJc w:val="center"/>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abstractNum w:abstractNumId="15">
    <w:nsid w:val="672CD0B3"/>
    <w:multiLevelType w:val="multilevel"/>
    <w:tmpl w:val="672CD0B3"/>
    <w:lvl w:ilvl="0" w:tentative="0">
      <w:start w:val="1"/>
      <w:numFmt w:val="chineseCounting"/>
      <w:pStyle w:val="63"/>
      <w:suff w:val="nothing"/>
      <w:lvlText w:val="%1、"/>
      <w:lvlJc w:val="left"/>
      <w:pPr>
        <w:tabs>
          <w:tab w:val="left" w:pos="0"/>
        </w:tabs>
        <w:ind w:left="0" w:firstLine="0"/>
      </w:pPr>
      <w:rPr>
        <w:rFonts w:hint="eastAsia" w:ascii="宋体" w:hAnsi="宋体" w:eastAsia="宋体" w:cs="宋体"/>
        <w:b/>
        <w:bCs/>
        <w:sz w:val="36"/>
        <w:szCs w:val="36"/>
      </w:rPr>
    </w:lvl>
    <w:lvl w:ilvl="1" w:tentative="0">
      <w:start w:val="1"/>
      <w:numFmt w:val="decimal"/>
      <w:pStyle w:val="61"/>
      <w:suff w:val="nothing"/>
      <w:lvlText w:val="%2、"/>
      <w:lvlJc w:val="left"/>
      <w:pPr>
        <w:tabs>
          <w:tab w:val="left" w:pos="0"/>
        </w:tabs>
        <w:ind w:left="0" w:firstLine="0"/>
      </w:pPr>
      <w:rPr>
        <w:rFonts w:hint="eastAsia" w:ascii="宋体" w:hAnsi="宋体" w:eastAsia="宋体" w:cs="宋体"/>
        <w:b/>
        <w:bCs/>
        <w:sz w:val="24"/>
        <w:szCs w:val="24"/>
      </w:rPr>
    </w:lvl>
    <w:lvl w:ilvl="2" w:tentative="0">
      <w:start w:val="1"/>
      <w:numFmt w:val="decimal"/>
      <w:suff w:val="nothing"/>
      <w:lvlText w:val="（%3）"/>
      <w:lvlJc w:val="left"/>
      <w:pPr>
        <w:tabs>
          <w:tab w:val="left" w:pos="0"/>
        </w:tabs>
        <w:ind w:left="0" w:firstLine="0"/>
      </w:pPr>
      <w:rPr>
        <w:rFonts w:hint="eastAsia" w:ascii="宋体" w:hAnsi="宋体" w:eastAsia="宋体" w:cs="宋体"/>
        <w:b/>
        <w:bCs/>
        <w:sz w:val="24"/>
        <w:szCs w:val="24"/>
      </w:rPr>
    </w:lvl>
    <w:lvl w:ilvl="3" w:tentative="0">
      <w:start w:val="1"/>
      <w:numFmt w:val="decimal"/>
      <w:lvlRestart w:val="1"/>
      <w:pStyle w:val="60"/>
      <w:suff w:val="nothing"/>
      <w:lvlText w:val="表%4"/>
      <w:lvlJc w:val="left"/>
      <w:pPr>
        <w:tabs>
          <w:tab w:val="left" w:pos="0"/>
        </w:tabs>
        <w:ind w:left="0" w:firstLine="0"/>
      </w:pPr>
      <w:rPr>
        <w:rFonts w:hint="eastAsia" w:ascii="宋体" w:hAnsi="宋体" w:eastAsia="宋体" w:cs="宋体"/>
        <w:b/>
        <w:bCs/>
        <w:sz w:val="21"/>
        <w:szCs w:val="21"/>
      </w:rPr>
    </w:lvl>
    <w:lvl w:ilvl="4" w:tentative="0">
      <w:start w:val="1"/>
      <w:numFmt w:val="decimal"/>
      <w:lvlRestart w:val="2"/>
      <w:suff w:val="nothing"/>
      <w:lvlText w:val="图%1.%2.%5"/>
      <w:lvlJc w:val="left"/>
      <w:pPr>
        <w:tabs>
          <w:tab w:val="left" w:pos="0"/>
        </w:tabs>
        <w:ind w:left="0" w:firstLine="0"/>
      </w:pPr>
      <w:rPr>
        <w:rFonts w:hint="eastAsia" w:ascii="Times New Roman" w:hAnsi="Times New Roman" w:eastAsia="宋体" w:cs="Times New Roman"/>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5" w:hanging="1275"/>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8" w:hanging="1558"/>
      </w:pPr>
      <w:rPr>
        <w:rFonts w:hint="eastAsia"/>
      </w:rPr>
    </w:lvl>
  </w:abstractNum>
  <w:abstractNum w:abstractNumId="16">
    <w:nsid w:val="69F76C17"/>
    <w:multiLevelType w:val="multilevel"/>
    <w:tmpl w:val="69F76C17"/>
    <w:lvl w:ilvl="0" w:tentative="0">
      <w:start w:val="1"/>
      <w:numFmt w:val="chineseCountingThousand"/>
      <w:suff w:val="space"/>
      <w:lvlText w:val="第%1章"/>
      <w:lvlJc w:val="left"/>
      <w:pPr>
        <w:ind w:left="0" w:firstLine="0"/>
      </w:pPr>
      <w:rPr>
        <w:rFonts w:hint="eastAsia" w:ascii="隶书" w:eastAsia="隶书"/>
        <w:b/>
        <w:i w:val="0"/>
        <w:color w:val="auto"/>
        <w:sz w:val="36"/>
      </w:rPr>
    </w:lvl>
    <w:lvl w:ilvl="1" w:tentative="0">
      <w:start w:val="1"/>
      <w:numFmt w:val="chineseCountingThousand"/>
      <w:suff w:val="nothing"/>
      <w:lvlText w:val="%2."/>
      <w:lvlJc w:val="left"/>
      <w:pPr>
        <w:ind w:left="1325" w:hanging="425"/>
      </w:pPr>
      <w:rPr>
        <w:rFonts w:hint="eastAsia"/>
      </w:rPr>
    </w:lvl>
    <w:lvl w:ilvl="2" w:tentative="0">
      <w:start w:val="1"/>
      <w:numFmt w:val="chineseCountingThousand"/>
      <w:suff w:val="nothing"/>
      <w:lvlText w:val="(%3)."/>
      <w:lvlJc w:val="left"/>
      <w:pPr>
        <w:ind w:left="0" w:firstLine="0"/>
      </w:pPr>
      <w:rPr>
        <w:rFonts w:hint="eastAsia" w:ascii="楷体_GB2312" w:eastAsia="楷体_GB2312"/>
      </w:rPr>
    </w:lvl>
    <w:lvl w:ilvl="3" w:tentative="0">
      <w:start w:val="1"/>
      <w:numFmt w:val="decimal"/>
      <w:pStyle w:val="5"/>
      <w:suff w:val="nothing"/>
      <w:lvlText w:val="%4."/>
      <w:lvlJc w:val="left"/>
      <w:pPr>
        <w:ind w:left="0" w:firstLine="0"/>
      </w:pPr>
      <w:rPr>
        <w:rFonts w:hint="eastAsia" w:ascii="宋体" w:eastAsia="宋体"/>
      </w:rPr>
    </w:lvl>
    <w:lvl w:ilvl="4" w:tentative="0">
      <w:start w:val="1"/>
      <w:numFmt w:val="decimal"/>
      <w:suff w:val="nothing"/>
      <w:lvlText w:val="(%5)."/>
      <w:lvlJc w:val="left"/>
      <w:pPr>
        <w:ind w:left="0" w:firstLine="0"/>
      </w:pPr>
      <w:rPr>
        <w:rFonts w:hint="eastAsia" w:ascii="宋体" w:eastAsia="宋体"/>
      </w:rPr>
    </w:lvl>
    <w:lvl w:ilvl="5" w:tentative="0">
      <w:start w:val="1"/>
      <w:numFmt w:val="upperLetter"/>
      <w:lvlText w:val="%6."/>
      <w:lvlJc w:val="left"/>
      <w:pPr>
        <w:tabs>
          <w:tab w:val="left" w:pos="0"/>
        </w:tabs>
        <w:ind w:left="0" w:firstLine="0"/>
      </w:pPr>
      <w:rPr>
        <w:rFonts w:hint="eastAsia" w:ascii="宋体" w:eastAsia="宋体"/>
      </w:rPr>
    </w:lvl>
    <w:lvl w:ilvl="6" w:tentative="0">
      <w:start w:val="1"/>
      <w:numFmt w:val="decimal"/>
      <w:lvlText w:val="%7"/>
      <w:lvlJc w:val="left"/>
      <w:pPr>
        <w:tabs>
          <w:tab w:val="left" w:pos="0"/>
        </w:tabs>
        <w:ind w:left="0" w:firstLine="0"/>
      </w:pPr>
      <w:rPr>
        <w:rFonts w:hint="default" w:ascii="Times New Roman" w:hAnsi="Times New Roman"/>
      </w:rPr>
    </w:lvl>
    <w:lvl w:ilvl="7" w:tentative="0">
      <w:start w:val="1"/>
      <w:numFmt w:val="decimal"/>
      <w:lvlText w:val="%8"/>
      <w:lvlJc w:val="left"/>
      <w:pPr>
        <w:tabs>
          <w:tab w:val="left" w:pos="0"/>
        </w:tabs>
        <w:ind w:left="0" w:firstLine="0"/>
      </w:pPr>
      <w:rPr>
        <w:rFonts w:hint="default" w:ascii="Times New Roman" w:hAnsi="Times New Roman"/>
      </w:rPr>
    </w:lvl>
    <w:lvl w:ilvl="8" w:tentative="0">
      <w:start w:val="1"/>
      <w:numFmt w:val="decimal"/>
      <w:lvlText w:val="%9"/>
      <w:lvlJc w:val="left"/>
      <w:pPr>
        <w:tabs>
          <w:tab w:val="left" w:pos="0"/>
        </w:tabs>
        <w:ind w:left="0" w:firstLine="0"/>
      </w:pPr>
      <w:rPr>
        <w:rFonts w:hint="default" w:ascii="Times New Roman" w:hAnsi="Times New Roman"/>
      </w:rPr>
    </w:lvl>
  </w:abstractNum>
  <w:abstractNum w:abstractNumId="17">
    <w:nsid w:val="6DC64E9C"/>
    <w:multiLevelType w:val="multilevel"/>
    <w:tmpl w:val="6DC64E9C"/>
    <w:lvl w:ilvl="0" w:tentative="0">
      <w:start w:val="1"/>
      <w:numFmt w:val="decimal"/>
      <w:suff w:val="nothing"/>
      <w:lvlText w:val="%1"/>
      <w:lvlJc w:val="left"/>
      <w:pPr>
        <w:tabs>
          <w:tab w:val="left" w:pos="0"/>
        </w:tabs>
        <w:ind w:left="0" w:firstLine="0"/>
      </w:pPr>
      <w:rPr>
        <w:rFonts w:hint="default" w:ascii="Times New Roman" w:hAnsi="Times New Roman" w:eastAsia="宋体" w:cs="Times New Roman"/>
        <w:b/>
        <w:bCs/>
        <w:sz w:val="36"/>
        <w:szCs w:val="36"/>
      </w:rPr>
    </w:lvl>
    <w:lvl w:ilvl="1" w:tentative="0">
      <w:start w:val="1"/>
      <w:numFmt w:val="decimal"/>
      <w:suff w:val="nothing"/>
      <w:lvlText w:val="%1.%2"/>
      <w:lvlJc w:val="left"/>
      <w:pPr>
        <w:tabs>
          <w:tab w:val="left" w:pos="0"/>
        </w:tabs>
        <w:ind w:left="0" w:firstLine="0"/>
      </w:pPr>
      <w:rPr>
        <w:rFonts w:hint="default" w:ascii="Times New Roman" w:hAnsi="Times New Roman" w:eastAsia="宋体" w:cs="Times New Roman"/>
        <w:b/>
        <w:bCs/>
        <w:sz w:val="32"/>
        <w:szCs w:val="32"/>
      </w:rPr>
    </w:lvl>
    <w:lvl w:ilvl="2" w:tentative="0">
      <w:start w:val="1"/>
      <w:numFmt w:val="decimal"/>
      <w:isLgl/>
      <w:suff w:val="nothing"/>
      <w:lvlText w:val="%1.%2.%3"/>
      <w:lvlJc w:val="left"/>
      <w:pPr>
        <w:tabs>
          <w:tab w:val="left" w:pos="0"/>
        </w:tabs>
        <w:ind w:left="0" w:firstLine="0"/>
      </w:pPr>
      <w:rPr>
        <w:rFonts w:hint="default" w:ascii="Times New Roman" w:hAnsi="Times New Roman" w:eastAsia="宋体" w:cs="Times New Roman"/>
        <w:b/>
        <w:bCs/>
        <w:sz w:val="28"/>
        <w:szCs w:val="28"/>
      </w:rPr>
    </w:lvl>
    <w:lvl w:ilvl="3" w:tentative="0">
      <w:start w:val="1"/>
      <w:numFmt w:val="decimal"/>
      <w:lvlRestart w:val="2"/>
      <w:suff w:val="nothing"/>
      <w:lvlText w:val="表%1.%2-%4"/>
      <w:lvlJc w:val="left"/>
      <w:pPr>
        <w:tabs>
          <w:tab w:val="left" w:pos="0"/>
        </w:tabs>
        <w:ind w:left="0" w:firstLine="0"/>
      </w:pPr>
      <w:rPr>
        <w:rFonts w:hint="default" w:ascii="Times New Roman" w:hAnsi="Times New Roman" w:eastAsia="宋体" w:cs="Times New Roman"/>
        <w:b/>
        <w:bCs/>
        <w:sz w:val="21"/>
        <w:szCs w:val="21"/>
      </w:rPr>
    </w:lvl>
    <w:lvl w:ilvl="4" w:tentative="0">
      <w:start w:val="1"/>
      <w:numFmt w:val="decimal"/>
      <w:lvlRestart w:val="2"/>
      <w:pStyle w:val="62"/>
      <w:suff w:val="nothing"/>
      <w:lvlText w:val="图%1.%2.%5"/>
      <w:lvlJc w:val="left"/>
      <w:pPr>
        <w:tabs>
          <w:tab w:val="left" w:pos="0"/>
        </w:tabs>
        <w:ind w:left="0" w:firstLine="0"/>
      </w:pPr>
      <w:rPr>
        <w:rFonts w:hint="default" w:ascii="Times New Roman" w:hAnsi="Times New Roman" w:eastAsia="宋体" w:cs="Times New Roman"/>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8">
    <w:nsid w:val="739ACF65"/>
    <w:multiLevelType w:val="singleLevel"/>
    <w:tmpl w:val="739ACF65"/>
    <w:lvl w:ilvl="0" w:tentative="0">
      <w:start w:val="1"/>
      <w:numFmt w:val="decimal"/>
      <w:pStyle w:val="143"/>
      <w:lvlText w:val="表3-%1"/>
      <w:lvlJc w:val="center"/>
      <w:pPr>
        <w:tabs>
          <w:tab w:val="left" w:pos="0"/>
        </w:tabs>
        <w:ind w:left="0" w:firstLine="0"/>
      </w:pPr>
      <w:rPr>
        <w:rFonts w:hint="default"/>
        <w:b/>
        <w:bCs/>
        <w:sz w:val="21"/>
        <w:szCs w:val="21"/>
      </w:rPr>
    </w:lvl>
  </w:abstractNum>
  <w:num w:numId="1">
    <w:abstractNumId w:val="4"/>
  </w:num>
  <w:num w:numId="2">
    <w:abstractNumId w:val="16"/>
  </w:num>
  <w:num w:numId="3">
    <w:abstractNumId w:val="11"/>
  </w:num>
  <w:num w:numId="4">
    <w:abstractNumId w:val="15"/>
  </w:num>
  <w:num w:numId="5">
    <w:abstractNumId w:val="17"/>
  </w:num>
  <w:num w:numId="6">
    <w:abstractNumId w:val="10"/>
  </w:num>
  <w:num w:numId="7">
    <w:abstractNumId w:val="13"/>
  </w:num>
  <w:num w:numId="8">
    <w:abstractNumId w:val="3"/>
  </w:num>
  <w:num w:numId="9">
    <w:abstractNumId w:val="18"/>
  </w:num>
  <w:num w:numId="10">
    <w:abstractNumId w:val="2"/>
  </w:num>
  <w:num w:numId="11">
    <w:abstractNumId w:val="8"/>
  </w:num>
  <w:num w:numId="12">
    <w:abstractNumId w:val="0"/>
  </w:num>
  <w:num w:numId="13">
    <w:abstractNumId w:val="9"/>
  </w:num>
  <w:num w:numId="14">
    <w:abstractNumId w:val="14"/>
  </w:num>
  <w:num w:numId="15">
    <w:abstractNumId w:val="5"/>
  </w:num>
  <w:num w:numId="16">
    <w:abstractNumId w:val="7"/>
  </w:num>
  <w:num w:numId="17">
    <w:abstractNumId w:val="1"/>
  </w:num>
  <w:num w:numId="18">
    <w:abstractNumId w:val="6"/>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M2MGJmOTUyYTI4MTg4MzA1YWJmYjRkZmEzMDQ3MjgifQ=="/>
    <w:docVar w:name="KSO_WPS_MARK_KEY" w:val="b2a41ba6-1fa6-4852-bfab-3937e04cdc21"/>
  </w:docVars>
  <w:rsids>
    <w:rsidRoot w:val="00172A27"/>
    <w:rsid w:val="000060B3"/>
    <w:rsid w:val="00017948"/>
    <w:rsid w:val="0002662C"/>
    <w:rsid w:val="000326A3"/>
    <w:rsid w:val="00034BEC"/>
    <w:rsid w:val="000351E5"/>
    <w:rsid w:val="0004364B"/>
    <w:rsid w:val="00043D50"/>
    <w:rsid w:val="00061B1F"/>
    <w:rsid w:val="0006633D"/>
    <w:rsid w:val="000721BF"/>
    <w:rsid w:val="000733C4"/>
    <w:rsid w:val="00074783"/>
    <w:rsid w:val="00074944"/>
    <w:rsid w:val="0008070B"/>
    <w:rsid w:val="000810AC"/>
    <w:rsid w:val="00081A02"/>
    <w:rsid w:val="00082231"/>
    <w:rsid w:val="00086C25"/>
    <w:rsid w:val="00091C2E"/>
    <w:rsid w:val="00092D38"/>
    <w:rsid w:val="0009377B"/>
    <w:rsid w:val="000A0660"/>
    <w:rsid w:val="000A20C9"/>
    <w:rsid w:val="000B058F"/>
    <w:rsid w:val="000B4467"/>
    <w:rsid w:val="000B4DB9"/>
    <w:rsid w:val="000C09AC"/>
    <w:rsid w:val="000C767F"/>
    <w:rsid w:val="000D047D"/>
    <w:rsid w:val="000D5A44"/>
    <w:rsid w:val="000E2005"/>
    <w:rsid w:val="000E3ED2"/>
    <w:rsid w:val="000E6BB9"/>
    <w:rsid w:val="000F1D06"/>
    <w:rsid w:val="0010234A"/>
    <w:rsid w:val="00111477"/>
    <w:rsid w:val="00115406"/>
    <w:rsid w:val="0012183D"/>
    <w:rsid w:val="00131F42"/>
    <w:rsid w:val="001357F1"/>
    <w:rsid w:val="00137DCF"/>
    <w:rsid w:val="00140FA8"/>
    <w:rsid w:val="0014179F"/>
    <w:rsid w:val="00142FEB"/>
    <w:rsid w:val="00143A2D"/>
    <w:rsid w:val="00143BB2"/>
    <w:rsid w:val="00143FED"/>
    <w:rsid w:val="00144092"/>
    <w:rsid w:val="00145A41"/>
    <w:rsid w:val="00151675"/>
    <w:rsid w:val="00153D1A"/>
    <w:rsid w:val="00157435"/>
    <w:rsid w:val="001606F7"/>
    <w:rsid w:val="0016173F"/>
    <w:rsid w:val="00164E8F"/>
    <w:rsid w:val="00170EAB"/>
    <w:rsid w:val="00172650"/>
    <w:rsid w:val="00172A27"/>
    <w:rsid w:val="0017504D"/>
    <w:rsid w:val="0017671A"/>
    <w:rsid w:val="00177422"/>
    <w:rsid w:val="00177C29"/>
    <w:rsid w:val="00184590"/>
    <w:rsid w:val="001870D1"/>
    <w:rsid w:val="0018781E"/>
    <w:rsid w:val="0019005B"/>
    <w:rsid w:val="0019262D"/>
    <w:rsid w:val="00194277"/>
    <w:rsid w:val="001A1B35"/>
    <w:rsid w:val="001A48A2"/>
    <w:rsid w:val="001A6F61"/>
    <w:rsid w:val="001B4D6F"/>
    <w:rsid w:val="001B72B8"/>
    <w:rsid w:val="001C49A5"/>
    <w:rsid w:val="001C5165"/>
    <w:rsid w:val="001C69B3"/>
    <w:rsid w:val="001D0AA8"/>
    <w:rsid w:val="001D22C5"/>
    <w:rsid w:val="001D38FA"/>
    <w:rsid w:val="001D5595"/>
    <w:rsid w:val="001D5607"/>
    <w:rsid w:val="001D5F0F"/>
    <w:rsid w:val="001D7874"/>
    <w:rsid w:val="001D7F22"/>
    <w:rsid w:val="001E34A6"/>
    <w:rsid w:val="001E479A"/>
    <w:rsid w:val="001E6298"/>
    <w:rsid w:val="001F0F17"/>
    <w:rsid w:val="001F29DA"/>
    <w:rsid w:val="001F3347"/>
    <w:rsid w:val="001F3E7A"/>
    <w:rsid w:val="001F69E4"/>
    <w:rsid w:val="00201558"/>
    <w:rsid w:val="00201AF8"/>
    <w:rsid w:val="0020226C"/>
    <w:rsid w:val="0021126D"/>
    <w:rsid w:val="002125B4"/>
    <w:rsid w:val="002155B8"/>
    <w:rsid w:val="0021791F"/>
    <w:rsid w:val="00220276"/>
    <w:rsid w:val="00224839"/>
    <w:rsid w:val="002249B2"/>
    <w:rsid w:val="00226574"/>
    <w:rsid w:val="002278EC"/>
    <w:rsid w:val="00232433"/>
    <w:rsid w:val="002326F2"/>
    <w:rsid w:val="0023280E"/>
    <w:rsid w:val="0023357A"/>
    <w:rsid w:val="00233B6A"/>
    <w:rsid w:val="002377D1"/>
    <w:rsid w:val="00237DEB"/>
    <w:rsid w:val="00244CE4"/>
    <w:rsid w:val="00244FAB"/>
    <w:rsid w:val="002506BC"/>
    <w:rsid w:val="00252C51"/>
    <w:rsid w:val="00254345"/>
    <w:rsid w:val="00264557"/>
    <w:rsid w:val="002727F4"/>
    <w:rsid w:val="00273A6E"/>
    <w:rsid w:val="0027401B"/>
    <w:rsid w:val="002805AB"/>
    <w:rsid w:val="002833C2"/>
    <w:rsid w:val="00284204"/>
    <w:rsid w:val="00287FA7"/>
    <w:rsid w:val="00290870"/>
    <w:rsid w:val="00291773"/>
    <w:rsid w:val="00295EB2"/>
    <w:rsid w:val="002A168C"/>
    <w:rsid w:val="002A367B"/>
    <w:rsid w:val="002A3DC7"/>
    <w:rsid w:val="002A5ABD"/>
    <w:rsid w:val="002B0259"/>
    <w:rsid w:val="002B49E2"/>
    <w:rsid w:val="002B7B00"/>
    <w:rsid w:val="002B7C44"/>
    <w:rsid w:val="002C2B17"/>
    <w:rsid w:val="002D3DD0"/>
    <w:rsid w:val="002D443F"/>
    <w:rsid w:val="002E1F3A"/>
    <w:rsid w:val="002E298A"/>
    <w:rsid w:val="002E324E"/>
    <w:rsid w:val="00301978"/>
    <w:rsid w:val="0030332C"/>
    <w:rsid w:val="003051C2"/>
    <w:rsid w:val="00312296"/>
    <w:rsid w:val="00313D91"/>
    <w:rsid w:val="003144ED"/>
    <w:rsid w:val="00314F0E"/>
    <w:rsid w:val="003168D8"/>
    <w:rsid w:val="00321D8E"/>
    <w:rsid w:val="00325928"/>
    <w:rsid w:val="00330D85"/>
    <w:rsid w:val="00332863"/>
    <w:rsid w:val="0033684D"/>
    <w:rsid w:val="00336C2A"/>
    <w:rsid w:val="00337B42"/>
    <w:rsid w:val="003406B2"/>
    <w:rsid w:val="00341B42"/>
    <w:rsid w:val="0034348F"/>
    <w:rsid w:val="003444E1"/>
    <w:rsid w:val="00345F39"/>
    <w:rsid w:val="003520AD"/>
    <w:rsid w:val="00356653"/>
    <w:rsid w:val="0035743F"/>
    <w:rsid w:val="00357BE2"/>
    <w:rsid w:val="0036170C"/>
    <w:rsid w:val="00366E0F"/>
    <w:rsid w:val="003721D3"/>
    <w:rsid w:val="00381A72"/>
    <w:rsid w:val="00381AA0"/>
    <w:rsid w:val="00384676"/>
    <w:rsid w:val="00384C25"/>
    <w:rsid w:val="00390857"/>
    <w:rsid w:val="003908EC"/>
    <w:rsid w:val="0039267C"/>
    <w:rsid w:val="003A0369"/>
    <w:rsid w:val="003A4BF3"/>
    <w:rsid w:val="003A4F71"/>
    <w:rsid w:val="003A5F08"/>
    <w:rsid w:val="003B420D"/>
    <w:rsid w:val="003B6CE7"/>
    <w:rsid w:val="003C05BA"/>
    <w:rsid w:val="003C080E"/>
    <w:rsid w:val="003C15A7"/>
    <w:rsid w:val="003C4C39"/>
    <w:rsid w:val="003C6C16"/>
    <w:rsid w:val="003C7573"/>
    <w:rsid w:val="003C7EC9"/>
    <w:rsid w:val="003D046E"/>
    <w:rsid w:val="003D29CE"/>
    <w:rsid w:val="003D2E3C"/>
    <w:rsid w:val="003D794D"/>
    <w:rsid w:val="003D7D2E"/>
    <w:rsid w:val="003E3058"/>
    <w:rsid w:val="003E358D"/>
    <w:rsid w:val="003E76A9"/>
    <w:rsid w:val="003F0809"/>
    <w:rsid w:val="003F6A8C"/>
    <w:rsid w:val="003F755C"/>
    <w:rsid w:val="00400067"/>
    <w:rsid w:val="00406F01"/>
    <w:rsid w:val="00411B27"/>
    <w:rsid w:val="00414BEA"/>
    <w:rsid w:val="00416D50"/>
    <w:rsid w:val="00416FD5"/>
    <w:rsid w:val="00417772"/>
    <w:rsid w:val="00420E6A"/>
    <w:rsid w:val="00425A9E"/>
    <w:rsid w:val="00426D6B"/>
    <w:rsid w:val="0042780B"/>
    <w:rsid w:val="00431E6C"/>
    <w:rsid w:val="00433CE7"/>
    <w:rsid w:val="004424F9"/>
    <w:rsid w:val="004427B5"/>
    <w:rsid w:val="00452738"/>
    <w:rsid w:val="00456091"/>
    <w:rsid w:val="00466321"/>
    <w:rsid w:val="00467C2B"/>
    <w:rsid w:val="004748DB"/>
    <w:rsid w:val="00476CF4"/>
    <w:rsid w:val="004778C5"/>
    <w:rsid w:val="00482019"/>
    <w:rsid w:val="00484B9B"/>
    <w:rsid w:val="004855F6"/>
    <w:rsid w:val="0048661E"/>
    <w:rsid w:val="004872F2"/>
    <w:rsid w:val="00491CFB"/>
    <w:rsid w:val="00494670"/>
    <w:rsid w:val="004A1E02"/>
    <w:rsid w:val="004A3823"/>
    <w:rsid w:val="004B032C"/>
    <w:rsid w:val="004B2C0E"/>
    <w:rsid w:val="004B690A"/>
    <w:rsid w:val="004C2A86"/>
    <w:rsid w:val="004C6849"/>
    <w:rsid w:val="004C7705"/>
    <w:rsid w:val="004D45DA"/>
    <w:rsid w:val="004E3FBA"/>
    <w:rsid w:val="004E6946"/>
    <w:rsid w:val="004F1AD8"/>
    <w:rsid w:val="004F1B26"/>
    <w:rsid w:val="004F2FAD"/>
    <w:rsid w:val="00501456"/>
    <w:rsid w:val="005024D0"/>
    <w:rsid w:val="005039CB"/>
    <w:rsid w:val="0050558F"/>
    <w:rsid w:val="00506286"/>
    <w:rsid w:val="00507C8F"/>
    <w:rsid w:val="00510813"/>
    <w:rsid w:val="00511990"/>
    <w:rsid w:val="00511DE0"/>
    <w:rsid w:val="00513D8B"/>
    <w:rsid w:val="00514870"/>
    <w:rsid w:val="0051488A"/>
    <w:rsid w:val="00514B9B"/>
    <w:rsid w:val="00517F02"/>
    <w:rsid w:val="00524303"/>
    <w:rsid w:val="005252A2"/>
    <w:rsid w:val="005258A2"/>
    <w:rsid w:val="00530AD4"/>
    <w:rsid w:val="00531BFD"/>
    <w:rsid w:val="00532BDD"/>
    <w:rsid w:val="0053328A"/>
    <w:rsid w:val="00534724"/>
    <w:rsid w:val="00536076"/>
    <w:rsid w:val="0053696E"/>
    <w:rsid w:val="005401AE"/>
    <w:rsid w:val="00542E07"/>
    <w:rsid w:val="00545424"/>
    <w:rsid w:val="00554927"/>
    <w:rsid w:val="00554A7B"/>
    <w:rsid w:val="0055572C"/>
    <w:rsid w:val="0056106A"/>
    <w:rsid w:val="005720AE"/>
    <w:rsid w:val="00584119"/>
    <w:rsid w:val="005902A9"/>
    <w:rsid w:val="00590900"/>
    <w:rsid w:val="0059129C"/>
    <w:rsid w:val="00592C1E"/>
    <w:rsid w:val="00594D77"/>
    <w:rsid w:val="005969E4"/>
    <w:rsid w:val="00596C18"/>
    <w:rsid w:val="005A06B7"/>
    <w:rsid w:val="005A1498"/>
    <w:rsid w:val="005A15A1"/>
    <w:rsid w:val="005A1759"/>
    <w:rsid w:val="005A44AF"/>
    <w:rsid w:val="005A68A7"/>
    <w:rsid w:val="005A7DC2"/>
    <w:rsid w:val="005B61C8"/>
    <w:rsid w:val="005C0C2E"/>
    <w:rsid w:val="005D2406"/>
    <w:rsid w:val="005D2F23"/>
    <w:rsid w:val="005D36AB"/>
    <w:rsid w:val="005E2353"/>
    <w:rsid w:val="005E66E2"/>
    <w:rsid w:val="005F4155"/>
    <w:rsid w:val="0060124B"/>
    <w:rsid w:val="006025E7"/>
    <w:rsid w:val="00603DB1"/>
    <w:rsid w:val="0061086B"/>
    <w:rsid w:val="006119F8"/>
    <w:rsid w:val="006122C1"/>
    <w:rsid w:val="00615C22"/>
    <w:rsid w:val="00617CC3"/>
    <w:rsid w:val="00620F44"/>
    <w:rsid w:val="00621C19"/>
    <w:rsid w:val="006236F0"/>
    <w:rsid w:val="00625B3E"/>
    <w:rsid w:val="00625FBB"/>
    <w:rsid w:val="006342B6"/>
    <w:rsid w:val="006377A6"/>
    <w:rsid w:val="00637A3D"/>
    <w:rsid w:val="006411EF"/>
    <w:rsid w:val="00647C91"/>
    <w:rsid w:val="00647CAA"/>
    <w:rsid w:val="00661A40"/>
    <w:rsid w:val="00667664"/>
    <w:rsid w:val="006748B8"/>
    <w:rsid w:val="006775C3"/>
    <w:rsid w:val="00682CFA"/>
    <w:rsid w:val="0069290A"/>
    <w:rsid w:val="00693E73"/>
    <w:rsid w:val="006943C0"/>
    <w:rsid w:val="0069775A"/>
    <w:rsid w:val="00697813"/>
    <w:rsid w:val="006A3EE8"/>
    <w:rsid w:val="006A4965"/>
    <w:rsid w:val="006A5BF0"/>
    <w:rsid w:val="006A6F25"/>
    <w:rsid w:val="006A72BF"/>
    <w:rsid w:val="006A7F19"/>
    <w:rsid w:val="006B03F2"/>
    <w:rsid w:val="006B11CC"/>
    <w:rsid w:val="006B37DC"/>
    <w:rsid w:val="006B407C"/>
    <w:rsid w:val="006B4F68"/>
    <w:rsid w:val="006C0592"/>
    <w:rsid w:val="006C101B"/>
    <w:rsid w:val="006C1A56"/>
    <w:rsid w:val="006C272E"/>
    <w:rsid w:val="006C4BA2"/>
    <w:rsid w:val="006C5479"/>
    <w:rsid w:val="006C6930"/>
    <w:rsid w:val="006D005E"/>
    <w:rsid w:val="006D13B5"/>
    <w:rsid w:val="006D35DA"/>
    <w:rsid w:val="006D3C37"/>
    <w:rsid w:val="006D5172"/>
    <w:rsid w:val="006E0B89"/>
    <w:rsid w:val="006E12FF"/>
    <w:rsid w:val="006E538D"/>
    <w:rsid w:val="006E607E"/>
    <w:rsid w:val="006E6C87"/>
    <w:rsid w:val="00700FFA"/>
    <w:rsid w:val="007038F4"/>
    <w:rsid w:val="00704089"/>
    <w:rsid w:val="00705F04"/>
    <w:rsid w:val="0070609A"/>
    <w:rsid w:val="00706C5D"/>
    <w:rsid w:val="00711884"/>
    <w:rsid w:val="00714B34"/>
    <w:rsid w:val="007202D2"/>
    <w:rsid w:val="007263A8"/>
    <w:rsid w:val="00730D2D"/>
    <w:rsid w:val="00732922"/>
    <w:rsid w:val="007362C1"/>
    <w:rsid w:val="00740693"/>
    <w:rsid w:val="00741CA0"/>
    <w:rsid w:val="0074224F"/>
    <w:rsid w:val="0075162E"/>
    <w:rsid w:val="00752E55"/>
    <w:rsid w:val="00754034"/>
    <w:rsid w:val="0075602D"/>
    <w:rsid w:val="00756556"/>
    <w:rsid w:val="007604A8"/>
    <w:rsid w:val="00760CA0"/>
    <w:rsid w:val="007618C4"/>
    <w:rsid w:val="00767980"/>
    <w:rsid w:val="0077031B"/>
    <w:rsid w:val="00770566"/>
    <w:rsid w:val="00770B19"/>
    <w:rsid w:val="007718BC"/>
    <w:rsid w:val="0077463F"/>
    <w:rsid w:val="007836EA"/>
    <w:rsid w:val="00784CDA"/>
    <w:rsid w:val="007906C4"/>
    <w:rsid w:val="007940EA"/>
    <w:rsid w:val="007967E8"/>
    <w:rsid w:val="007A0605"/>
    <w:rsid w:val="007A2170"/>
    <w:rsid w:val="007A22BF"/>
    <w:rsid w:val="007A3323"/>
    <w:rsid w:val="007B72B8"/>
    <w:rsid w:val="007B7A58"/>
    <w:rsid w:val="007C050A"/>
    <w:rsid w:val="007C21B5"/>
    <w:rsid w:val="007C3537"/>
    <w:rsid w:val="007E23A4"/>
    <w:rsid w:val="007E4BD2"/>
    <w:rsid w:val="007E52FD"/>
    <w:rsid w:val="007E579B"/>
    <w:rsid w:val="007F090D"/>
    <w:rsid w:val="007F2351"/>
    <w:rsid w:val="00801393"/>
    <w:rsid w:val="00802F88"/>
    <w:rsid w:val="00811465"/>
    <w:rsid w:val="0081293E"/>
    <w:rsid w:val="00814CA0"/>
    <w:rsid w:val="00815465"/>
    <w:rsid w:val="00817E9A"/>
    <w:rsid w:val="008224E4"/>
    <w:rsid w:val="00822E77"/>
    <w:rsid w:val="008242FF"/>
    <w:rsid w:val="008306BD"/>
    <w:rsid w:val="00831A80"/>
    <w:rsid w:val="00833743"/>
    <w:rsid w:val="008340A4"/>
    <w:rsid w:val="00837D5F"/>
    <w:rsid w:val="00841455"/>
    <w:rsid w:val="00846664"/>
    <w:rsid w:val="00850D69"/>
    <w:rsid w:val="00851DDA"/>
    <w:rsid w:val="008600CE"/>
    <w:rsid w:val="008610DD"/>
    <w:rsid w:val="0087135F"/>
    <w:rsid w:val="00872D94"/>
    <w:rsid w:val="00880364"/>
    <w:rsid w:val="00881DB5"/>
    <w:rsid w:val="008825FA"/>
    <w:rsid w:val="00891592"/>
    <w:rsid w:val="00891E9E"/>
    <w:rsid w:val="00893CC8"/>
    <w:rsid w:val="008954F3"/>
    <w:rsid w:val="008A1E32"/>
    <w:rsid w:val="008A2EDE"/>
    <w:rsid w:val="008A2F68"/>
    <w:rsid w:val="008A79C8"/>
    <w:rsid w:val="008B4FA6"/>
    <w:rsid w:val="008B5282"/>
    <w:rsid w:val="008B7916"/>
    <w:rsid w:val="008B7C17"/>
    <w:rsid w:val="008C1617"/>
    <w:rsid w:val="008C2858"/>
    <w:rsid w:val="008C2D01"/>
    <w:rsid w:val="008C40E6"/>
    <w:rsid w:val="008C591A"/>
    <w:rsid w:val="008C5E0B"/>
    <w:rsid w:val="008D0F7A"/>
    <w:rsid w:val="008D68E4"/>
    <w:rsid w:val="008E0506"/>
    <w:rsid w:val="008E0A1C"/>
    <w:rsid w:val="008E0CFF"/>
    <w:rsid w:val="008E5D6B"/>
    <w:rsid w:val="008E76F0"/>
    <w:rsid w:val="008F15FE"/>
    <w:rsid w:val="008F210D"/>
    <w:rsid w:val="008F2D29"/>
    <w:rsid w:val="008F5187"/>
    <w:rsid w:val="008F60D8"/>
    <w:rsid w:val="00902727"/>
    <w:rsid w:val="0090312B"/>
    <w:rsid w:val="009031DD"/>
    <w:rsid w:val="00906786"/>
    <w:rsid w:val="00906AF3"/>
    <w:rsid w:val="0090783E"/>
    <w:rsid w:val="00915595"/>
    <w:rsid w:val="0091736D"/>
    <w:rsid w:val="0092478A"/>
    <w:rsid w:val="0092490B"/>
    <w:rsid w:val="0093037A"/>
    <w:rsid w:val="00932810"/>
    <w:rsid w:val="00935A94"/>
    <w:rsid w:val="0094086F"/>
    <w:rsid w:val="009411F2"/>
    <w:rsid w:val="0094154D"/>
    <w:rsid w:val="0095155F"/>
    <w:rsid w:val="00953464"/>
    <w:rsid w:val="009534A7"/>
    <w:rsid w:val="00954429"/>
    <w:rsid w:val="0095520E"/>
    <w:rsid w:val="009563CE"/>
    <w:rsid w:val="009660C0"/>
    <w:rsid w:val="00967AFB"/>
    <w:rsid w:val="00967FE7"/>
    <w:rsid w:val="00974835"/>
    <w:rsid w:val="00976328"/>
    <w:rsid w:val="0097680D"/>
    <w:rsid w:val="00977B14"/>
    <w:rsid w:val="00981341"/>
    <w:rsid w:val="00982438"/>
    <w:rsid w:val="0098404C"/>
    <w:rsid w:val="00985283"/>
    <w:rsid w:val="00985437"/>
    <w:rsid w:val="009854D0"/>
    <w:rsid w:val="009902DE"/>
    <w:rsid w:val="009921BD"/>
    <w:rsid w:val="009941A7"/>
    <w:rsid w:val="00995824"/>
    <w:rsid w:val="00995992"/>
    <w:rsid w:val="00997BAE"/>
    <w:rsid w:val="009A03E5"/>
    <w:rsid w:val="009A0F3B"/>
    <w:rsid w:val="009A1BB4"/>
    <w:rsid w:val="009A2628"/>
    <w:rsid w:val="009A3200"/>
    <w:rsid w:val="009A4B59"/>
    <w:rsid w:val="009B0309"/>
    <w:rsid w:val="009B05A9"/>
    <w:rsid w:val="009B0897"/>
    <w:rsid w:val="009B4E87"/>
    <w:rsid w:val="009B6DDF"/>
    <w:rsid w:val="009B7BD9"/>
    <w:rsid w:val="009C50B0"/>
    <w:rsid w:val="009C7DD5"/>
    <w:rsid w:val="009D24ED"/>
    <w:rsid w:val="009D41A5"/>
    <w:rsid w:val="009D6F8A"/>
    <w:rsid w:val="009E227D"/>
    <w:rsid w:val="009E2284"/>
    <w:rsid w:val="009E5019"/>
    <w:rsid w:val="009F07B3"/>
    <w:rsid w:val="009F22C4"/>
    <w:rsid w:val="009F3660"/>
    <w:rsid w:val="00A015C3"/>
    <w:rsid w:val="00A04F1B"/>
    <w:rsid w:val="00A0501B"/>
    <w:rsid w:val="00A06D91"/>
    <w:rsid w:val="00A14947"/>
    <w:rsid w:val="00A16B15"/>
    <w:rsid w:val="00A16B95"/>
    <w:rsid w:val="00A16E49"/>
    <w:rsid w:val="00A17A25"/>
    <w:rsid w:val="00A23433"/>
    <w:rsid w:val="00A2401E"/>
    <w:rsid w:val="00A272AC"/>
    <w:rsid w:val="00A27991"/>
    <w:rsid w:val="00A304E1"/>
    <w:rsid w:val="00A30C5F"/>
    <w:rsid w:val="00A311D7"/>
    <w:rsid w:val="00A32A83"/>
    <w:rsid w:val="00A368DB"/>
    <w:rsid w:val="00A3788F"/>
    <w:rsid w:val="00A40D63"/>
    <w:rsid w:val="00A423AA"/>
    <w:rsid w:val="00A531FA"/>
    <w:rsid w:val="00A53EC6"/>
    <w:rsid w:val="00A55C0F"/>
    <w:rsid w:val="00A55C7F"/>
    <w:rsid w:val="00A5731B"/>
    <w:rsid w:val="00A60559"/>
    <w:rsid w:val="00A63773"/>
    <w:rsid w:val="00A64FF3"/>
    <w:rsid w:val="00A65351"/>
    <w:rsid w:val="00A66E5B"/>
    <w:rsid w:val="00A71AFF"/>
    <w:rsid w:val="00A723A1"/>
    <w:rsid w:val="00A7356D"/>
    <w:rsid w:val="00A82147"/>
    <w:rsid w:val="00A822F7"/>
    <w:rsid w:val="00A856FF"/>
    <w:rsid w:val="00A8713F"/>
    <w:rsid w:val="00A90BA1"/>
    <w:rsid w:val="00A96C52"/>
    <w:rsid w:val="00A97A9A"/>
    <w:rsid w:val="00AA0671"/>
    <w:rsid w:val="00AA085E"/>
    <w:rsid w:val="00AA2531"/>
    <w:rsid w:val="00AA72D3"/>
    <w:rsid w:val="00AA7F9A"/>
    <w:rsid w:val="00AB0886"/>
    <w:rsid w:val="00AB1E09"/>
    <w:rsid w:val="00AB5330"/>
    <w:rsid w:val="00AB70F9"/>
    <w:rsid w:val="00AB7747"/>
    <w:rsid w:val="00AC14CE"/>
    <w:rsid w:val="00AC2A56"/>
    <w:rsid w:val="00AC4588"/>
    <w:rsid w:val="00AD055E"/>
    <w:rsid w:val="00AD0760"/>
    <w:rsid w:val="00AD47A7"/>
    <w:rsid w:val="00AD57F0"/>
    <w:rsid w:val="00AD5C5E"/>
    <w:rsid w:val="00AE5D40"/>
    <w:rsid w:val="00AF0CBF"/>
    <w:rsid w:val="00AF257F"/>
    <w:rsid w:val="00AF33CF"/>
    <w:rsid w:val="00AF4D50"/>
    <w:rsid w:val="00AF6179"/>
    <w:rsid w:val="00AF7951"/>
    <w:rsid w:val="00B06A95"/>
    <w:rsid w:val="00B1295A"/>
    <w:rsid w:val="00B14CB1"/>
    <w:rsid w:val="00B20A45"/>
    <w:rsid w:val="00B22C5C"/>
    <w:rsid w:val="00B24F30"/>
    <w:rsid w:val="00B25FDF"/>
    <w:rsid w:val="00B27085"/>
    <w:rsid w:val="00B31672"/>
    <w:rsid w:val="00B31ABF"/>
    <w:rsid w:val="00B33BE3"/>
    <w:rsid w:val="00B34CD9"/>
    <w:rsid w:val="00B37806"/>
    <w:rsid w:val="00B53B5D"/>
    <w:rsid w:val="00B55862"/>
    <w:rsid w:val="00B56140"/>
    <w:rsid w:val="00B57E07"/>
    <w:rsid w:val="00B6055E"/>
    <w:rsid w:val="00B618D5"/>
    <w:rsid w:val="00B62513"/>
    <w:rsid w:val="00B6317D"/>
    <w:rsid w:val="00B63A4C"/>
    <w:rsid w:val="00B72AEF"/>
    <w:rsid w:val="00B7723F"/>
    <w:rsid w:val="00B77ABE"/>
    <w:rsid w:val="00B77EDC"/>
    <w:rsid w:val="00B77F11"/>
    <w:rsid w:val="00B80534"/>
    <w:rsid w:val="00B83AE9"/>
    <w:rsid w:val="00B8433C"/>
    <w:rsid w:val="00B87491"/>
    <w:rsid w:val="00B92701"/>
    <w:rsid w:val="00BA095B"/>
    <w:rsid w:val="00BA29E9"/>
    <w:rsid w:val="00BA3241"/>
    <w:rsid w:val="00BA56CE"/>
    <w:rsid w:val="00BA7142"/>
    <w:rsid w:val="00BB0C62"/>
    <w:rsid w:val="00BB1C1E"/>
    <w:rsid w:val="00BB237C"/>
    <w:rsid w:val="00BB41A3"/>
    <w:rsid w:val="00BC0563"/>
    <w:rsid w:val="00BC32DC"/>
    <w:rsid w:val="00BC35B6"/>
    <w:rsid w:val="00BD176C"/>
    <w:rsid w:val="00BD1B51"/>
    <w:rsid w:val="00BD4596"/>
    <w:rsid w:val="00BD7143"/>
    <w:rsid w:val="00BD794B"/>
    <w:rsid w:val="00BE1405"/>
    <w:rsid w:val="00BE312D"/>
    <w:rsid w:val="00BE414B"/>
    <w:rsid w:val="00BE4D7C"/>
    <w:rsid w:val="00BE7312"/>
    <w:rsid w:val="00BF1C20"/>
    <w:rsid w:val="00BF3173"/>
    <w:rsid w:val="00BF5AAF"/>
    <w:rsid w:val="00C026EB"/>
    <w:rsid w:val="00C0302F"/>
    <w:rsid w:val="00C1010B"/>
    <w:rsid w:val="00C10578"/>
    <w:rsid w:val="00C135BC"/>
    <w:rsid w:val="00C13C39"/>
    <w:rsid w:val="00C15C95"/>
    <w:rsid w:val="00C2596A"/>
    <w:rsid w:val="00C27537"/>
    <w:rsid w:val="00C3015B"/>
    <w:rsid w:val="00C3135B"/>
    <w:rsid w:val="00C328FE"/>
    <w:rsid w:val="00C332E9"/>
    <w:rsid w:val="00C33507"/>
    <w:rsid w:val="00C418E2"/>
    <w:rsid w:val="00C4409D"/>
    <w:rsid w:val="00C44E72"/>
    <w:rsid w:val="00C45A06"/>
    <w:rsid w:val="00C47E5B"/>
    <w:rsid w:val="00C50671"/>
    <w:rsid w:val="00C529BA"/>
    <w:rsid w:val="00C541A5"/>
    <w:rsid w:val="00C55920"/>
    <w:rsid w:val="00C60038"/>
    <w:rsid w:val="00C61E4B"/>
    <w:rsid w:val="00C61FFD"/>
    <w:rsid w:val="00C64BFF"/>
    <w:rsid w:val="00C704E9"/>
    <w:rsid w:val="00C70D7A"/>
    <w:rsid w:val="00C757D9"/>
    <w:rsid w:val="00C75C6B"/>
    <w:rsid w:val="00C763C9"/>
    <w:rsid w:val="00C80057"/>
    <w:rsid w:val="00C82232"/>
    <w:rsid w:val="00C8253C"/>
    <w:rsid w:val="00C82913"/>
    <w:rsid w:val="00C84037"/>
    <w:rsid w:val="00C84EDE"/>
    <w:rsid w:val="00C87788"/>
    <w:rsid w:val="00C918F7"/>
    <w:rsid w:val="00C92CB5"/>
    <w:rsid w:val="00C93EE1"/>
    <w:rsid w:val="00C9421E"/>
    <w:rsid w:val="00C972B1"/>
    <w:rsid w:val="00CA2207"/>
    <w:rsid w:val="00CA2CCE"/>
    <w:rsid w:val="00CA43FD"/>
    <w:rsid w:val="00CA73C2"/>
    <w:rsid w:val="00CA7EF8"/>
    <w:rsid w:val="00CB3278"/>
    <w:rsid w:val="00CC252D"/>
    <w:rsid w:val="00CC489B"/>
    <w:rsid w:val="00CC5EF0"/>
    <w:rsid w:val="00CD2BCD"/>
    <w:rsid w:val="00CD33BF"/>
    <w:rsid w:val="00CD3A4C"/>
    <w:rsid w:val="00CE10E9"/>
    <w:rsid w:val="00CE27D9"/>
    <w:rsid w:val="00CE2910"/>
    <w:rsid w:val="00CE2F71"/>
    <w:rsid w:val="00CE5393"/>
    <w:rsid w:val="00CF36BE"/>
    <w:rsid w:val="00CF6000"/>
    <w:rsid w:val="00D003F3"/>
    <w:rsid w:val="00D01001"/>
    <w:rsid w:val="00D0364F"/>
    <w:rsid w:val="00D051D5"/>
    <w:rsid w:val="00D06659"/>
    <w:rsid w:val="00D06834"/>
    <w:rsid w:val="00D15D16"/>
    <w:rsid w:val="00D17185"/>
    <w:rsid w:val="00D24DC7"/>
    <w:rsid w:val="00D308ED"/>
    <w:rsid w:val="00D341CE"/>
    <w:rsid w:val="00D36D86"/>
    <w:rsid w:val="00D41654"/>
    <w:rsid w:val="00D428AA"/>
    <w:rsid w:val="00D43226"/>
    <w:rsid w:val="00D43313"/>
    <w:rsid w:val="00D45C54"/>
    <w:rsid w:val="00D47648"/>
    <w:rsid w:val="00D4795C"/>
    <w:rsid w:val="00D50A34"/>
    <w:rsid w:val="00D51428"/>
    <w:rsid w:val="00D53EFA"/>
    <w:rsid w:val="00D540CF"/>
    <w:rsid w:val="00D5554C"/>
    <w:rsid w:val="00D55C2A"/>
    <w:rsid w:val="00D6391F"/>
    <w:rsid w:val="00D719AC"/>
    <w:rsid w:val="00D73821"/>
    <w:rsid w:val="00D80DF2"/>
    <w:rsid w:val="00D830A0"/>
    <w:rsid w:val="00D83781"/>
    <w:rsid w:val="00D84713"/>
    <w:rsid w:val="00D92CB3"/>
    <w:rsid w:val="00D933BB"/>
    <w:rsid w:val="00D94A7C"/>
    <w:rsid w:val="00D95896"/>
    <w:rsid w:val="00DA01E5"/>
    <w:rsid w:val="00DA08E6"/>
    <w:rsid w:val="00DB175D"/>
    <w:rsid w:val="00DB2983"/>
    <w:rsid w:val="00DB3E7D"/>
    <w:rsid w:val="00DC1257"/>
    <w:rsid w:val="00DC3DC0"/>
    <w:rsid w:val="00DC5B2B"/>
    <w:rsid w:val="00DC79B8"/>
    <w:rsid w:val="00DC7D7B"/>
    <w:rsid w:val="00DD3157"/>
    <w:rsid w:val="00DD318D"/>
    <w:rsid w:val="00DD460B"/>
    <w:rsid w:val="00DE22C2"/>
    <w:rsid w:val="00DF21D7"/>
    <w:rsid w:val="00DF2E12"/>
    <w:rsid w:val="00DF31AB"/>
    <w:rsid w:val="00DF514A"/>
    <w:rsid w:val="00DF6690"/>
    <w:rsid w:val="00DF6804"/>
    <w:rsid w:val="00E02841"/>
    <w:rsid w:val="00E0358D"/>
    <w:rsid w:val="00E04323"/>
    <w:rsid w:val="00E070A2"/>
    <w:rsid w:val="00E11790"/>
    <w:rsid w:val="00E14D05"/>
    <w:rsid w:val="00E16456"/>
    <w:rsid w:val="00E2647B"/>
    <w:rsid w:val="00E2656A"/>
    <w:rsid w:val="00E3685A"/>
    <w:rsid w:val="00E412D0"/>
    <w:rsid w:val="00E423E7"/>
    <w:rsid w:val="00E42A92"/>
    <w:rsid w:val="00E42FE0"/>
    <w:rsid w:val="00E43B1B"/>
    <w:rsid w:val="00E448E4"/>
    <w:rsid w:val="00E56322"/>
    <w:rsid w:val="00E60982"/>
    <w:rsid w:val="00E62C62"/>
    <w:rsid w:val="00E654C1"/>
    <w:rsid w:val="00E65D97"/>
    <w:rsid w:val="00E667F9"/>
    <w:rsid w:val="00E72A5A"/>
    <w:rsid w:val="00E73354"/>
    <w:rsid w:val="00E74F79"/>
    <w:rsid w:val="00E76BE8"/>
    <w:rsid w:val="00E80355"/>
    <w:rsid w:val="00E82BAF"/>
    <w:rsid w:val="00E9242D"/>
    <w:rsid w:val="00EA42CB"/>
    <w:rsid w:val="00EA671A"/>
    <w:rsid w:val="00EA77FE"/>
    <w:rsid w:val="00EB1FF9"/>
    <w:rsid w:val="00EB3AC5"/>
    <w:rsid w:val="00EB474B"/>
    <w:rsid w:val="00EB5255"/>
    <w:rsid w:val="00EB5C47"/>
    <w:rsid w:val="00EB7E60"/>
    <w:rsid w:val="00EC24D9"/>
    <w:rsid w:val="00EC27FD"/>
    <w:rsid w:val="00EC6EF7"/>
    <w:rsid w:val="00ED0639"/>
    <w:rsid w:val="00ED1F6F"/>
    <w:rsid w:val="00ED3E39"/>
    <w:rsid w:val="00ED4372"/>
    <w:rsid w:val="00ED5D56"/>
    <w:rsid w:val="00EE22F7"/>
    <w:rsid w:val="00EE769F"/>
    <w:rsid w:val="00EF10C3"/>
    <w:rsid w:val="00EF233C"/>
    <w:rsid w:val="00EF4755"/>
    <w:rsid w:val="00EF58FB"/>
    <w:rsid w:val="00EF7135"/>
    <w:rsid w:val="00F027DB"/>
    <w:rsid w:val="00F04DDC"/>
    <w:rsid w:val="00F054AD"/>
    <w:rsid w:val="00F07A7D"/>
    <w:rsid w:val="00F11A91"/>
    <w:rsid w:val="00F134DA"/>
    <w:rsid w:val="00F14A7A"/>
    <w:rsid w:val="00F20F9D"/>
    <w:rsid w:val="00F22985"/>
    <w:rsid w:val="00F3168D"/>
    <w:rsid w:val="00F31D50"/>
    <w:rsid w:val="00F3383E"/>
    <w:rsid w:val="00F35468"/>
    <w:rsid w:val="00F37A08"/>
    <w:rsid w:val="00F41304"/>
    <w:rsid w:val="00F454DA"/>
    <w:rsid w:val="00F465A7"/>
    <w:rsid w:val="00F50A76"/>
    <w:rsid w:val="00F50B7C"/>
    <w:rsid w:val="00F50DE8"/>
    <w:rsid w:val="00F54B19"/>
    <w:rsid w:val="00F550E6"/>
    <w:rsid w:val="00F57365"/>
    <w:rsid w:val="00F6076C"/>
    <w:rsid w:val="00F66958"/>
    <w:rsid w:val="00F70132"/>
    <w:rsid w:val="00F732A2"/>
    <w:rsid w:val="00F74345"/>
    <w:rsid w:val="00F745B1"/>
    <w:rsid w:val="00F74D58"/>
    <w:rsid w:val="00F80A0A"/>
    <w:rsid w:val="00F81C2C"/>
    <w:rsid w:val="00F82B19"/>
    <w:rsid w:val="00F843CB"/>
    <w:rsid w:val="00F85215"/>
    <w:rsid w:val="00F90AFC"/>
    <w:rsid w:val="00F9212D"/>
    <w:rsid w:val="00F92CC0"/>
    <w:rsid w:val="00F940FF"/>
    <w:rsid w:val="00F965DA"/>
    <w:rsid w:val="00FA406A"/>
    <w:rsid w:val="00FB0A7B"/>
    <w:rsid w:val="00FB4AF5"/>
    <w:rsid w:val="00FB503A"/>
    <w:rsid w:val="00FB516C"/>
    <w:rsid w:val="00FB6082"/>
    <w:rsid w:val="00FC26F6"/>
    <w:rsid w:val="00FC33E4"/>
    <w:rsid w:val="00FC352D"/>
    <w:rsid w:val="00FC77A8"/>
    <w:rsid w:val="00FD0236"/>
    <w:rsid w:val="00FD0AEC"/>
    <w:rsid w:val="00FD18F4"/>
    <w:rsid w:val="00FD34E8"/>
    <w:rsid w:val="00FD4944"/>
    <w:rsid w:val="00FD51F0"/>
    <w:rsid w:val="00FD54DB"/>
    <w:rsid w:val="00FD5CAD"/>
    <w:rsid w:val="00FD619F"/>
    <w:rsid w:val="00FE2873"/>
    <w:rsid w:val="00FE6F51"/>
    <w:rsid w:val="00FF3138"/>
    <w:rsid w:val="01001B5E"/>
    <w:rsid w:val="01083F32"/>
    <w:rsid w:val="01093391"/>
    <w:rsid w:val="01244076"/>
    <w:rsid w:val="012852A0"/>
    <w:rsid w:val="01290F7E"/>
    <w:rsid w:val="01357E87"/>
    <w:rsid w:val="0136557F"/>
    <w:rsid w:val="013B6CD2"/>
    <w:rsid w:val="013E4E0D"/>
    <w:rsid w:val="013F1276"/>
    <w:rsid w:val="014324AF"/>
    <w:rsid w:val="01470B82"/>
    <w:rsid w:val="01551651"/>
    <w:rsid w:val="01587066"/>
    <w:rsid w:val="015D1E09"/>
    <w:rsid w:val="016D201E"/>
    <w:rsid w:val="01787946"/>
    <w:rsid w:val="019561BE"/>
    <w:rsid w:val="01AD6E7F"/>
    <w:rsid w:val="01BE7323"/>
    <w:rsid w:val="01EC3E90"/>
    <w:rsid w:val="01F65182"/>
    <w:rsid w:val="02056D00"/>
    <w:rsid w:val="02076F1C"/>
    <w:rsid w:val="02175E3E"/>
    <w:rsid w:val="02196073"/>
    <w:rsid w:val="02223D56"/>
    <w:rsid w:val="02291C66"/>
    <w:rsid w:val="024975C9"/>
    <w:rsid w:val="024B505A"/>
    <w:rsid w:val="024D0D14"/>
    <w:rsid w:val="02603022"/>
    <w:rsid w:val="02641C78"/>
    <w:rsid w:val="02697903"/>
    <w:rsid w:val="026C16F5"/>
    <w:rsid w:val="027273CA"/>
    <w:rsid w:val="027B123B"/>
    <w:rsid w:val="028052E4"/>
    <w:rsid w:val="028E4F47"/>
    <w:rsid w:val="029015C4"/>
    <w:rsid w:val="02943CD4"/>
    <w:rsid w:val="02961334"/>
    <w:rsid w:val="029A38EC"/>
    <w:rsid w:val="02A14397"/>
    <w:rsid w:val="02AD7B6C"/>
    <w:rsid w:val="02BF3B23"/>
    <w:rsid w:val="02BF77F6"/>
    <w:rsid w:val="02E12CE1"/>
    <w:rsid w:val="02F32B76"/>
    <w:rsid w:val="02F96569"/>
    <w:rsid w:val="02F96864"/>
    <w:rsid w:val="030F1938"/>
    <w:rsid w:val="03101E00"/>
    <w:rsid w:val="031B5D82"/>
    <w:rsid w:val="03212C05"/>
    <w:rsid w:val="03217B69"/>
    <w:rsid w:val="033916DF"/>
    <w:rsid w:val="033E4DA4"/>
    <w:rsid w:val="034353C3"/>
    <w:rsid w:val="0358051C"/>
    <w:rsid w:val="03630182"/>
    <w:rsid w:val="036B7036"/>
    <w:rsid w:val="037254BF"/>
    <w:rsid w:val="037273D3"/>
    <w:rsid w:val="039A58EE"/>
    <w:rsid w:val="039B6442"/>
    <w:rsid w:val="03C06A6D"/>
    <w:rsid w:val="03C30C20"/>
    <w:rsid w:val="03D270B5"/>
    <w:rsid w:val="03DC0924"/>
    <w:rsid w:val="03E80687"/>
    <w:rsid w:val="03EA64DB"/>
    <w:rsid w:val="03EA7B21"/>
    <w:rsid w:val="03F01F3C"/>
    <w:rsid w:val="04001E75"/>
    <w:rsid w:val="04003FE7"/>
    <w:rsid w:val="040C2C0A"/>
    <w:rsid w:val="04161C22"/>
    <w:rsid w:val="0417165D"/>
    <w:rsid w:val="041803D4"/>
    <w:rsid w:val="041A1188"/>
    <w:rsid w:val="041A21CD"/>
    <w:rsid w:val="042F62B6"/>
    <w:rsid w:val="0435638E"/>
    <w:rsid w:val="04386322"/>
    <w:rsid w:val="04487FE0"/>
    <w:rsid w:val="04587713"/>
    <w:rsid w:val="04725D9A"/>
    <w:rsid w:val="048F2BA6"/>
    <w:rsid w:val="049215F7"/>
    <w:rsid w:val="04970029"/>
    <w:rsid w:val="04AB0032"/>
    <w:rsid w:val="04BE5FB8"/>
    <w:rsid w:val="04C007E4"/>
    <w:rsid w:val="04C8292B"/>
    <w:rsid w:val="04D07C68"/>
    <w:rsid w:val="04DA26C6"/>
    <w:rsid w:val="04DA7649"/>
    <w:rsid w:val="04DE0FCF"/>
    <w:rsid w:val="04E22C8D"/>
    <w:rsid w:val="04EA4BFD"/>
    <w:rsid w:val="04EA5F6F"/>
    <w:rsid w:val="04F96B99"/>
    <w:rsid w:val="050232DB"/>
    <w:rsid w:val="0519269E"/>
    <w:rsid w:val="0521288B"/>
    <w:rsid w:val="05542478"/>
    <w:rsid w:val="05587485"/>
    <w:rsid w:val="056212CF"/>
    <w:rsid w:val="05647F4F"/>
    <w:rsid w:val="056C5A14"/>
    <w:rsid w:val="05774A54"/>
    <w:rsid w:val="05793C8D"/>
    <w:rsid w:val="058B07A7"/>
    <w:rsid w:val="05944374"/>
    <w:rsid w:val="059701B4"/>
    <w:rsid w:val="05AF47CB"/>
    <w:rsid w:val="05B223A8"/>
    <w:rsid w:val="05B64EE1"/>
    <w:rsid w:val="05BC001D"/>
    <w:rsid w:val="05BC35C4"/>
    <w:rsid w:val="05BF7D1C"/>
    <w:rsid w:val="05D171D8"/>
    <w:rsid w:val="05E6498A"/>
    <w:rsid w:val="05EC04A4"/>
    <w:rsid w:val="05F61781"/>
    <w:rsid w:val="05F83EAE"/>
    <w:rsid w:val="06091628"/>
    <w:rsid w:val="06093AC2"/>
    <w:rsid w:val="061A3B00"/>
    <w:rsid w:val="062420B8"/>
    <w:rsid w:val="06325CC0"/>
    <w:rsid w:val="063B53E6"/>
    <w:rsid w:val="063E7D85"/>
    <w:rsid w:val="06451DC1"/>
    <w:rsid w:val="0648365F"/>
    <w:rsid w:val="064C15F1"/>
    <w:rsid w:val="06645AC0"/>
    <w:rsid w:val="067601CC"/>
    <w:rsid w:val="067909A4"/>
    <w:rsid w:val="067E0F70"/>
    <w:rsid w:val="067E1D6E"/>
    <w:rsid w:val="06937C1F"/>
    <w:rsid w:val="069F7F6F"/>
    <w:rsid w:val="06A37CC6"/>
    <w:rsid w:val="06BB4CD8"/>
    <w:rsid w:val="06C745AE"/>
    <w:rsid w:val="06C91957"/>
    <w:rsid w:val="06CF2386"/>
    <w:rsid w:val="06EE2458"/>
    <w:rsid w:val="06F04422"/>
    <w:rsid w:val="07022FE8"/>
    <w:rsid w:val="0708176C"/>
    <w:rsid w:val="07110E11"/>
    <w:rsid w:val="071579E5"/>
    <w:rsid w:val="07293586"/>
    <w:rsid w:val="07295285"/>
    <w:rsid w:val="072F18DA"/>
    <w:rsid w:val="075229E7"/>
    <w:rsid w:val="0753215C"/>
    <w:rsid w:val="075524D7"/>
    <w:rsid w:val="07636392"/>
    <w:rsid w:val="07770C56"/>
    <w:rsid w:val="077936A2"/>
    <w:rsid w:val="07947B2B"/>
    <w:rsid w:val="07AA0EFE"/>
    <w:rsid w:val="07B56AA5"/>
    <w:rsid w:val="07BC239A"/>
    <w:rsid w:val="07CA3684"/>
    <w:rsid w:val="07E54F87"/>
    <w:rsid w:val="07F10452"/>
    <w:rsid w:val="07F41B37"/>
    <w:rsid w:val="0802440D"/>
    <w:rsid w:val="0805435D"/>
    <w:rsid w:val="080F64D3"/>
    <w:rsid w:val="082C4FE6"/>
    <w:rsid w:val="083E3C90"/>
    <w:rsid w:val="08430582"/>
    <w:rsid w:val="08580817"/>
    <w:rsid w:val="085A5FF7"/>
    <w:rsid w:val="08646CF7"/>
    <w:rsid w:val="086766C5"/>
    <w:rsid w:val="0874273F"/>
    <w:rsid w:val="08A33282"/>
    <w:rsid w:val="08A54D99"/>
    <w:rsid w:val="08A76C18"/>
    <w:rsid w:val="08A90D2D"/>
    <w:rsid w:val="08C571E9"/>
    <w:rsid w:val="08DA3F17"/>
    <w:rsid w:val="08E02DC0"/>
    <w:rsid w:val="08E10CE7"/>
    <w:rsid w:val="08E21365"/>
    <w:rsid w:val="09067B9E"/>
    <w:rsid w:val="092217DD"/>
    <w:rsid w:val="092B365C"/>
    <w:rsid w:val="092D54BA"/>
    <w:rsid w:val="09363BD6"/>
    <w:rsid w:val="093A3733"/>
    <w:rsid w:val="093A7294"/>
    <w:rsid w:val="093C394F"/>
    <w:rsid w:val="09523172"/>
    <w:rsid w:val="09661F90"/>
    <w:rsid w:val="09683C50"/>
    <w:rsid w:val="096A1ED9"/>
    <w:rsid w:val="096C43EF"/>
    <w:rsid w:val="096E162B"/>
    <w:rsid w:val="097035F9"/>
    <w:rsid w:val="097F62D2"/>
    <w:rsid w:val="09964711"/>
    <w:rsid w:val="099F4E8E"/>
    <w:rsid w:val="09A25868"/>
    <w:rsid w:val="09A5169E"/>
    <w:rsid w:val="09A74AAC"/>
    <w:rsid w:val="09B148C3"/>
    <w:rsid w:val="09B50280"/>
    <w:rsid w:val="09BF1E8A"/>
    <w:rsid w:val="09D04097"/>
    <w:rsid w:val="09D27BEE"/>
    <w:rsid w:val="09D70720"/>
    <w:rsid w:val="09D70A18"/>
    <w:rsid w:val="09E0252C"/>
    <w:rsid w:val="09EA59EB"/>
    <w:rsid w:val="0A104C02"/>
    <w:rsid w:val="0A1D552E"/>
    <w:rsid w:val="0A263993"/>
    <w:rsid w:val="0A2738A0"/>
    <w:rsid w:val="0A2D3AC2"/>
    <w:rsid w:val="0A363E66"/>
    <w:rsid w:val="0A406FD2"/>
    <w:rsid w:val="0A454A85"/>
    <w:rsid w:val="0A474359"/>
    <w:rsid w:val="0A747118"/>
    <w:rsid w:val="0A766DB2"/>
    <w:rsid w:val="0A7E32C0"/>
    <w:rsid w:val="0A870BFA"/>
    <w:rsid w:val="0A8859D1"/>
    <w:rsid w:val="0A8B7A09"/>
    <w:rsid w:val="0AA755DF"/>
    <w:rsid w:val="0AAE4518"/>
    <w:rsid w:val="0AB50447"/>
    <w:rsid w:val="0AC43BFC"/>
    <w:rsid w:val="0ACF3715"/>
    <w:rsid w:val="0ADA7FCA"/>
    <w:rsid w:val="0AE55920"/>
    <w:rsid w:val="0AFE41C3"/>
    <w:rsid w:val="0B04224A"/>
    <w:rsid w:val="0B120D44"/>
    <w:rsid w:val="0B3158D0"/>
    <w:rsid w:val="0B390533"/>
    <w:rsid w:val="0B5A28ED"/>
    <w:rsid w:val="0B6A7C2C"/>
    <w:rsid w:val="0B8059E0"/>
    <w:rsid w:val="0B8213C1"/>
    <w:rsid w:val="0B84647C"/>
    <w:rsid w:val="0B9379E7"/>
    <w:rsid w:val="0B986739"/>
    <w:rsid w:val="0B9E269F"/>
    <w:rsid w:val="0BA059C5"/>
    <w:rsid w:val="0BA61553"/>
    <w:rsid w:val="0BA80E28"/>
    <w:rsid w:val="0BC174EC"/>
    <w:rsid w:val="0BD27BF6"/>
    <w:rsid w:val="0BD33B20"/>
    <w:rsid w:val="0BDB3453"/>
    <w:rsid w:val="0BE052C0"/>
    <w:rsid w:val="0C0D5AC6"/>
    <w:rsid w:val="0C0F0EA7"/>
    <w:rsid w:val="0C180AA3"/>
    <w:rsid w:val="0C1849DB"/>
    <w:rsid w:val="0C1C6680"/>
    <w:rsid w:val="0C1D0E68"/>
    <w:rsid w:val="0C2406C7"/>
    <w:rsid w:val="0C323FC4"/>
    <w:rsid w:val="0C3B3C7D"/>
    <w:rsid w:val="0C3D7FA1"/>
    <w:rsid w:val="0C3E7745"/>
    <w:rsid w:val="0C490C27"/>
    <w:rsid w:val="0C637C85"/>
    <w:rsid w:val="0C643396"/>
    <w:rsid w:val="0C677BB4"/>
    <w:rsid w:val="0C96145B"/>
    <w:rsid w:val="0C9B098C"/>
    <w:rsid w:val="0CAB2EAE"/>
    <w:rsid w:val="0CAD246E"/>
    <w:rsid w:val="0CCC574B"/>
    <w:rsid w:val="0CEA2516"/>
    <w:rsid w:val="0CF40ADD"/>
    <w:rsid w:val="0CFE4280"/>
    <w:rsid w:val="0CFE5EA4"/>
    <w:rsid w:val="0D030F5D"/>
    <w:rsid w:val="0D064583"/>
    <w:rsid w:val="0D0F0D82"/>
    <w:rsid w:val="0D133BED"/>
    <w:rsid w:val="0D18257D"/>
    <w:rsid w:val="0D1B387B"/>
    <w:rsid w:val="0D1D62C9"/>
    <w:rsid w:val="0D2C7836"/>
    <w:rsid w:val="0D2D33FB"/>
    <w:rsid w:val="0D2E1164"/>
    <w:rsid w:val="0D3112F1"/>
    <w:rsid w:val="0D352B8F"/>
    <w:rsid w:val="0D411534"/>
    <w:rsid w:val="0D4B3FEE"/>
    <w:rsid w:val="0D503CF6"/>
    <w:rsid w:val="0D6071CB"/>
    <w:rsid w:val="0D621C7D"/>
    <w:rsid w:val="0D6B7889"/>
    <w:rsid w:val="0D7C256C"/>
    <w:rsid w:val="0D7D7B81"/>
    <w:rsid w:val="0D7F3BC3"/>
    <w:rsid w:val="0D893B30"/>
    <w:rsid w:val="0D920DA3"/>
    <w:rsid w:val="0DB66899"/>
    <w:rsid w:val="0DD423A8"/>
    <w:rsid w:val="0DF12F21"/>
    <w:rsid w:val="0DF7129D"/>
    <w:rsid w:val="0DFC2FC7"/>
    <w:rsid w:val="0E025424"/>
    <w:rsid w:val="0E111372"/>
    <w:rsid w:val="0E1F47FE"/>
    <w:rsid w:val="0E3E79DA"/>
    <w:rsid w:val="0E4F536F"/>
    <w:rsid w:val="0E73034D"/>
    <w:rsid w:val="0E7425FD"/>
    <w:rsid w:val="0E772D33"/>
    <w:rsid w:val="0E7A3EF3"/>
    <w:rsid w:val="0E7F66B6"/>
    <w:rsid w:val="0E872DA7"/>
    <w:rsid w:val="0E941B37"/>
    <w:rsid w:val="0E99714E"/>
    <w:rsid w:val="0EA70F66"/>
    <w:rsid w:val="0EC73CBB"/>
    <w:rsid w:val="0EC9231D"/>
    <w:rsid w:val="0EEB0F39"/>
    <w:rsid w:val="0EEE0710"/>
    <w:rsid w:val="0EF240C1"/>
    <w:rsid w:val="0EFD75BB"/>
    <w:rsid w:val="0F0740B7"/>
    <w:rsid w:val="0F1130C0"/>
    <w:rsid w:val="0F120011"/>
    <w:rsid w:val="0F13775A"/>
    <w:rsid w:val="0F1538FA"/>
    <w:rsid w:val="0F1F58A5"/>
    <w:rsid w:val="0F1F73E6"/>
    <w:rsid w:val="0F262BF5"/>
    <w:rsid w:val="0F3D38EF"/>
    <w:rsid w:val="0F5448C3"/>
    <w:rsid w:val="0F567BB2"/>
    <w:rsid w:val="0F5F45FE"/>
    <w:rsid w:val="0F6239E3"/>
    <w:rsid w:val="0F7718EE"/>
    <w:rsid w:val="0F8501F1"/>
    <w:rsid w:val="0F9022FF"/>
    <w:rsid w:val="0F954689"/>
    <w:rsid w:val="0F9A112B"/>
    <w:rsid w:val="0FA61B22"/>
    <w:rsid w:val="0FB71F81"/>
    <w:rsid w:val="0FCE5446"/>
    <w:rsid w:val="0FDC5BFA"/>
    <w:rsid w:val="0FE61D30"/>
    <w:rsid w:val="0FEE7FF8"/>
    <w:rsid w:val="0FFB485C"/>
    <w:rsid w:val="100E76C7"/>
    <w:rsid w:val="101E3DAE"/>
    <w:rsid w:val="10480E2B"/>
    <w:rsid w:val="104E5D16"/>
    <w:rsid w:val="10596B94"/>
    <w:rsid w:val="10635C65"/>
    <w:rsid w:val="10644134"/>
    <w:rsid w:val="106D2F64"/>
    <w:rsid w:val="107E31E7"/>
    <w:rsid w:val="10AC0C59"/>
    <w:rsid w:val="10AE28AC"/>
    <w:rsid w:val="10B132DC"/>
    <w:rsid w:val="10B63710"/>
    <w:rsid w:val="10C61D50"/>
    <w:rsid w:val="10C65E2D"/>
    <w:rsid w:val="10DB15BC"/>
    <w:rsid w:val="10EC24E9"/>
    <w:rsid w:val="10F10820"/>
    <w:rsid w:val="10FA14C9"/>
    <w:rsid w:val="110B12DB"/>
    <w:rsid w:val="110D3779"/>
    <w:rsid w:val="111C2F7A"/>
    <w:rsid w:val="1121282D"/>
    <w:rsid w:val="11304BC0"/>
    <w:rsid w:val="113118BF"/>
    <w:rsid w:val="11351294"/>
    <w:rsid w:val="11494AAF"/>
    <w:rsid w:val="115D444B"/>
    <w:rsid w:val="115E4DF9"/>
    <w:rsid w:val="11665CA1"/>
    <w:rsid w:val="117A5014"/>
    <w:rsid w:val="117E5A0E"/>
    <w:rsid w:val="11895257"/>
    <w:rsid w:val="118D22D8"/>
    <w:rsid w:val="11994CC9"/>
    <w:rsid w:val="11A77ADD"/>
    <w:rsid w:val="11BF51F3"/>
    <w:rsid w:val="11CE6AB7"/>
    <w:rsid w:val="11E06B6E"/>
    <w:rsid w:val="12020246"/>
    <w:rsid w:val="12074800"/>
    <w:rsid w:val="12092610"/>
    <w:rsid w:val="1219326B"/>
    <w:rsid w:val="12390BA4"/>
    <w:rsid w:val="1239298E"/>
    <w:rsid w:val="123C0392"/>
    <w:rsid w:val="123C051C"/>
    <w:rsid w:val="123F000C"/>
    <w:rsid w:val="124364AE"/>
    <w:rsid w:val="12443874"/>
    <w:rsid w:val="1246139A"/>
    <w:rsid w:val="1258679A"/>
    <w:rsid w:val="126C7543"/>
    <w:rsid w:val="12850115"/>
    <w:rsid w:val="12900282"/>
    <w:rsid w:val="12947B6D"/>
    <w:rsid w:val="12AC13E2"/>
    <w:rsid w:val="12B56EEF"/>
    <w:rsid w:val="12B9077D"/>
    <w:rsid w:val="12C0114D"/>
    <w:rsid w:val="12D1423F"/>
    <w:rsid w:val="12DE3F83"/>
    <w:rsid w:val="12E779A4"/>
    <w:rsid w:val="12F638F9"/>
    <w:rsid w:val="13071C7A"/>
    <w:rsid w:val="1313694F"/>
    <w:rsid w:val="133438E9"/>
    <w:rsid w:val="133B07D3"/>
    <w:rsid w:val="133B4B75"/>
    <w:rsid w:val="13777CCB"/>
    <w:rsid w:val="137D703E"/>
    <w:rsid w:val="138F28CD"/>
    <w:rsid w:val="13951726"/>
    <w:rsid w:val="13A4418E"/>
    <w:rsid w:val="13B7733D"/>
    <w:rsid w:val="13C57CD5"/>
    <w:rsid w:val="13D81D65"/>
    <w:rsid w:val="13F217DA"/>
    <w:rsid w:val="13F51B73"/>
    <w:rsid w:val="13FA4E36"/>
    <w:rsid w:val="1403049E"/>
    <w:rsid w:val="140C4DDD"/>
    <w:rsid w:val="14290BA5"/>
    <w:rsid w:val="142A2E66"/>
    <w:rsid w:val="142B0FEB"/>
    <w:rsid w:val="14327E28"/>
    <w:rsid w:val="14396509"/>
    <w:rsid w:val="143F00BB"/>
    <w:rsid w:val="14424459"/>
    <w:rsid w:val="14586C61"/>
    <w:rsid w:val="145A74FF"/>
    <w:rsid w:val="14851632"/>
    <w:rsid w:val="148545A0"/>
    <w:rsid w:val="149F6040"/>
    <w:rsid w:val="14AF76CB"/>
    <w:rsid w:val="14B46A8F"/>
    <w:rsid w:val="14BE16BC"/>
    <w:rsid w:val="14C16C42"/>
    <w:rsid w:val="14C37148"/>
    <w:rsid w:val="14C40CF9"/>
    <w:rsid w:val="14C57350"/>
    <w:rsid w:val="14DD2C3C"/>
    <w:rsid w:val="14E34E67"/>
    <w:rsid w:val="14E4525D"/>
    <w:rsid w:val="14FE7D0A"/>
    <w:rsid w:val="15100288"/>
    <w:rsid w:val="15121C8A"/>
    <w:rsid w:val="151C6D3F"/>
    <w:rsid w:val="15376D77"/>
    <w:rsid w:val="154716B1"/>
    <w:rsid w:val="15567676"/>
    <w:rsid w:val="156A3F35"/>
    <w:rsid w:val="15AA1230"/>
    <w:rsid w:val="15CE2DD8"/>
    <w:rsid w:val="15E06338"/>
    <w:rsid w:val="15E068E7"/>
    <w:rsid w:val="15F326C5"/>
    <w:rsid w:val="160475A2"/>
    <w:rsid w:val="16060ABA"/>
    <w:rsid w:val="16087E1D"/>
    <w:rsid w:val="160E0421"/>
    <w:rsid w:val="16137DF4"/>
    <w:rsid w:val="16144DB1"/>
    <w:rsid w:val="162B44C6"/>
    <w:rsid w:val="16330182"/>
    <w:rsid w:val="16361726"/>
    <w:rsid w:val="164107F7"/>
    <w:rsid w:val="16561A6A"/>
    <w:rsid w:val="16596A26"/>
    <w:rsid w:val="166C17D5"/>
    <w:rsid w:val="167178A8"/>
    <w:rsid w:val="167D553C"/>
    <w:rsid w:val="169F4D67"/>
    <w:rsid w:val="16A52A9D"/>
    <w:rsid w:val="16B70AB9"/>
    <w:rsid w:val="16C64858"/>
    <w:rsid w:val="16CB7CD9"/>
    <w:rsid w:val="16D03D5C"/>
    <w:rsid w:val="16DF591A"/>
    <w:rsid w:val="16EF0253"/>
    <w:rsid w:val="16F42CBE"/>
    <w:rsid w:val="1706559C"/>
    <w:rsid w:val="1708758A"/>
    <w:rsid w:val="170B2BB3"/>
    <w:rsid w:val="17126382"/>
    <w:rsid w:val="171D0CC1"/>
    <w:rsid w:val="17214184"/>
    <w:rsid w:val="17215F32"/>
    <w:rsid w:val="17312619"/>
    <w:rsid w:val="17374989"/>
    <w:rsid w:val="173B7407"/>
    <w:rsid w:val="173C2D6C"/>
    <w:rsid w:val="174316D1"/>
    <w:rsid w:val="174F7131"/>
    <w:rsid w:val="175207E1"/>
    <w:rsid w:val="175A1C31"/>
    <w:rsid w:val="176209F4"/>
    <w:rsid w:val="17634F2D"/>
    <w:rsid w:val="17667DE9"/>
    <w:rsid w:val="17701D14"/>
    <w:rsid w:val="17735226"/>
    <w:rsid w:val="17780248"/>
    <w:rsid w:val="177903F8"/>
    <w:rsid w:val="177C760C"/>
    <w:rsid w:val="17854F36"/>
    <w:rsid w:val="17907EE1"/>
    <w:rsid w:val="17975329"/>
    <w:rsid w:val="17A765EC"/>
    <w:rsid w:val="17AC6144"/>
    <w:rsid w:val="17D159D9"/>
    <w:rsid w:val="17D17F51"/>
    <w:rsid w:val="17DA647B"/>
    <w:rsid w:val="17E01949"/>
    <w:rsid w:val="17E74405"/>
    <w:rsid w:val="181D0DEF"/>
    <w:rsid w:val="184B31AE"/>
    <w:rsid w:val="18636CAE"/>
    <w:rsid w:val="18674123"/>
    <w:rsid w:val="18700F1F"/>
    <w:rsid w:val="1873445D"/>
    <w:rsid w:val="18786643"/>
    <w:rsid w:val="187C5B16"/>
    <w:rsid w:val="187F7D87"/>
    <w:rsid w:val="18996DE5"/>
    <w:rsid w:val="189F624C"/>
    <w:rsid w:val="18AC4F64"/>
    <w:rsid w:val="18B31B6D"/>
    <w:rsid w:val="18B51028"/>
    <w:rsid w:val="18B8291A"/>
    <w:rsid w:val="18CF1716"/>
    <w:rsid w:val="18D12F53"/>
    <w:rsid w:val="18DC0A19"/>
    <w:rsid w:val="18E13BCB"/>
    <w:rsid w:val="18E75543"/>
    <w:rsid w:val="18E86FE7"/>
    <w:rsid w:val="18F27C93"/>
    <w:rsid w:val="18FB29D6"/>
    <w:rsid w:val="19115588"/>
    <w:rsid w:val="19317904"/>
    <w:rsid w:val="19317E8D"/>
    <w:rsid w:val="193921F4"/>
    <w:rsid w:val="1941573B"/>
    <w:rsid w:val="1965558C"/>
    <w:rsid w:val="1977452F"/>
    <w:rsid w:val="19860EC5"/>
    <w:rsid w:val="19877F24"/>
    <w:rsid w:val="19B9032B"/>
    <w:rsid w:val="19C37774"/>
    <w:rsid w:val="19D55B0C"/>
    <w:rsid w:val="19F24478"/>
    <w:rsid w:val="19F33BB6"/>
    <w:rsid w:val="19F356CA"/>
    <w:rsid w:val="19F45B80"/>
    <w:rsid w:val="19F55698"/>
    <w:rsid w:val="1A085187"/>
    <w:rsid w:val="1A1C66C0"/>
    <w:rsid w:val="1A1D6E85"/>
    <w:rsid w:val="1A2B62D4"/>
    <w:rsid w:val="1A315584"/>
    <w:rsid w:val="1A42393B"/>
    <w:rsid w:val="1A455AEB"/>
    <w:rsid w:val="1A494CA3"/>
    <w:rsid w:val="1A4B621C"/>
    <w:rsid w:val="1A4D62F2"/>
    <w:rsid w:val="1A5B2FAC"/>
    <w:rsid w:val="1A710E9C"/>
    <w:rsid w:val="1A7E1E76"/>
    <w:rsid w:val="1A8B5FE9"/>
    <w:rsid w:val="1A8C5DB8"/>
    <w:rsid w:val="1A8E7704"/>
    <w:rsid w:val="1AA9696A"/>
    <w:rsid w:val="1AAD45DE"/>
    <w:rsid w:val="1ABA3DB6"/>
    <w:rsid w:val="1ACB068F"/>
    <w:rsid w:val="1ACE017F"/>
    <w:rsid w:val="1ACF4140"/>
    <w:rsid w:val="1AE23C2A"/>
    <w:rsid w:val="1AED4AA9"/>
    <w:rsid w:val="1B046F80"/>
    <w:rsid w:val="1B183F58"/>
    <w:rsid w:val="1B197E22"/>
    <w:rsid w:val="1B24357E"/>
    <w:rsid w:val="1B2B6A75"/>
    <w:rsid w:val="1B2F36F2"/>
    <w:rsid w:val="1B3267B5"/>
    <w:rsid w:val="1B3A5C69"/>
    <w:rsid w:val="1B40161D"/>
    <w:rsid w:val="1B441859"/>
    <w:rsid w:val="1B4524A8"/>
    <w:rsid w:val="1B4746D1"/>
    <w:rsid w:val="1B4F0FCE"/>
    <w:rsid w:val="1B5A624A"/>
    <w:rsid w:val="1B5D10F4"/>
    <w:rsid w:val="1B65374F"/>
    <w:rsid w:val="1B6606B1"/>
    <w:rsid w:val="1B701236"/>
    <w:rsid w:val="1B7900EB"/>
    <w:rsid w:val="1B7927E1"/>
    <w:rsid w:val="1B91709B"/>
    <w:rsid w:val="1BA15893"/>
    <w:rsid w:val="1BB12011"/>
    <w:rsid w:val="1BC95EB9"/>
    <w:rsid w:val="1BD95AB9"/>
    <w:rsid w:val="1BDD3946"/>
    <w:rsid w:val="1BDE43F2"/>
    <w:rsid w:val="1BE10EA6"/>
    <w:rsid w:val="1C08629B"/>
    <w:rsid w:val="1C13279F"/>
    <w:rsid w:val="1C1E7706"/>
    <w:rsid w:val="1C1F0D18"/>
    <w:rsid w:val="1C29338A"/>
    <w:rsid w:val="1C35198A"/>
    <w:rsid w:val="1C41355E"/>
    <w:rsid w:val="1C5D3DF6"/>
    <w:rsid w:val="1C5E7925"/>
    <w:rsid w:val="1C652207"/>
    <w:rsid w:val="1C6F469E"/>
    <w:rsid w:val="1C7042E2"/>
    <w:rsid w:val="1C737230"/>
    <w:rsid w:val="1C7E534C"/>
    <w:rsid w:val="1CA27B15"/>
    <w:rsid w:val="1CAB1D11"/>
    <w:rsid w:val="1CAE0268"/>
    <w:rsid w:val="1CB174D9"/>
    <w:rsid w:val="1CB6711D"/>
    <w:rsid w:val="1CC574A0"/>
    <w:rsid w:val="1CCA1F92"/>
    <w:rsid w:val="1CCD52AE"/>
    <w:rsid w:val="1CF2284B"/>
    <w:rsid w:val="1CF50764"/>
    <w:rsid w:val="1CFD070F"/>
    <w:rsid w:val="1D07148C"/>
    <w:rsid w:val="1D087887"/>
    <w:rsid w:val="1D1964B6"/>
    <w:rsid w:val="1D1C78C7"/>
    <w:rsid w:val="1D291B41"/>
    <w:rsid w:val="1D554B87"/>
    <w:rsid w:val="1D5F6196"/>
    <w:rsid w:val="1D6132A5"/>
    <w:rsid w:val="1D727273"/>
    <w:rsid w:val="1D8C57C5"/>
    <w:rsid w:val="1D8E56D5"/>
    <w:rsid w:val="1D951428"/>
    <w:rsid w:val="1D9D177B"/>
    <w:rsid w:val="1DA543FF"/>
    <w:rsid w:val="1DA90ACE"/>
    <w:rsid w:val="1DCA472E"/>
    <w:rsid w:val="1DD56B6A"/>
    <w:rsid w:val="1DE01317"/>
    <w:rsid w:val="1DF21FEF"/>
    <w:rsid w:val="1E013A44"/>
    <w:rsid w:val="1E05035C"/>
    <w:rsid w:val="1E0D6422"/>
    <w:rsid w:val="1E1413CC"/>
    <w:rsid w:val="1E263BC8"/>
    <w:rsid w:val="1E2E44E7"/>
    <w:rsid w:val="1E35317C"/>
    <w:rsid w:val="1E3B1FCF"/>
    <w:rsid w:val="1E401394"/>
    <w:rsid w:val="1E42335E"/>
    <w:rsid w:val="1E530EBB"/>
    <w:rsid w:val="1E5310C7"/>
    <w:rsid w:val="1E603870"/>
    <w:rsid w:val="1E6121BC"/>
    <w:rsid w:val="1E7A43DA"/>
    <w:rsid w:val="1E861706"/>
    <w:rsid w:val="1E990012"/>
    <w:rsid w:val="1EA731C1"/>
    <w:rsid w:val="1EB34C4E"/>
    <w:rsid w:val="1EB728AC"/>
    <w:rsid w:val="1EBD22AA"/>
    <w:rsid w:val="1ECC08B2"/>
    <w:rsid w:val="1ECC364F"/>
    <w:rsid w:val="1ECD18C0"/>
    <w:rsid w:val="1EFC19B9"/>
    <w:rsid w:val="1F051509"/>
    <w:rsid w:val="1F2F745B"/>
    <w:rsid w:val="1F4924CA"/>
    <w:rsid w:val="1F583ACA"/>
    <w:rsid w:val="1F585D23"/>
    <w:rsid w:val="1F6E0CCF"/>
    <w:rsid w:val="1F845C8A"/>
    <w:rsid w:val="1F875486"/>
    <w:rsid w:val="1F980D5B"/>
    <w:rsid w:val="1FA12AB4"/>
    <w:rsid w:val="1FA751DA"/>
    <w:rsid w:val="1FA871F0"/>
    <w:rsid w:val="1FBD6D16"/>
    <w:rsid w:val="1FBF3557"/>
    <w:rsid w:val="1FC91F88"/>
    <w:rsid w:val="1FD11122"/>
    <w:rsid w:val="1FDC333E"/>
    <w:rsid w:val="1FE16BA6"/>
    <w:rsid w:val="1FE7539E"/>
    <w:rsid w:val="1FED554B"/>
    <w:rsid w:val="200B2D3E"/>
    <w:rsid w:val="200F7CB6"/>
    <w:rsid w:val="2058313A"/>
    <w:rsid w:val="20584206"/>
    <w:rsid w:val="205E33E2"/>
    <w:rsid w:val="20671BE0"/>
    <w:rsid w:val="206873F5"/>
    <w:rsid w:val="20735080"/>
    <w:rsid w:val="20793D9C"/>
    <w:rsid w:val="207B25A0"/>
    <w:rsid w:val="207C4DD3"/>
    <w:rsid w:val="208761D7"/>
    <w:rsid w:val="20963CB8"/>
    <w:rsid w:val="209B6D55"/>
    <w:rsid w:val="20A42B15"/>
    <w:rsid w:val="20A75938"/>
    <w:rsid w:val="20A81A1B"/>
    <w:rsid w:val="20A96600"/>
    <w:rsid w:val="20B07FB6"/>
    <w:rsid w:val="20B646FB"/>
    <w:rsid w:val="20BB2DEE"/>
    <w:rsid w:val="20D14525"/>
    <w:rsid w:val="20D72FCC"/>
    <w:rsid w:val="20DB53A4"/>
    <w:rsid w:val="20DE431E"/>
    <w:rsid w:val="20DF0198"/>
    <w:rsid w:val="20E83750"/>
    <w:rsid w:val="210671CA"/>
    <w:rsid w:val="211508B6"/>
    <w:rsid w:val="21156B08"/>
    <w:rsid w:val="21162880"/>
    <w:rsid w:val="21186914"/>
    <w:rsid w:val="21204FF0"/>
    <w:rsid w:val="21327EDC"/>
    <w:rsid w:val="213B74B1"/>
    <w:rsid w:val="214A54CA"/>
    <w:rsid w:val="215836BB"/>
    <w:rsid w:val="215A2310"/>
    <w:rsid w:val="216068C8"/>
    <w:rsid w:val="2164500F"/>
    <w:rsid w:val="21880119"/>
    <w:rsid w:val="218A2D7B"/>
    <w:rsid w:val="21925746"/>
    <w:rsid w:val="219D04D7"/>
    <w:rsid w:val="21AA4A61"/>
    <w:rsid w:val="21CD73E2"/>
    <w:rsid w:val="21CE54A8"/>
    <w:rsid w:val="21DE318A"/>
    <w:rsid w:val="21EF5B80"/>
    <w:rsid w:val="21F25551"/>
    <w:rsid w:val="21F7445F"/>
    <w:rsid w:val="220D32FF"/>
    <w:rsid w:val="221C4930"/>
    <w:rsid w:val="22223E36"/>
    <w:rsid w:val="22396826"/>
    <w:rsid w:val="2244124C"/>
    <w:rsid w:val="224713D3"/>
    <w:rsid w:val="22576990"/>
    <w:rsid w:val="22605D1A"/>
    <w:rsid w:val="22667B07"/>
    <w:rsid w:val="2274245A"/>
    <w:rsid w:val="22871563"/>
    <w:rsid w:val="2292692D"/>
    <w:rsid w:val="22AC6FF8"/>
    <w:rsid w:val="22C64169"/>
    <w:rsid w:val="22D817CE"/>
    <w:rsid w:val="22E25F45"/>
    <w:rsid w:val="22EE7610"/>
    <w:rsid w:val="22F47480"/>
    <w:rsid w:val="22F62CAF"/>
    <w:rsid w:val="22FD104E"/>
    <w:rsid w:val="230233A8"/>
    <w:rsid w:val="231B2E18"/>
    <w:rsid w:val="232272BA"/>
    <w:rsid w:val="23276892"/>
    <w:rsid w:val="232E2103"/>
    <w:rsid w:val="233855BF"/>
    <w:rsid w:val="23454622"/>
    <w:rsid w:val="235C7CDC"/>
    <w:rsid w:val="236167F6"/>
    <w:rsid w:val="236217AE"/>
    <w:rsid w:val="237815D0"/>
    <w:rsid w:val="237D5DEB"/>
    <w:rsid w:val="23847F75"/>
    <w:rsid w:val="238711B9"/>
    <w:rsid w:val="238C0BD7"/>
    <w:rsid w:val="23907E08"/>
    <w:rsid w:val="23936E36"/>
    <w:rsid w:val="23971A56"/>
    <w:rsid w:val="23A979DB"/>
    <w:rsid w:val="23B81B68"/>
    <w:rsid w:val="23BB4BC3"/>
    <w:rsid w:val="23CF4286"/>
    <w:rsid w:val="23D31690"/>
    <w:rsid w:val="23D52FF2"/>
    <w:rsid w:val="23D53E54"/>
    <w:rsid w:val="23DE1C48"/>
    <w:rsid w:val="23E1109F"/>
    <w:rsid w:val="23F012C8"/>
    <w:rsid w:val="23F44907"/>
    <w:rsid w:val="240210CD"/>
    <w:rsid w:val="24182C4D"/>
    <w:rsid w:val="24335886"/>
    <w:rsid w:val="244157BB"/>
    <w:rsid w:val="244B0E2A"/>
    <w:rsid w:val="245B5453"/>
    <w:rsid w:val="245C20B9"/>
    <w:rsid w:val="24613E12"/>
    <w:rsid w:val="246456B0"/>
    <w:rsid w:val="2476542E"/>
    <w:rsid w:val="247E2B20"/>
    <w:rsid w:val="248B4A79"/>
    <w:rsid w:val="2492046F"/>
    <w:rsid w:val="249D12EE"/>
    <w:rsid w:val="24AE785E"/>
    <w:rsid w:val="24B6415E"/>
    <w:rsid w:val="24B95691"/>
    <w:rsid w:val="24BD373E"/>
    <w:rsid w:val="24BF09F7"/>
    <w:rsid w:val="24C62C82"/>
    <w:rsid w:val="24D657F6"/>
    <w:rsid w:val="24DC575A"/>
    <w:rsid w:val="24DE1906"/>
    <w:rsid w:val="24E30FD0"/>
    <w:rsid w:val="24F23505"/>
    <w:rsid w:val="25127B73"/>
    <w:rsid w:val="25201F1F"/>
    <w:rsid w:val="252D53FE"/>
    <w:rsid w:val="25313EDC"/>
    <w:rsid w:val="25486046"/>
    <w:rsid w:val="25490842"/>
    <w:rsid w:val="255319AC"/>
    <w:rsid w:val="255B193C"/>
    <w:rsid w:val="255F327B"/>
    <w:rsid w:val="2562610D"/>
    <w:rsid w:val="2565227B"/>
    <w:rsid w:val="25733D33"/>
    <w:rsid w:val="257B14DB"/>
    <w:rsid w:val="25807B05"/>
    <w:rsid w:val="258724D7"/>
    <w:rsid w:val="258C27B6"/>
    <w:rsid w:val="25972C58"/>
    <w:rsid w:val="25987D07"/>
    <w:rsid w:val="25AF7B21"/>
    <w:rsid w:val="25B76180"/>
    <w:rsid w:val="25DC5E46"/>
    <w:rsid w:val="25E11268"/>
    <w:rsid w:val="25EC2D81"/>
    <w:rsid w:val="25F52A64"/>
    <w:rsid w:val="25FA00A6"/>
    <w:rsid w:val="25FA62CC"/>
    <w:rsid w:val="26127ABA"/>
    <w:rsid w:val="261F21D6"/>
    <w:rsid w:val="262223E4"/>
    <w:rsid w:val="26327F08"/>
    <w:rsid w:val="263A1C3A"/>
    <w:rsid w:val="263C086C"/>
    <w:rsid w:val="26406D8F"/>
    <w:rsid w:val="26432F9D"/>
    <w:rsid w:val="264A194A"/>
    <w:rsid w:val="264E2A69"/>
    <w:rsid w:val="26546C7F"/>
    <w:rsid w:val="2657371E"/>
    <w:rsid w:val="265C5510"/>
    <w:rsid w:val="26666EA6"/>
    <w:rsid w:val="266B0F78"/>
    <w:rsid w:val="266B1459"/>
    <w:rsid w:val="266C2D01"/>
    <w:rsid w:val="2672322E"/>
    <w:rsid w:val="26834513"/>
    <w:rsid w:val="26C9727D"/>
    <w:rsid w:val="26D92385"/>
    <w:rsid w:val="26F47310"/>
    <w:rsid w:val="271C5FE7"/>
    <w:rsid w:val="271F3820"/>
    <w:rsid w:val="272C0CD9"/>
    <w:rsid w:val="273405A4"/>
    <w:rsid w:val="27382B0F"/>
    <w:rsid w:val="274473AC"/>
    <w:rsid w:val="274B2373"/>
    <w:rsid w:val="274C632D"/>
    <w:rsid w:val="277057A2"/>
    <w:rsid w:val="277A3B68"/>
    <w:rsid w:val="277E3A97"/>
    <w:rsid w:val="278F07A9"/>
    <w:rsid w:val="27A110F5"/>
    <w:rsid w:val="27A674F2"/>
    <w:rsid w:val="27B30E28"/>
    <w:rsid w:val="27BC04CF"/>
    <w:rsid w:val="27BF26F1"/>
    <w:rsid w:val="27CF1907"/>
    <w:rsid w:val="27D75EDF"/>
    <w:rsid w:val="27DA4607"/>
    <w:rsid w:val="27F154AD"/>
    <w:rsid w:val="27F21951"/>
    <w:rsid w:val="27FE04E0"/>
    <w:rsid w:val="27FF5E1C"/>
    <w:rsid w:val="281210C5"/>
    <w:rsid w:val="28206D63"/>
    <w:rsid w:val="28207D43"/>
    <w:rsid w:val="28443056"/>
    <w:rsid w:val="28687A81"/>
    <w:rsid w:val="287A0D4E"/>
    <w:rsid w:val="28951D06"/>
    <w:rsid w:val="28BE223F"/>
    <w:rsid w:val="28D62E2D"/>
    <w:rsid w:val="28E514B5"/>
    <w:rsid w:val="29030EDA"/>
    <w:rsid w:val="29206EB8"/>
    <w:rsid w:val="292A45F1"/>
    <w:rsid w:val="292C0E92"/>
    <w:rsid w:val="293148CA"/>
    <w:rsid w:val="29437541"/>
    <w:rsid w:val="29585E50"/>
    <w:rsid w:val="29595666"/>
    <w:rsid w:val="296E76E6"/>
    <w:rsid w:val="29712D24"/>
    <w:rsid w:val="29747D6C"/>
    <w:rsid w:val="29874881"/>
    <w:rsid w:val="29941053"/>
    <w:rsid w:val="299A3B46"/>
    <w:rsid w:val="299B7DC6"/>
    <w:rsid w:val="29A01C44"/>
    <w:rsid w:val="29C06030"/>
    <w:rsid w:val="29C0782D"/>
    <w:rsid w:val="29C275A9"/>
    <w:rsid w:val="29C70DEB"/>
    <w:rsid w:val="29C8077F"/>
    <w:rsid w:val="29D17C9D"/>
    <w:rsid w:val="29DB78A0"/>
    <w:rsid w:val="29E325E0"/>
    <w:rsid w:val="29F37C02"/>
    <w:rsid w:val="29FA0F90"/>
    <w:rsid w:val="2A053091"/>
    <w:rsid w:val="2A0D57BA"/>
    <w:rsid w:val="2A1163C8"/>
    <w:rsid w:val="2A14163A"/>
    <w:rsid w:val="2A1B3E58"/>
    <w:rsid w:val="2A277B6E"/>
    <w:rsid w:val="2A2B6011"/>
    <w:rsid w:val="2A322A6D"/>
    <w:rsid w:val="2A37753D"/>
    <w:rsid w:val="2A3A61B0"/>
    <w:rsid w:val="2A400C50"/>
    <w:rsid w:val="2A443FBA"/>
    <w:rsid w:val="2A452503"/>
    <w:rsid w:val="2A463E44"/>
    <w:rsid w:val="2A4E6BE6"/>
    <w:rsid w:val="2A51780B"/>
    <w:rsid w:val="2A623280"/>
    <w:rsid w:val="2A863F4E"/>
    <w:rsid w:val="2A8D770F"/>
    <w:rsid w:val="2AA745D1"/>
    <w:rsid w:val="2AAE495A"/>
    <w:rsid w:val="2ABC600B"/>
    <w:rsid w:val="2AD27817"/>
    <w:rsid w:val="2AEA7E09"/>
    <w:rsid w:val="2AEC0F12"/>
    <w:rsid w:val="2AF37B21"/>
    <w:rsid w:val="2AF83194"/>
    <w:rsid w:val="2B060108"/>
    <w:rsid w:val="2B07458A"/>
    <w:rsid w:val="2B243AF4"/>
    <w:rsid w:val="2B263088"/>
    <w:rsid w:val="2B382728"/>
    <w:rsid w:val="2B397896"/>
    <w:rsid w:val="2B900CA2"/>
    <w:rsid w:val="2BA936A8"/>
    <w:rsid w:val="2BB211AB"/>
    <w:rsid w:val="2BBD2276"/>
    <w:rsid w:val="2BC205D1"/>
    <w:rsid w:val="2BC35DC3"/>
    <w:rsid w:val="2BD650E5"/>
    <w:rsid w:val="2BD74EBF"/>
    <w:rsid w:val="2BEE68D3"/>
    <w:rsid w:val="2BF612E4"/>
    <w:rsid w:val="2BFC11E6"/>
    <w:rsid w:val="2C183950"/>
    <w:rsid w:val="2C1C2745"/>
    <w:rsid w:val="2C2379FA"/>
    <w:rsid w:val="2C24214E"/>
    <w:rsid w:val="2C26606D"/>
    <w:rsid w:val="2C315A5A"/>
    <w:rsid w:val="2C381679"/>
    <w:rsid w:val="2C4B1C25"/>
    <w:rsid w:val="2C4E17F6"/>
    <w:rsid w:val="2C525BB7"/>
    <w:rsid w:val="2C581F9E"/>
    <w:rsid w:val="2C5D227D"/>
    <w:rsid w:val="2C666469"/>
    <w:rsid w:val="2C7A4E6F"/>
    <w:rsid w:val="2C8042C9"/>
    <w:rsid w:val="2C823C9C"/>
    <w:rsid w:val="2C8C55E0"/>
    <w:rsid w:val="2C924834"/>
    <w:rsid w:val="2CA70AD9"/>
    <w:rsid w:val="2CBC413A"/>
    <w:rsid w:val="2CC52F11"/>
    <w:rsid w:val="2CC9092A"/>
    <w:rsid w:val="2CD43AC5"/>
    <w:rsid w:val="2CD51841"/>
    <w:rsid w:val="2CDB0342"/>
    <w:rsid w:val="2CEE01DB"/>
    <w:rsid w:val="2CF116B7"/>
    <w:rsid w:val="2CF87DB1"/>
    <w:rsid w:val="2CF972DD"/>
    <w:rsid w:val="2D096929"/>
    <w:rsid w:val="2D186C43"/>
    <w:rsid w:val="2D1B2E42"/>
    <w:rsid w:val="2D1C2847"/>
    <w:rsid w:val="2D2975AF"/>
    <w:rsid w:val="2D2E6C3E"/>
    <w:rsid w:val="2D574004"/>
    <w:rsid w:val="2D69103B"/>
    <w:rsid w:val="2D6D1A79"/>
    <w:rsid w:val="2D7D5D22"/>
    <w:rsid w:val="2D7E7FA9"/>
    <w:rsid w:val="2D83555C"/>
    <w:rsid w:val="2D8E6BA2"/>
    <w:rsid w:val="2D9E56F5"/>
    <w:rsid w:val="2DBD6B7D"/>
    <w:rsid w:val="2DC50FA1"/>
    <w:rsid w:val="2DE97B65"/>
    <w:rsid w:val="2DFB0AC3"/>
    <w:rsid w:val="2DFD4BAB"/>
    <w:rsid w:val="2E2A18EC"/>
    <w:rsid w:val="2E400F3C"/>
    <w:rsid w:val="2E4B4E48"/>
    <w:rsid w:val="2E4D72C4"/>
    <w:rsid w:val="2E550FD1"/>
    <w:rsid w:val="2E667F96"/>
    <w:rsid w:val="2E69227F"/>
    <w:rsid w:val="2E6C0512"/>
    <w:rsid w:val="2E76670C"/>
    <w:rsid w:val="2E7E5CE0"/>
    <w:rsid w:val="2E8226AB"/>
    <w:rsid w:val="2E831F00"/>
    <w:rsid w:val="2E8A0A54"/>
    <w:rsid w:val="2E8F4C90"/>
    <w:rsid w:val="2E9304F6"/>
    <w:rsid w:val="2EA3373A"/>
    <w:rsid w:val="2EAB43D2"/>
    <w:rsid w:val="2EAD65D1"/>
    <w:rsid w:val="2EE10A13"/>
    <w:rsid w:val="2EEB3364"/>
    <w:rsid w:val="2EFF4BB8"/>
    <w:rsid w:val="2F180123"/>
    <w:rsid w:val="2F1E302B"/>
    <w:rsid w:val="2F3847D8"/>
    <w:rsid w:val="2F47403E"/>
    <w:rsid w:val="2F47605F"/>
    <w:rsid w:val="2F5727BC"/>
    <w:rsid w:val="2F650158"/>
    <w:rsid w:val="2F686780"/>
    <w:rsid w:val="2F6D5D61"/>
    <w:rsid w:val="2F796ED7"/>
    <w:rsid w:val="2F843684"/>
    <w:rsid w:val="2F8B1C79"/>
    <w:rsid w:val="2F905831"/>
    <w:rsid w:val="2F9A25A2"/>
    <w:rsid w:val="2F9D1621"/>
    <w:rsid w:val="2FB35E5A"/>
    <w:rsid w:val="2FB922F3"/>
    <w:rsid w:val="2FC31E25"/>
    <w:rsid w:val="2FD065E6"/>
    <w:rsid w:val="2FD767CB"/>
    <w:rsid w:val="2FD96870"/>
    <w:rsid w:val="301E49B5"/>
    <w:rsid w:val="302939DF"/>
    <w:rsid w:val="302B3E9B"/>
    <w:rsid w:val="30437AE0"/>
    <w:rsid w:val="304840D0"/>
    <w:rsid w:val="30580BC9"/>
    <w:rsid w:val="306E4C87"/>
    <w:rsid w:val="308275EA"/>
    <w:rsid w:val="309C12A9"/>
    <w:rsid w:val="30A9101A"/>
    <w:rsid w:val="30B71989"/>
    <w:rsid w:val="30BE165C"/>
    <w:rsid w:val="30DD42FC"/>
    <w:rsid w:val="30EF42FE"/>
    <w:rsid w:val="30F23D3D"/>
    <w:rsid w:val="30F32296"/>
    <w:rsid w:val="30FC114A"/>
    <w:rsid w:val="31097D0B"/>
    <w:rsid w:val="311D4241"/>
    <w:rsid w:val="311E2ED7"/>
    <w:rsid w:val="312707D0"/>
    <w:rsid w:val="312A176B"/>
    <w:rsid w:val="31340EB7"/>
    <w:rsid w:val="313C6CCD"/>
    <w:rsid w:val="314805C3"/>
    <w:rsid w:val="314F6165"/>
    <w:rsid w:val="315619EE"/>
    <w:rsid w:val="315C449C"/>
    <w:rsid w:val="31716439"/>
    <w:rsid w:val="317A0036"/>
    <w:rsid w:val="31817917"/>
    <w:rsid w:val="31897D10"/>
    <w:rsid w:val="319043E6"/>
    <w:rsid w:val="31AE5CB7"/>
    <w:rsid w:val="31B66832"/>
    <w:rsid w:val="31B82709"/>
    <w:rsid w:val="31CE331C"/>
    <w:rsid w:val="31CF2934"/>
    <w:rsid w:val="31D05482"/>
    <w:rsid w:val="31D5681A"/>
    <w:rsid w:val="31DD36BE"/>
    <w:rsid w:val="31E35BA3"/>
    <w:rsid w:val="31ED3189"/>
    <w:rsid w:val="31F75DB5"/>
    <w:rsid w:val="32161405"/>
    <w:rsid w:val="322272D6"/>
    <w:rsid w:val="322275F5"/>
    <w:rsid w:val="322748ED"/>
    <w:rsid w:val="32385C4C"/>
    <w:rsid w:val="32400B34"/>
    <w:rsid w:val="32453817"/>
    <w:rsid w:val="324F51A2"/>
    <w:rsid w:val="32501DEF"/>
    <w:rsid w:val="326F41AE"/>
    <w:rsid w:val="327F64D7"/>
    <w:rsid w:val="32802548"/>
    <w:rsid w:val="32804CD3"/>
    <w:rsid w:val="328C10E8"/>
    <w:rsid w:val="329D6345"/>
    <w:rsid w:val="329E6876"/>
    <w:rsid w:val="32B14CF4"/>
    <w:rsid w:val="32C039D7"/>
    <w:rsid w:val="32D54349"/>
    <w:rsid w:val="32D60C2A"/>
    <w:rsid w:val="32D60C76"/>
    <w:rsid w:val="32D837EE"/>
    <w:rsid w:val="32F82D7A"/>
    <w:rsid w:val="33015B33"/>
    <w:rsid w:val="330237CF"/>
    <w:rsid w:val="3307479E"/>
    <w:rsid w:val="3308270D"/>
    <w:rsid w:val="33115954"/>
    <w:rsid w:val="3316703D"/>
    <w:rsid w:val="331D66DD"/>
    <w:rsid w:val="332313AC"/>
    <w:rsid w:val="3324631F"/>
    <w:rsid w:val="33254F91"/>
    <w:rsid w:val="332C34CC"/>
    <w:rsid w:val="333015F2"/>
    <w:rsid w:val="334B6320"/>
    <w:rsid w:val="33524AF4"/>
    <w:rsid w:val="336B028C"/>
    <w:rsid w:val="337E678E"/>
    <w:rsid w:val="3380628F"/>
    <w:rsid w:val="338B62FF"/>
    <w:rsid w:val="338E44CF"/>
    <w:rsid w:val="33957634"/>
    <w:rsid w:val="339F04B3"/>
    <w:rsid w:val="33A43D3B"/>
    <w:rsid w:val="33B1231E"/>
    <w:rsid w:val="33B277DF"/>
    <w:rsid w:val="33BE6E35"/>
    <w:rsid w:val="33CB7921"/>
    <w:rsid w:val="33D7787B"/>
    <w:rsid w:val="33D934D4"/>
    <w:rsid w:val="33E309E0"/>
    <w:rsid w:val="33F11099"/>
    <w:rsid w:val="33F15289"/>
    <w:rsid w:val="33FB393B"/>
    <w:rsid w:val="33FE2F6A"/>
    <w:rsid w:val="33FF032A"/>
    <w:rsid w:val="340751EF"/>
    <w:rsid w:val="34076784"/>
    <w:rsid w:val="340C0F9D"/>
    <w:rsid w:val="340E07E5"/>
    <w:rsid w:val="34100F62"/>
    <w:rsid w:val="342002E1"/>
    <w:rsid w:val="34235BF7"/>
    <w:rsid w:val="342B1D46"/>
    <w:rsid w:val="343054E5"/>
    <w:rsid w:val="34395E2F"/>
    <w:rsid w:val="344644C7"/>
    <w:rsid w:val="34480B4A"/>
    <w:rsid w:val="344E3B07"/>
    <w:rsid w:val="3457525A"/>
    <w:rsid w:val="346B0A07"/>
    <w:rsid w:val="349836B7"/>
    <w:rsid w:val="349D2C44"/>
    <w:rsid w:val="34AC0153"/>
    <w:rsid w:val="34DD5737"/>
    <w:rsid w:val="34F32864"/>
    <w:rsid w:val="34F66A92"/>
    <w:rsid w:val="34FB5BBD"/>
    <w:rsid w:val="34FF38FF"/>
    <w:rsid w:val="351B27DF"/>
    <w:rsid w:val="352B0250"/>
    <w:rsid w:val="35331557"/>
    <w:rsid w:val="354E5348"/>
    <w:rsid w:val="3563434C"/>
    <w:rsid w:val="356D27FC"/>
    <w:rsid w:val="357617BA"/>
    <w:rsid w:val="357C28BF"/>
    <w:rsid w:val="35862B14"/>
    <w:rsid w:val="358C5FA8"/>
    <w:rsid w:val="359762F7"/>
    <w:rsid w:val="35A516B0"/>
    <w:rsid w:val="35AC7B62"/>
    <w:rsid w:val="35AD335B"/>
    <w:rsid w:val="35B57EEC"/>
    <w:rsid w:val="35B6485D"/>
    <w:rsid w:val="35C15DF1"/>
    <w:rsid w:val="35C227F8"/>
    <w:rsid w:val="35EE5E65"/>
    <w:rsid w:val="35F30507"/>
    <w:rsid w:val="36074A7F"/>
    <w:rsid w:val="360B301C"/>
    <w:rsid w:val="3614142E"/>
    <w:rsid w:val="361B4F4E"/>
    <w:rsid w:val="36214CA2"/>
    <w:rsid w:val="36552B3A"/>
    <w:rsid w:val="366C720A"/>
    <w:rsid w:val="3682771B"/>
    <w:rsid w:val="36880146"/>
    <w:rsid w:val="368B60BA"/>
    <w:rsid w:val="36923549"/>
    <w:rsid w:val="36A209E6"/>
    <w:rsid w:val="36B75FBF"/>
    <w:rsid w:val="36BA2CB6"/>
    <w:rsid w:val="36BD0C45"/>
    <w:rsid w:val="36C97E74"/>
    <w:rsid w:val="36CD686C"/>
    <w:rsid w:val="36CD6D52"/>
    <w:rsid w:val="36D874B8"/>
    <w:rsid w:val="36DF73F2"/>
    <w:rsid w:val="36ED4BFB"/>
    <w:rsid w:val="36FD5C1C"/>
    <w:rsid w:val="36FF1994"/>
    <w:rsid w:val="37123663"/>
    <w:rsid w:val="371B42F4"/>
    <w:rsid w:val="371F3E9A"/>
    <w:rsid w:val="372E7F7F"/>
    <w:rsid w:val="372F6D6C"/>
    <w:rsid w:val="37495025"/>
    <w:rsid w:val="37786B96"/>
    <w:rsid w:val="37807FBD"/>
    <w:rsid w:val="378853E6"/>
    <w:rsid w:val="378B60F6"/>
    <w:rsid w:val="37A95DA4"/>
    <w:rsid w:val="37D72E85"/>
    <w:rsid w:val="37DF3574"/>
    <w:rsid w:val="37E00298"/>
    <w:rsid w:val="37ED3EE3"/>
    <w:rsid w:val="37F217B1"/>
    <w:rsid w:val="37F37919"/>
    <w:rsid w:val="37FE4BCD"/>
    <w:rsid w:val="3800432D"/>
    <w:rsid w:val="38012ED6"/>
    <w:rsid w:val="381256F7"/>
    <w:rsid w:val="382A2E7E"/>
    <w:rsid w:val="38352061"/>
    <w:rsid w:val="38353194"/>
    <w:rsid w:val="385201EA"/>
    <w:rsid w:val="38545D10"/>
    <w:rsid w:val="38724513"/>
    <w:rsid w:val="387451BA"/>
    <w:rsid w:val="387746A1"/>
    <w:rsid w:val="389704DB"/>
    <w:rsid w:val="38A54CF4"/>
    <w:rsid w:val="38A63790"/>
    <w:rsid w:val="38A93982"/>
    <w:rsid w:val="38B302F9"/>
    <w:rsid w:val="38BB647D"/>
    <w:rsid w:val="38BC3BBA"/>
    <w:rsid w:val="38BC52F9"/>
    <w:rsid w:val="38C50EB2"/>
    <w:rsid w:val="38E26A82"/>
    <w:rsid w:val="38EE2CD9"/>
    <w:rsid w:val="38EE760E"/>
    <w:rsid w:val="38F12CD3"/>
    <w:rsid w:val="38F20DDA"/>
    <w:rsid w:val="38F570D1"/>
    <w:rsid w:val="38F64BCD"/>
    <w:rsid w:val="38F94775"/>
    <w:rsid w:val="38FE0016"/>
    <w:rsid w:val="3905525C"/>
    <w:rsid w:val="39062BB4"/>
    <w:rsid w:val="39097F1F"/>
    <w:rsid w:val="392971ED"/>
    <w:rsid w:val="393015F9"/>
    <w:rsid w:val="39325651"/>
    <w:rsid w:val="3938033F"/>
    <w:rsid w:val="3943697B"/>
    <w:rsid w:val="395F1180"/>
    <w:rsid w:val="398375FF"/>
    <w:rsid w:val="3986014B"/>
    <w:rsid w:val="39864563"/>
    <w:rsid w:val="398D228F"/>
    <w:rsid w:val="398D4D10"/>
    <w:rsid w:val="399517BA"/>
    <w:rsid w:val="39A165A6"/>
    <w:rsid w:val="39A71043"/>
    <w:rsid w:val="39AE6B07"/>
    <w:rsid w:val="39BC4F22"/>
    <w:rsid w:val="39C40C73"/>
    <w:rsid w:val="39EE6404"/>
    <w:rsid w:val="39EE69F4"/>
    <w:rsid w:val="3A0C454B"/>
    <w:rsid w:val="3A0D261A"/>
    <w:rsid w:val="3A147C9F"/>
    <w:rsid w:val="3A1A0893"/>
    <w:rsid w:val="3A1A4D37"/>
    <w:rsid w:val="3A221D1C"/>
    <w:rsid w:val="3A272F48"/>
    <w:rsid w:val="3A2B0CF2"/>
    <w:rsid w:val="3A2C53A8"/>
    <w:rsid w:val="3A2E73BE"/>
    <w:rsid w:val="3A3D2F5A"/>
    <w:rsid w:val="3A531C11"/>
    <w:rsid w:val="3A541DFF"/>
    <w:rsid w:val="3A543B4D"/>
    <w:rsid w:val="3A601952"/>
    <w:rsid w:val="3A703A07"/>
    <w:rsid w:val="3A75332D"/>
    <w:rsid w:val="3A756BB5"/>
    <w:rsid w:val="3A787F1B"/>
    <w:rsid w:val="3A872856"/>
    <w:rsid w:val="3A910BC7"/>
    <w:rsid w:val="3A9915AE"/>
    <w:rsid w:val="3AA328F4"/>
    <w:rsid w:val="3AA65A9B"/>
    <w:rsid w:val="3AAF3DE4"/>
    <w:rsid w:val="3AB97CED"/>
    <w:rsid w:val="3ABA3B8B"/>
    <w:rsid w:val="3ABF0296"/>
    <w:rsid w:val="3AE12E3C"/>
    <w:rsid w:val="3AF630BA"/>
    <w:rsid w:val="3AFF2BBF"/>
    <w:rsid w:val="3B037682"/>
    <w:rsid w:val="3B06357D"/>
    <w:rsid w:val="3B0759D3"/>
    <w:rsid w:val="3B0A5FF4"/>
    <w:rsid w:val="3B107A8E"/>
    <w:rsid w:val="3B141786"/>
    <w:rsid w:val="3B331E88"/>
    <w:rsid w:val="3B3763D1"/>
    <w:rsid w:val="3B430836"/>
    <w:rsid w:val="3B474714"/>
    <w:rsid w:val="3B4D72A1"/>
    <w:rsid w:val="3B50220D"/>
    <w:rsid w:val="3B567629"/>
    <w:rsid w:val="3B6567D9"/>
    <w:rsid w:val="3B6579C6"/>
    <w:rsid w:val="3B69114C"/>
    <w:rsid w:val="3B6C3ADB"/>
    <w:rsid w:val="3B7F30A4"/>
    <w:rsid w:val="3B9B5E70"/>
    <w:rsid w:val="3BB32D4D"/>
    <w:rsid w:val="3BB35BE4"/>
    <w:rsid w:val="3BC57AD0"/>
    <w:rsid w:val="3BC77ECD"/>
    <w:rsid w:val="3BCE3EBD"/>
    <w:rsid w:val="3BF24F7E"/>
    <w:rsid w:val="3C091678"/>
    <w:rsid w:val="3C197F28"/>
    <w:rsid w:val="3C1F4939"/>
    <w:rsid w:val="3C1F5EE1"/>
    <w:rsid w:val="3C224F64"/>
    <w:rsid w:val="3C226922"/>
    <w:rsid w:val="3C277297"/>
    <w:rsid w:val="3C2F6E1E"/>
    <w:rsid w:val="3C3976F6"/>
    <w:rsid w:val="3C397736"/>
    <w:rsid w:val="3C4542ED"/>
    <w:rsid w:val="3C4B742A"/>
    <w:rsid w:val="3C4F64BA"/>
    <w:rsid w:val="3C543D0B"/>
    <w:rsid w:val="3C563F2F"/>
    <w:rsid w:val="3C613097"/>
    <w:rsid w:val="3C6479E0"/>
    <w:rsid w:val="3C69794E"/>
    <w:rsid w:val="3C7324DC"/>
    <w:rsid w:val="3C7921E9"/>
    <w:rsid w:val="3C8B3F35"/>
    <w:rsid w:val="3C8C1F1C"/>
    <w:rsid w:val="3C8E4016"/>
    <w:rsid w:val="3C90308E"/>
    <w:rsid w:val="3C976C0C"/>
    <w:rsid w:val="3C9F6767"/>
    <w:rsid w:val="3CB46D7D"/>
    <w:rsid w:val="3CC35E65"/>
    <w:rsid w:val="3CCB1FE8"/>
    <w:rsid w:val="3CCF005B"/>
    <w:rsid w:val="3CD220FA"/>
    <w:rsid w:val="3CD24058"/>
    <w:rsid w:val="3CD45671"/>
    <w:rsid w:val="3CD940E5"/>
    <w:rsid w:val="3CDA245A"/>
    <w:rsid w:val="3CE95277"/>
    <w:rsid w:val="3CEB4C66"/>
    <w:rsid w:val="3D07380E"/>
    <w:rsid w:val="3D0C480F"/>
    <w:rsid w:val="3D1A0278"/>
    <w:rsid w:val="3D1E06B7"/>
    <w:rsid w:val="3D247181"/>
    <w:rsid w:val="3D266E74"/>
    <w:rsid w:val="3D2F10E0"/>
    <w:rsid w:val="3D2F6801"/>
    <w:rsid w:val="3D3335B8"/>
    <w:rsid w:val="3D3358D5"/>
    <w:rsid w:val="3D367828"/>
    <w:rsid w:val="3D3B56F0"/>
    <w:rsid w:val="3D402F94"/>
    <w:rsid w:val="3D457E32"/>
    <w:rsid w:val="3D497201"/>
    <w:rsid w:val="3D561D71"/>
    <w:rsid w:val="3D581DFE"/>
    <w:rsid w:val="3D656CB0"/>
    <w:rsid w:val="3D6C58AA"/>
    <w:rsid w:val="3D723C7A"/>
    <w:rsid w:val="3D910E3E"/>
    <w:rsid w:val="3D975000"/>
    <w:rsid w:val="3DA200CE"/>
    <w:rsid w:val="3DB2394A"/>
    <w:rsid w:val="3DB42DAD"/>
    <w:rsid w:val="3DB82B5C"/>
    <w:rsid w:val="3DB971C7"/>
    <w:rsid w:val="3DC06CD9"/>
    <w:rsid w:val="3DD11E30"/>
    <w:rsid w:val="3DD27517"/>
    <w:rsid w:val="3DD95690"/>
    <w:rsid w:val="3DDE2232"/>
    <w:rsid w:val="3DE17320"/>
    <w:rsid w:val="3DEE3D6A"/>
    <w:rsid w:val="3DFA2811"/>
    <w:rsid w:val="3E02063B"/>
    <w:rsid w:val="3E135D25"/>
    <w:rsid w:val="3E151A9D"/>
    <w:rsid w:val="3E217486"/>
    <w:rsid w:val="3E2A79A7"/>
    <w:rsid w:val="3E2B7513"/>
    <w:rsid w:val="3E4C5734"/>
    <w:rsid w:val="3E690C1D"/>
    <w:rsid w:val="3E776963"/>
    <w:rsid w:val="3E811F13"/>
    <w:rsid w:val="3E8F1850"/>
    <w:rsid w:val="3EBC07B5"/>
    <w:rsid w:val="3EC4428E"/>
    <w:rsid w:val="3EC85E97"/>
    <w:rsid w:val="3EDA0523"/>
    <w:rsid w:val="3F163D86"/>
    <w:rsid w:val="3F544203"/>
    <w:rsid w:val="3F5E7474"/>
    <w:rsid w:val="3F6530D5"/>
    <w:rsid w:val="3F746C97"/>
    <w:rsid w:val="3F887BA7"/>
    <w:rsid w:val="3F986266"/>
    <w:rsid w:val="3F9D0255"/>
    <w:rsid w:val="3FBD5D53"/>
    <w:rsid w:val="3FC157D9"/>
    <w:rsid w:val="3FCA68B7"/>
    <w:rsid w:val="3FD75876"/>
    <w:rsid w:val="3FD80FD4"/>
    <w:rsid w:val="3FEE2BC3"/>
    <w:rsid w:val="400709A3"/>
    <w:rsid w:val="40207DC4"/>
    <w:rsid w:val="40734EF8"/>
    <w:rsid w:val="40766F0D"/>
    <w:rsid w:val="407A6407"/>
    <w:rsid w:val="40805175"/>
    <w:rsid w:val="409F7D44"/>
    <w:rsid w:val="40A95282"/>
    <w:rsid w:val="40AC655D"/>
    <w:rsid w:val="40C357E1"/>
    <w:rsid w:val="40D10338"/>
    <w:rsid w:val="40E07F22"/>
    <w:rsid w:val="40E63592"/>
    <w:rsid w:val="40F403B6"/>
    <w:rsid w:val="410D7F8C"/>
    <w:rsid w:val="411806DE"/>
    <w:rsid w:val="41182B56"/>
    <w:rsid w:val="411E335F"/>
    <w:rsid w:val="41214BFD"/>
    <w:rsid w:val="412C51C3"/>
    <w:rsid w:val="41574BFF"/>
    <w:rsid w:val="415879CD"/>
    <w:rsid w:val="41617E29"/>
    <w:rsid w:val="416E7E42"/>
    <w:rsid w:val="416F3BBA"/>
    <w:rsid w:val="419D0727"/>
    <w:rsid w:val="419E0816"/>
    <w:rsid w:val="41AE151A"/>
    <w:rsid w:val="41B231D0"/>
    <w:rsid w:val="41D164EC"/>
    <w:rsid w:val="41D67F90"/>
    <w:rsid w:val="41D819FE"/>
    <w:rsid w:val="41DA29DF"/>
    <w:rsid w:val="41E82E18"/>
    <w:rsid w:val="41F529AE"/>
    <w:rsid w:val="41FF4F3E"/>
    <w:rsid w:val="4200449D"/>
    <w:rsid w:val="42067FC0"/>
    <w:rsid w:val="420A1906"/>
    <w:rsid w:val="420E1B3C"/>
    <w:rsid w:val="42145195"/>
    <w:rsid w:val="42170907"/>
    <w:rsid w:val="421D510F"/>
    <w:rsid w:val="423174A1"/>
    <w:rsid w:val="42352326"/>
    <w:rsid w:val="423A3BCC"/>
    <w:rsid w:val="423D5A66"/>
    <w:rsid w:val="424554D5"/>
    <w:rsid w:val="4246385A"/>
    <w:rsid w:val="424E57D2"/>
    <w:rsid w:val="425A03C6"/>
    <w:rsid w:val="426008A0"/>
    <w:rsid w:val="42721D88"/>
    <w:rsid w:val="42770F78"/>
    <w:rsid w:val="42862F6A"/>
    <w:rsid w:val="42904AE1"/>
    <w:rsid w:val="42905B96"/>
    <w:rsid w:val="429F2F01"/>
    <w:rsid w:val="42A437B5"/>
    <w:rsid w:val="42A6360C"/>
    <w:rsid w:val="42B26C49"/>
    <w:rsid w:val="42C94C70"/>
    <w:rsid w:val="42CC2E88"/>
    <w:rsid w:val="42CD0B98"/>
    <w:rsid w:val="42D44BBB"/>
    <w:rsid w:val="42E46117"/>
    <w:rsid w:val="42F00D2B"/>
    <w:rsid w:val="42F04D60"/>
    <w:rsid w:val="42F73E67"/>
    <w:rsid w:val="42FB2C82"/>
    <w:rsid w:val="42FBF877"/>
    <w:rsid w:val="43044EAF"/>
    <w:rsid w:val="43397FDC"/>
    <w:rsid w:val="433A6FE6"/>
    <w:rsid w:val="433E3844"/>
    <w:rsid w:val="43480868"/>
    <w:rsid w:val="434C41B3"/>
    <w:rsid w:val="4350713C"/>
    <w:rsid w:val="436653E0"/>
    <w:rsid w:val="4378363E"/>
    <w:rsid w:val="438055AA"/>
    <w:rsid w:val="43884ABF"/>
    <w:rsid w:val="439872EA"/>
    <w:rsid w:val="43A77868"/>
    <w:rsid w:val="43AE0FE5"/>
    <w:rsid w:val="43AE4585"/>
    <w:rsid w:val="43B807E2"/>
    <w:rsid w:val="43BD6E5F"/>
    <w:rsid w:val="43C4431A"/>
    <w:rsid w:val="43D23F8D"/>
    <w:rsid w:val="43E24923"/>
    <w:rsid w:val="43F822ED"/>
    <w:rsid w:val="440844E4"/>
    <w:rsid w:val="44227892"/>
    <w:rsid w:val="442F4208"/>
    <w:rsid w:val="44314E59"/>
    <w:rsid w:val="444B1F6B"/>
    <w:rsid w:val="44664067"/>
    <w:rsid w:val="447C6E42"/>
    <w:rsid w:val="44864E15"/>
    <w:rsid w:val="449851D6"/>
    <w:rsid w:val="44A578BE"/>
    <w:rsid w:val="44A61061"/>
    <w:rsid w:val="44B951CC"/>
    <w:rsid w:val="44C01C01"/>
    <w:rsid w:val="44C8625E"/>
    <w:rsid w:val="44CD14E0"/>
    <w:rsid w:val="44DA2E3E"/>
    <w:rsid w:val="44EC575F"/>
    <w:rsid w:val="44EF2AC9"/>
    <w:rsid w:val="44F20B0B"/>
    <w:rsid w:val="44FB5A20"/>
    <w:rsid w:val="44FB6886"/>
    <w:rsid w:val="44FD328B"/>
    <w:rsid w:val="450F521B"/>
    <w:rsid w:val="45103B2A"/>
    <w:rsid w:val="452E5F4C"/>
    <w:rsid w:val="453F1647"/>
    <w:rsid w:val="45594965"/>
    <w:rsid w:val="45612018"/>
    <w:rsid w:val="458361FD"/>
    <w:rsid w:val="458946E9"/>
    <w:rsid w:val="458B7D17"/>
    <w:rsid w:val="45A47C0E"/>
    <w:rsid w:val="45C673D4"/>
    <w:rsid w:val="45C95632"/>
    <w:rsid w:val="45E83F3B"/>
    <w:rsid w:val="45ED3300"/>
    <w:rsid w:val="45F112D2"/>
    <w:rsid w:val="461B64FC"/>
    <w:rsid w:val="461B7554"/>
    <w:rsid w:val="461F4105"/>
    <w:rsid w:val="4628259D"/>
    <w:rsid w:val="462D5B65"/>
    <w:rsid w:val="46577A69"/>
    <w:rsid w:val="46577FD6"/>
    <w:rsid w:val="465E472E"/>
    <w:rsid w:val="46671432"/>
    <w:rsid w:val="468F5FA7"/>
    <w:rsid w:val="4696453C"/>
    <w:rsid w:val="4698326B"/>
    <w:rsid w:val="4699566E"/>
    <w:rsid w:val="46AE4F07"/>
    <w:rsid w:val="46B81F46"/>
    <w:rsid w:val="46BC1650"/>
    <w:rsid w:val="46BC5031"/>
    <w:rsid w:val="46C0497F"/>
    <w:rsid w:val="46CB71DA"/>
    <w:rsid w:val="46CC1C7E"/>
    <w:rsid w:val="46D955A7"/>
    <w:rsid w:val="46DD3329"/>
    <w:rsid w:val="46E60548"/>
    <w:rsid w:val="46E925F6"/>
    <w:rsid w:val="46F8591B"/>
    <w:rsid w:val="46FE0D9E"/>
    <w:rsid w:val="47133957"/>
    <w:rsid w:val="471C45CD"/>
    <w:rsid w:val="47431429"/>
    <w:rsid w:val="475573AE"/>
    <w:rsid w:val="47586A71"/>
    <w:rsid w:val="475E7E9A"/>
    <w:rsid w:val="47783DFD"/>
    <w:rsid w:val="477B3863"/>
    <w:rsid w:val="477D02F4"/>
    <w:rsid w:val="479578D1"/>
    <w:rsid w:val="479B5206"/>
    <w:rsid w:val="47A07E0C"/>
    <w:rsid w:val="47CB7257"/>
    <w:rsid w:val="47CD163B"/>
    <w:rsid w:val="47F8505C"/>
    <w:rsid w:val="48084421"/>
    <w:rsid w:val="4826547F"/>
    <w:rsid w:val="482F0C67"/>
    <w:rsid w:val="483033DF"/>
    <w:rsid w:val="48420A18"/>
    <w:rsid w:val="484F63E3"/>
    <w:rsid w:val="485F4CCA"/>
    <w:rsid w:val="487015C1"/>
    <w:rsid w:val="4870272E"/>
    <w:rsid w:val="48823069"/>
    <w:rsid w:val="48993DF6"/>
    <w:rsid w:val="48C26CC5"/>
    <w:rsid w:val="48C63026"/>
    <w:rsid w:val="48F53030"/>
    <w:rsid w:val="49004091"/>
    <w:rsid w:val="49043360"/>
    <w:rsid w:val="490B55D4"/>
    <w:rsid w:val="490E3791"/>
    <w:rsid w:val="491D3EFC"/>
    <w:rsid w:val="491F286C"/>
    <w:rsid w:val="495105E0"/>
    <w:rsid w:val="4955220D"/>
    <w:rsid w:val="49556A28"/>
    <w:rsid w:val="4958025B"/>
    <w:rsid w:val="49783D18"/>
    <w:rsid w:val="497F591F"/>
    <w:rsid w:val="498856E0"/>
    <w:rsid w:val="4999217F"/>
    <w:rsid w:val="49A56804"/>
    <w:rsid w:val="49AF4200"/>
    <w:rsid w:val="49B139CE"/>
    <w:rsid w:val="49B303BC"/>
    <w:rsid w:val="49B605D8"/>
    <w:rsid w:val="49BB5BEF"/>
    <w:rsid w:val="49D40A5E"/>
    <w:rsid w:val="49D42220"/>
    <w:rsid w:val="49D547D7"/>
    <w:rsid w:val="49D64D25"/>
    <w:rsid w:val="49DC7715"/>
    <w:rsid w:val="49E74D9E"/>
    <w:rsid w:val="49E7523B"/>
    <w:rsid w:val="49ED279D"/>
    <w:rsid w:val="49F033BE"/>
    <w:rsid w:val="49F71BA4"/>
    <w:rsid w:val="4A023139"/>
    <w:rsid w:val="4A0A43D5"/>
    <w:rsid w:val="4A2B0E54"/>
    <w:rsid w:val="4A2F038B"/>
    <w:rsid w:val="4A381CE6"/>
    <w:rsid w:val="4A4D0811"/>
    <w:rsid w:val="4A565ECA"/>
    <w:rsid w:val="4A613290"/>
    <w:rsid w:val="4A681D15"/>
    <w:rsid w:val="4A761B16"/>
    <w:rsid w:val="4A7B576F"/>
    <w:rsid w:val="4A9260A4"/>
    <w:rsid w:val="4AA85A47"/>
    <w:rsid w:val="4AAB455F"/>
    <w:rsid w:val="4AAC47D9"/>
    <w:rsid w:val="4AB9081B"/>
    <w:rsid w:val="4AC9433B"/>
    <w:rsid w:val="4AD4683C"/>
    <w:rsid w:val="4AE86BB0"/>
    <w:rsid w:val="4AEB31B1"/>
    <w:rsid w:val="4AF561A9"/>
    <w:rsid w:val="4B025D52"/>
    <w:rsid w:val="4B072D99"/>
    <w:rsid w:val="4B0E1224"/>
    <w:rsid w:val="4B1F34B0"/>
    <w:rsid w:val="4B211696"/>
    <w:rsid w:val="4B2C097C"/>
    <w:rsid w:val="4B2E23F0"/>
    <w:rsid w:val="4B314652"/>
    <w:rsid w:val="4B3F31FE"/>
    <w:rsid w:val="4B423BAB"/>
    <w:rsid w:val="4B4972DD"/>
    <w:rsid w:val="4B7B0767"/>
    <w:rsid w:val="4B7D66FE"/>
    <w:rsid w:val="4B8678A9"/>
    <w:rsid w:val="4B89618B"/>
    <w:rsid w:val="4B9366F7"/>
    <w:rsid w:val="4B9A41FD"/>
    <w:rsid w:val="4B9E5257"/>
    <w:rsid w:val="4BA97CC9"/>
    <w:rsid w:val="4BB87F0C"/>
    <w:rsid w:val="4BC15E36"/>
    <w:rsid w:val="4BD72A88"/>
    <w:rsid w:val="4BDD03DB"/>
    <w:rsid w:val="4BE25835"/>
    <w:rsid w:val="4BEE7E1E"/>
    <w:rsid w:val="4BF22297"/>
    <w:rsid w:val="4BFA22D2"/>
    <w:rsid w:val="4C043151"/>
    <w:rsid w:val="4C054E36"/>
    <w:rsid w:val="4C0B523D"/>
    <w:rsid w:val="4C255A6B"/>
    <w:rsid w:val="4C2A3E38"/>
    <w:rsid w:val="4C390ED0"/>
    <w:rsid w:val="4C441E13"/>
    <w:rsid w:val="4C4A0649"/>
    <w:rsid w:val="4C602A7D"/>
    <w:rsid w:val="4C653E79"/>
    <w:rsid w:val="4C6E0C92"/>
    <w:rsid w:val="4C7D5CAE"/>
    <w:rsid w:val="4C7E5ECA"/>
    <w:rsid w:val="4C876AA5"/>
    <w:rsid w:val="4C946A98"/>
    <w:rsid w:val="4C9A2718"/>
    <w:rsid w:val="4CA51196"/>
    <w:rsid w:val="4CA67C81"/>
    <w:rsid w:val="4CC0176E"/>
    <w:rsid w:val="4CC76F6F"/>
    <w:rsid w:val="4CD9491D"/>
    <w:rsid w:val="4CDD5E7C"/>
    <w:rsid w:val="4CE77681"/>
    <w:rsid w:val="4D0E00FB"/>
    <w:rsid w:val="4D176606"/>
    <w:rsid w:val="4D18093C"/>
    <w:rsid w:val="4D1A63FD"/>
    <w:rsid w:val="4D367F96"/>
    <w:rsid w:val="4D4117DC"/>
    <w:rsid w:val="4D487B45"/>
    <w:rsid w:val="4D57223F"/>
    <w:rsid w:val="4D617684"/>
    <w:rsid w:val="4D7543C7"/>
    <w:rsid w:val="4D801908"/>
    <w:rsid w:val="4D9546D0"/>
    <w:rsid w:val="4D9555B0"/>
    <w:rsid w:val="4D99394E"/>
    <w:rsid w:val="4DB03E5F"/>
    <w:rsid w:val="4DB722AA"/>
    <w:rsid w:val="4DCA28A4"/>
    <w:rsid w:val="4DD03C33"/>
    <w:rsid w:val="4DDD67AB"/>
    <w:rsid w:val="4DEC4FB0"/>
    <w:rsid w:val="4E075D8A"/>
    <w:rsid w:val="4E07740D"/>
    <w:rsid w:val="4E130246"/>
    <w:rsid w:val="4E345F70"/>
    <w:rsid w:val="4E3D226A"/>
    <w:rsid w:val="4E4874CC"/>
    <w:rsid w:val="4E53328F"/>
    <w:rsid w:val="4E571781"/>
    <w:rsid w:val="4E65453D"/>
    <w:rsid w:val="4E6C5BCA"/>
    <w:rsid w:val="4E706685"/>
    <w:rsid w:val="4E7738A7"/>
    <w:rsid w:val="4E7740AE"/>
    <w:rsid w:val="4EA16E8D"/>
    <w:rsid w:val="4EBA721F"/>
    <w:rsid w:val="4EC00FAD"/>
    <w:rsid w:val="4EF8378A"/>
    <w:rsid w:val="4EFE6CD3"/>
    <w:rsid w:val="4EFF657E"/>
    <w:rsid w:val="4F1258DB"/>
    <w:rsid w:val="4F2277A6"/>
    <w:rsid w:val="4F244236"/>
    <w:rsid w:val="4F346236"/>
    <w:rsid w:val="4F3B035D"/>
    <w:rsid w:val="4F3F2683"/>
    <w:rsid w:val="4F4D3920"/>
    <w:rsid w:val="4F651C2A"/>
    <w:rsid w:val="4F6942A3"/>
    <w:rsid w:val="4F6F1D68"/>
    <w:rsid w:val="4F8A0E2A"/>
    <w:rsid w:val="4F8D0EEC"/>
    <w:rsid w:val="4F8D612B"/>
    <w:rsid w:val="4F963744"/>
    <w:rsid w:val="4F9843DC"/>
    <w:rsid w:val="4FB31E3F"/>
    <w:rsid w:val="4FBA06F6"/>
    <w:rsid w:val="4FBE1FC3"/>
    <w:rsid w:val="4FC62A8C"/>
    <w:rsid w:val="4FDE49F7"/>
    <w:rsid w:val="4FE20F0D"/>
    <w:rsid w:val="4FE51552"/>
    <w:rsid w:val="4FEC24A1"/>
    <w:rsid w:val="4FF97471"/>
    <w:rsid w:val="500856AD"/>
    <w:rsid w:val="500D3812"/>
    <w:rsid w:val="50504C4B"/>
    <w:rsid w:val="50505B08"/>
    <w:rsid w:val="506C4AD6"/>
    <w:rsid w:val="50707007"/>
    <w:rsid w:val="507763AC"/>
    <w:rsid w:val="508825A3"/>
    <w:rsid w:val="509C6E7C"/>
    <w:rsid w:val="50BC1E3F"/>
    <w:rsid w:val="50C06290"/>
    <w:rsid w:val="50CC06E1"/>
    <w:rsid w:val="50D20736"/>
    <w:rsid w:val="50D45F65"/>
    <w:rsid w:val="50D97572"/>
    <w:rsid w:val="50F5311C"/>
    <w:rsid w:val="50FA004A"/>
    <w:rsid w:val="5110325B"/>
    <w:rsid w:val="51135C2F"/>
    <w:rsid w:val="51316796"/>
    <w:rsid w:val="513405D8"/>
    <w:rsid w:val="51341102"/>
    <w:rsid w:val="513E2C61"/>
    <w:rsid w:val="5141363B"/>
    <w:rsid w:val="515B7C84"/>
    <w:rsid w:val="515D57DD"/>
    <w:rsid w:val="5162104E"/>
    <w:rsid w:val="51663269"/>
    <w:rsid w:val="516B614C"/>
    <w:rsid w:val="517D7C2E"/>
    <w:rsid w:val="518325DC"/>
    <w:rsid w:val="51BA49DE"/>
    <w:rsid w:val="51C770FB"/>
    <w:rsid w:val="51CD5850"/>
    <w:rsid w:val="51E97071"/>
    <w:rsid w:val="51F26AE3"/>
    <w:rsid w:val="51F54F86"/>
    <w:rsid w:val="520B348B"/>
    <w:rsid w:val="520F06C4"/>
    <w:rsid w:val="52132340"/>
    <w:rsid w:val="52155F28"/>
    <w:rsid w:val="5221680B"/>
    <w:rsid w:val="522C7F13"/>
    <w:rsid w:val="523F5F72"/>
    <w:rsid w:val="52407D8A"/>
    <w:rsid w:val="5247004B"/>
    <w:rsid w:val="524753D3"/>
    <w:rsid w:val="524A6190"/>
    <w:rsid w:val="524D5BC9"/>
    <w:rsid w:val="525A6DA2"/>
    <w:rsid w:val="525D7614"/>
    <w:rsid w:val="52640853"/>
    <w:rsid w:val="526B3FF2"/>
    <w:rsid w:val="527B1ABA"/>
    <w:rsid w:val="527D03E3"/>
    <w:rsid w:val="52911BE2"/>
    <w:rsid w:val="529A2986"/>
    <w:rsid w:val="52A32B2C"/>
    <w:rsid w:val="52AD3126"/>
    <w:rsid w:val="52BD7392"/>
    <w:rsid w:val="52DB2E5E"/>
    <w:rsid w:val="52E71802"/>
    <w:rsid w:val="52EC7DA6"/>
    <w:rsid w:val="52F061DD"/>
    <w:rsid w:val="52F47489"/>
    <w:rsid w:val="52F91162"/>
    <w:rsid w:val="531F3A40"/>
    <w:rsid w:val="53311C69"/>
    <w:rsid w:val="535309E8"/>
    <w:rsid w:val="53561994"/>
    <w:rsid w:val="5356766B"/>
    <w:rsid w:val="535A3997"/>
    <w:rsid w:val="535B5D4C"/>
    <w:rsid w:val="536804FF"/>
    <w:rsid w:val="536F43D9"/>
    <w:rsid w:val="5373753A"/>
    <w:rsid w:val="538C7778"/>
    <w:rsid w:val="539D6365"/>
    <w:rsid w:val="53A039CC"/>
    <w:rsid w:val="53A1505A"/>
    <w:rsid w:val="53B222F9"/>
    <w:rsid w:val="53BC5115"/>
    <w:rsid w:val="53BD2563"/>
    <w:rsid w:val="53BE2C8A"/>
    <w:rsid w:val="53C90E62"/>
    <w:rsid w:val="53D14261"/>
    <w:rsid w:val="53EA0B45"/>
    <w:rsid w:val="53EC2E48"/>
    <w:rsid w:val="53FA4BD9"/>
    <w:rsid w:val="54063E08"/>
    <w:rsid w:val="54063F0A"/>
    <w:rsid w:val="54073461"/>
    <w:rsid w:val="54161C73"/>
    <w:rsid w:val="542034FC"/>
    <w:rsid w:val="54210D44"/>
    <w:rsid w:val="54260108"/>
    <w:rsid w:val="542850EC"/>
    <w:rsid w:val="54334D27"/>
    <w:rsid w:val="543437E8"/>
    <w:rsid w:val="54363530"/>
    <w:rsid w:val="543F11CA"/>
    <w:rsid w:val="54487BBE"/>
    <w:rsid w:val="54530EF2"/>
    <w:rsid w:val="545509EE"/>
    <w:rsid w:val="54705395"/>
    <w:rsid w:val="54760726"/>
    <w:rsid w:val="548D1D4F"/>
    <w:rsid w:val="54910643"/>
    <w:rsid w:val="549551D2"/>
    <w:rsid w:val="549A60AE"/>
    <w:rsid w:val="54B27C94"/>
    <w:rsid w:val="54B74543"/>
    <w:rsid w:val="54B908EF"/>
    <w:rsid w:val="54E51628"/>
    <w:rsid w:val="54F73313"/>
    <w:rsid w:val="54F80955"/>
    <w:rsid w:val="54FE03F7"/>
    <w:rsid w:val="550F6DEF"/>
    <w:rsid w:val="551F7522"/>
    <w:rsid w:val="5520491D"/>
    <w:rsid w:val="55222FC6"/>
    <w:rsid w:val="55260CD4"/>
    <w:rsid w:val="55364483"/>
    <w:rsid w:val="55434D26"/>
    <w:rsid w:val="55471870"/>
    <w:rsid w:val="555170A7"/>
    <w:rsid w:val="556D27F1"/>
    <w:rsid w:val="556E620B"/>
    <w:rsid w:val="5576499F"/>
    <w:rsid w:val="558477DD"/>
    <w:rsid w:val="5587536D"/>
    <w:rsid w:val="558779E2"/>
    <w:rsid w:val="55896B48"/>
    <w:rsid w:val="559B174B"/>
    <w:rsid w:val="559F241A"/>
    <w:rsid w:val="55A2261E"/>
    <w:rsid w:val="55AF2CD7"/>
    <w:rsid w:val="55B42290"/>
    <w:rsid w:val="55BC40CE"/>
    <w:rsid w:val="55BE1F0F"/>
    <w:rsid w:val="55CE0CF4"/>
    <w:rsid w:val="55CE2806"/>
    <w:rsid w:val="55EA2B96"/>
    <w:rsid w:val="55F539DC"/>
    <w:rsid w:val="56054C51"/>
    <w:rsid w:val="560A5808"/>
    <w:rsid w:val="560E3ABA"/>
    <w:rsid w:val="561B6634"/>
    <w:rsid w:val="5624337B"/>
    <w:rsid w:val="56395CD0"/>
    <w:rsid w:val="56466DC2"/>
    <w:rsid w:val="56484A62"/>
    <w:rsid w:val="56487733"/>
    <w:rsid w:val="565E09A4"/>
    <w:rsid w:val="56727CCF"/>
    <w:rsid w:val="56831D28"/>
    <w:rsid w:val="568E01E7"/>
    <w:rsid w:val="56A21AEA"/>
    <w:rsid w:val="56A31EE4"/>
    <w:rsid w:val="56AD4913"/>
    <w:rsid w:val="56B22A9C"/>
    <w:rsid w:val="56B241BA"/>
    <w:rsid w:val="56F924D1"/>
    <w:rsid w:val="56FB7AA1"/>
    <w:rsid w:val="57030BD5"/>
    <w:rsid w:val="57120E18"/>
    <w:rsid w:val="57136096"/>
    <w:rsid w:val="57247942"/>
    <w:rsid w:val="573301D9"/>
    <w:rsid w:val="573E1C0D"/>
    <w:rsid w:val="57550519"/>
    <w:rsid w:val="57581692"/>
    <w:rsid w:val="575B3465"/>
    <w:rsid w:val="57623B4D"/>
    <w:rsid w:val="57651A91"/>
    <w:rsid w:val="5767596D"/>
    <w:rsid w:val="57716611"/>
    <w:rsid w:val="577B4A94"/>
    <w:rsid w:val="57947A7F"/>
    <w:rsid w:val="57A30264"/>
    <w:rsid w:val="57A520B5"/>
    <w:rsid w:val="57AA7BFD"/>
    <w:rsid w:val="57B72A76"/>
    <w:rsid w:val="57BC0615"/>
    <w:rsid w:val="57C3426C"/>
    <w:rsid w:val="57C91D28"/>
    <w:rsid w:val="57CB65E9"/>
    <w:rsid w:val="57CE1F93"/>
    <w:rsid w:val="57D15505"/>
    <w:rsid w:val="57D460CD"/>
    <w:rsid w:val="57DD471E"/>
    <w:rsid w:val="57DD5015"/>
    <w:rsid w:val="57E15B41"/>
    <w:rsid w:val="57E3666D"/>
    <w:rsid w:val="57EF60A8"/>
    <w:rsid w:val="57F265A9"/>
    <w:rsid w:val="57F272B6"/>
    <w:rsid w:val="57F65106"/>
    <w:rsid w:val="580F2173"/>
    <w:rsid w:val="581A2008"/>
    <w:rsid w:val="581D5018"/>
    <w:rsid w:val="58223E5C"/>
    <w:rsid w:val="58262DCD"/>
    <w:rsid w:val="582836A2"/>
    <w:rsid w:val="58292741"/>
    <w:rsid w:val="582E7771"/>
    <w:rsid w:val="58343043"/>
    <w:rsid w:val="583849FF"/>
    <w:rsid w:val="584668BB"/>
    <w:rsid w:val="58512AAC"/>
    <w:rsid w:val="58596050"/>
    <w:rsid w:val="588743D1"/>
    <w:rsid w:val="5887701A"/>
    <w:rsid w:val="58915AC4"/>
    <w:rsid w:val="58954EE5"/>
    <w:rsid w:val="58AB5080"/>
    <w:rsid w:val="58AB72D6"/>
    <w:rsid w:val="58B06B3A"/>
    <w:rsid w:val="58B40FF6"/>
    <w:rsid w:val="58B8154B"/>
    <w:rsid w:val="58CD4B97"/>
    <w:rsid w:val="58CE1D37"/>
    <w:rsid w:val="58CE1DF6"/>
    <w:rsid w:val="58D06B9C"/>
    <w:rsid w:val="58E32A6C"/>
    <w:rsid w:val="58E94B63"/>
    <w:rsid w:val="58F16F4C"/>
    <w:rsid w:val="58F907E4"/>
    <w:rsid w:val="590A3BEF"/>
    <w:rsid w:val="590C428F"/>
    <w:rsid w:val="59215342"/>
    <w:rsid w:val="59217119"/>
    <w:rsid w:val="59246BE1"/>
    <w:rsid w:val="593A2E32"/>
    <w:rsid w:val="594A12C4"/>
    <w:rsid w:val="59516454"/>
    <w:rsid w:val="595E4E0A"/>
    <w:rsid w:val="596A4F3B"/>
    <w:rsid w:val="59757322"/>
    <w:rsid w:val="597A2BAB"/>
    <w:rsid w:val="598C4A22"/>
    <w:rsid w:val="59B05DDF"/>
    <w:rsid w:val="59B63C79"/>
    <w:rsid w:val="59BB12F3"/>
    <w:rsid w:val="59BD41B5"/>
    <w:rsid w:val="59BF7DF1"/>
    <w:rsid w:val="59C0439F"/>
    <w:rsid w:val="59C13FC6"/>
    <w:rsid w:val="59C4663F"/>
    <w:rsid w:val="59CC3A4A"/>
    <w:rsid w:val="59E34024"/>
    <w:rsid w:val="59E720E8"/>
    <w:rsid w:val="59F44190"/>
    <w:rsid w:val="59FC3E54"/>
    <w:rsid w:val="5A2275C4"/>
    <w:rsid w:val="5A5836E3"/>
    <w:rsid w:val="5A591600"/>
    <w:rsid w:val="5A7700FC"/>
    <w:rsid w:val="5A8D60DE"/>
    <w:rsid w:val="5A981634"/>
    <w:rsid w:val="5ABA0982"/>
    <w:rsid w:val="5ABC66B1"/>
    <w:rsid w:val="5ABE2233"/>
    <w:rsid w:val="5AD308BE"/>
    <w:rsid w:val="5ADF26A5"/>
    <w:rsid w:val="5AE07EA6"/>
    <w:rsid w:val="5AF56A87"/>
    <w:rsid w:val="5AF6280C"/>
    <w:rsid w:val="5B015C80"/>
    <w:rsid w:val="5B053265"/>
    <w:rsid w:val="5B1C4013"/>
    <w:rsid w:val="5B1E7D8B"/>
    <w:rsid w:val="5B4E56CB"/>
    <w:rsid w:val="5B5C4D58"/>
    <w:rsid w:val="5B635DAE"/>
    <w:rsid w:val="5B864E83"/>
    <w:rsid w:val="5B8A3673"/>
    <w:rsid w:val="5B962018"/>
    <w:rsid w:val="5B9820C7"/>
    <w:rsid w:val="5BA142A2"/>
    <w:rsid w:val="5BAE2B14"/>
    <w:rsid w:val="5BB7588C"/>
    <w:rsid w:val="5BB834CE"/>
    <w:rsid w:val="5BBA3375"/>
    <w:rsid w:val="5BBE331C"/>
    <w:rsid w:val="5BBF7A6C"/>
    <w:rsid w:val="5BC20DFB"/>
    <w:rsid w:val="5BD20958"/>
    <w:rsid w:val="5BDF3596"/>
    <w:rsid w:val="5BDF5D95"/>
    <w:rsid w:val="5BF253F9"/>
    <w:rsid w:val="5BFE7528"/>
    <w:rsid w:val="5C007CAF"/>
    <w:rsid w:val="5C0F2B1B"/>
    <w:rsid w:val="5C17098F"/>
    <w:rsid w:val="5C25291D"/>
    <w:rsid w:val="5C303710"/>
    <w:rsid w:val="5C327338"/>
    <w:rsid w:val="5C39535B"/>
    <w:rsid w:val="5C574BB9"/>
    <w:rsid w:val="5C584438"/>
    <w:rsid w:val="5C594DF3"/>
    <w:rsid w:val="5C6B5F19"/>
    <w:rsid w:val="5C6B6D6A"/>
    <w:rsid w:val="5C7774D3"/>
    <w:rsid w:val="5C7C0A70"/>
    <w:rsid w:val="5C8015B9"/>
    <w:rsid w:val="5CAE778C"/>
    <w:rsid w:val="5CB1603E"/>
    <w:rsid w:val="5CD959D8"/>
    <w:rsid w:val="5CE11A7D"/>
    <w:rsid w:val="5CE70651"/>
    <w:rsid w:val="5CEB01DF"/>
    <w:rsid w:val="5CFA2138"/>
    <w:rsid w:val="5D0D76FD"/>
    <w:rsid w:val="5D333896"/>
    <w:rsid w:val="5D542564"/>
    <w:rsid w:val="5D647D0A"/>
    <w:rsid w:val="5D6B3030"/>
    <w:rsid w:val="5D755C5D"/>
    <w:rsid w:val="5D7A6E98"/>
    <w:rsid w:val="5D872F91"/>
    <w:rsid w:val="5D87330E"/>
    <w:rsid w:val="5D8C2110"/>
    <w:rsid w:val="5D8C64D8"/>
    <w:rsid w:val="5DA0717E"/>
    <w:rsid w:val="5DAB49FC"/>
    <w:rsid w:val="5DB5623F"/>
    <w:rsid w:val="5DB744C7"/>
    <w:rsid w:val="5DB85260"/>
    <w:rsid w:val="5DC51882"/>
    <w:rsid w:val="5DC80482"/>
    <w:rsid w:val="5DD10A46"/>
    <w:rsid w:val="5DD24E5D"/>
    <w:rsid w:val="5DDA3CF8"/>
    <w:rsid w:val="5DE075AA"/>
    <w:rsid w:val="5E050024"/>
    <w:rsid w:val="5E0D204F"/>
    <w:rsid w:val="5E0F7E5F"/>
    <w:rsid w:val="5E203E1A"/>
    <w:rsid w:val="5E231BA8"/>
    <w:rsid w:val="5E2467F1"/>
    <w:rsid w:val="5E2751A9"/>
    <w:rsid w:val="5E430333"/>
    <w:rsid w:val="5E5266D8"/>
    <w:rsid w:val="5E5622FE"/>
    <w:rsid w:val="5E5646F0"/>
    <w:rsid w:val="5E6F6EE3"/>
    <w:rsid w:val="5E7E1BA7"/>
    <w:rsid w:val="5E820631"/>
    <w:rsid w:val="5E8A3C6A"/>
    <w:rsid w:val="5E8E6FD6"/>
    <w:rsid w:val="5EC03819"/>
    <w:rsid w:val="5ED417C8"/>
    <w:rsid w:val="5EDC43D7"/>
    <w:rsid w:val="5EEB0497"/>
    <w:rsid w:val="5F0A26CD"/>
    <w:rsid w:val="5F0D3DD3"/>
    <w:rsid w:val="5F103135"/>
    <w:rsid w:val="5F1A2B43"/>
    <w:rsid w:val="5F225C82"/>
    <w:rsid w:val="5F254932"/>
    <w:rsid w:val="5F2636B2"/>
    <w:rsid w:val="5F291AF7"/>
    <w:rsid w:val="5F3028E1"/>
    <w:rsid w:val="5F385DC0"/>
    <w:rsid w:val="5F39195F"/>
    <w:rsid w:val="5F3A0F0C"/>
    <w:rsid w:val="5F48187B"/>
    <w:rsid w:val="5F5479F7"/>
    <w:rsid w:val="5F6863D4"/>
    <w:rsid w:val="5F700252"/>
    <w:rsid w:val="5F8026CF"/>
    <w:rsid w:val="5F8111C9"/>
    <w:rsid w:val="5F837967"/>
    <w:rsid w:val="5F8403D9"/>
    <w:rsid w:val="5F8F74AA"/>
    <w:rsid w:val="5F903222"/>
    <w:rsid w:val="5FAB3BB8"/>
    <w:rsid w:val="5FB40CBE"/>
    <w:rsid w:val="5FB837BB"/>
    <w:rsid w:val="5FBF08B9"/>
    <w:rsid w:val="5FBF09D3"/>
    <w:rsid w:val="5FC1162D"/>
    <w:rsid w:val="5FC56F33"/>
    <w:rsid w:val="5FD0250C"/>
    <w:rsid w:val="5FD27F1D"/>
    <w:rsid w:val="5FD9017D"/>
    <w:rsid w:val="5FEE686D"/>
    <w:rsid w:val="5FF24F59"/>
    <w:rsid w:val="60043CF7"/>
    <w:rsid w:val="600D4872"/>
    <w:rsid w:val="6042276E"/>
    <w:rsid w:val="60423DBA"/>
    <w:rsid w:val="604673F0"/>
    <w:rsid w:val="604C5268"/>
    <w:rsid w:val="605A05BE"/>
    <w:rsid w:val="605D1356"/>
    <w:rsid w:val="607E0B3E"/>
    <w:rsid w:val="608541AF"/>
    <w:rsid w:val="608A17DF"/>
    <w:rsid w:val="608D2202"/>
    <w:rsid w:val="60A3613E"/>
    <w:rsid w:val="60BD1213"/>
    <w:rsid w:val="60BD64CE"/>
    <w:rsid w:val="60C03693"/>
    <w:rsid w:val="60CC405A"/>
    <w:rsid w:val="60CE1B91"/>
    <w:rsid w:val="60CE4C92"/>
    <w:rsid w:val="60D6123A"/>
    <w:rsid w:val="60E23609"/>
    <w:rsid w:val="610A35B5"/>
    <w:rsid w:val="610B5EF0"/>
    <w:rsid w:val="611011BF"/>
    <w:rsid w:val="61135EB8"/>
    <w:rsid w:val="61191825"/>
    <w:rsid w:val="611D098C"/>
    <w:rsid w:val="61256F9D"/>
    <w:rsid w:val="61291238"/>
    <w:rsid w:val="612E3E9B"/>
    <w:rsid w:val="614239B0"/>
    <w:rsid w:val="61493688"/>
    <w:rsid w:val="614B5E3E"/>
    <w:rsid w:val="61520B37"/>
    <w:rsid w:val="615A2999"/>
    <w:rsid w:val="615C5723"/>
    <w:rsid w:val="61671D60"/>
    <w:rsid w:val="616B6125"/>
    <w:rsid w:val="616C06FB"/>
    <w:rsid w:val="616C10DA"/>
    <w:rsid w:val="61706E67"/>
    <w:rsid w:val="617709A1"/>
    <w:rsid w:val="61AF1857"/>
    <w:rsid w:val="61BA45C6"/>
    <w:rsid w:val="61C95D7F"/>
    <w:rsid w:val="61CE220D"/>
    <w:rsid w:val="61E215D8"/>
    <w:rsid w:val="61FC053C"/>
    <w:rsid w:val="6200643D"/>
    <w:rsid w:val="62037CDB"/>
    <w:rsid w:val="62045801"/>
    <w:rsid w:val="620D375F"/>
    <w:rsid w:val="621B3775"/>
    <w:rsid w:val="623115A4"/>
    <w:rsid w:val="62364782"/>
    <w:rsid w:val="624B51DE"/>
    <w:rsid w:val="625072CC"/>
    <w:rsid w:val="625B74C0"/>
    <w:rsid w:val="62643C8F"/>
    <w:rsid w:val="6265244E"/>
    <w:rsid w:val="626F35C2"/>
    <w:rsid w:val="62792AF3"/>
    <w:rsid w:val="6286080D"/>
    <w:rsid w:val="628D4AF5"/>
    <w:rsid w:val="62917095"/>
    <w:rsid w:val="629B6525"/>
    <w:rsid w:val="62AE40EB"/>
    <w:rsid w:val="62B1701C"/>
    <w:rsid w:val="62B35552"/>
    <w:rsid w:val="62DD43E8"/>
    <w:rsid w:val="62EE721B"/>
    <w:rsid w:val="62F15D85"/>
    <w:rsid w:val="62F456E4"/>
    <w:rsid w:val="62FB09B2"/>
    <w:rsid w:val="631940F9"/>
    <w:rsid w:val="63224191"/>
    <w:rsid w:val="63322D72"/>
    <w:rsid w:val="63332665"/>
    <w:rsid w:val="63362564"/>
    <w:rsid w:val="633914DA"/>
    <w:rsid w:val="633B43D5"/>
    <w:rsid w:val="633C098C"/>
    <w:rsid w:val="633F5DED"/>
    <w:rsid w:val="6343455A"/>
    <w:rsid w:val="63542494"/>
    <w:rsid w:val="637134F5"/>
    <w:rsid w:val="637310F4"/>
    <w:rsid w:val="63732C3E"/>
    <w:rsid w:val="637B05EB"/>
    <w:rsid w:val="6381535B"/>
    <w:rsid w:val="6389035D"/>
    <w:rsid w:val="6394356A"/>
    <w:rsid w:val="639D5E87"/>
    <w:rsid w:val="63C27F15"/>
    <w:rsid w:val="63C61B2C"/>
    <w:rsid w:val="63D11B7D"/>
    <w:rsid w:val="63D26C76"/>
    <w:rsid w:val="63D40BE9"/>
    <w:rsid w:val="63D60B8C"/>
    <w:rsid w:val="63D81C48"/>
    <w:rsid w:val="63D84C75"/>
    <w:rsid w:val="63DB5069"/>
    <w:rsid w:val="63EA75B7"/>
    <w:rsid w:val="63F72FC2"/>
    <w:rsid w:val="63FE3165"/>
    <w:rsid w:val="640C6B11"/>
    <w:rsid w:val="64102431"/>
    <w:rsid w:val="64262FF7"/>
    <w:rsid w:val="64293E68"/>
    <w:rsid w:val="64404D76"/>
    <w:rsid w:val="645E2DFA"/>
    <w:rsid w:val="64780250"/>
    <w:rsid w:val="64975914"/>
    <w:rsid w:val="64A5243A"/>
    <w:rsid w:val="64C442E5"/>
    <w:rsid w:val="64CA0C53"/>
    <w:rsid w:val="64CD71FF"/>
    <w:rsid w:val="64DB47D3"/>
    <w:rsid w:val="64E8143E"/>
    <w:rsid w:val="64F531DE"/>
    <w:rsid w:val="64FE6E73"/>
    <w:rsid w:val="65046244"/>
    <w:rsid w:val="65066CFA"/>
    <w:rsid w:val="6512748D"/>
    <w:rsid w:val="651346D9"/>
    <w:rsid w:val="651D593C"/>
    <w:rsid w:val="652341F0"/>
    <w:rsid w:val="65273670"/>
    <w:rsid w:val="653463FD"/>
    <w:rsid w:val="65373578"/>
    <w:rsid w:val="65386C6F"/>
    <w:rsid w:val="655E7DB8"/>
    <w:rsid w:val="656E28DC"/>
    <w:rsid w:val="65845963"/>
    <w:rsid w:val="65926060"/>
    <w:rsid w:val="65A04370"/>
    <w:rsid w:val="65A215B9"/>
    <w:rsid w:val="65A478BB"/>
    <w:rsid w:val="65C27E97"/>
    <w:rsid w:val="65CA3AA1"/>
    <w:rsid w:val="65CE0600"/>
    <w:rsid w:val="65DE4CE7"/>
    <w:rsid w:val="65E41BD1"/>
    <w:rsid w:val="65E50F99"/>
    <w:rsid w:val="65ED4F2A"/>
    <w:rsid w:val="65F31F7E"/>
    <w:rsid w:val="66011BC9"/>
    <w:rsid w:val="66050F85"/>
    <w:rsid w:val="660B2168"/>
    <w:rsid w:val="660D012C"/>
    <w:rsid w:val="660F0969"/>
    <w:rsid w:val="661076B9"/>
    <w:rsid w:val="662234A0"/>
    <w:rsid w:val="662D512A"/>
    <w:rsid w:val="66307CD5"/>
    <w:rsid w:val="66324980"/>
    <w:rsid w:val="66331170"/>
    <w:rsid w:val="663F5459"/>
    <w:rsid w:val="664E4A2B"/>
    <w:rsid w:val="66544FA9"/>
    <w:rsid w:val="66560085"/>
    <w:rsid w:val="666700A6"/>
    <w:rsid w:val="66677D6A"/>
    <w:rsid w:val="666920D7"/>
    <w:rsid w:val="6678134D"/>
    <w:rsid w:val="66867433"/>
    <w:rsid w:val="668855B2"/>
    <w:rsid w:val="668D49B0"/>
    <w:rsid w:val="669730E8"/>
    <w:rsid w:val="66B214DE"/>
    <w:rsid w:val="66B612EF"/>
    <w:rsid w:val="66BC2B4E"/>
    <w:rsid w:val="66CC6A0C"/>
    <w:rsid w:val="66DD1A4D"/>
    <w:rsid w:val="671C250E"/>
    <w:rsid w:val="671F124A"/>
    <w:rsid w:val="672030DD"/>
    <w:rsid w:val="67277FC8"/>
    <w:rsid w:val="673B5329"/>
    <w:rsid w:val="67420E22"/>
    <w:rsid w:val="674F16DF"/>
    <w:rsid w:val="6765022C"/>
    <w:rsid w:val="67693DA5"/>
    <w:rsid w:val="676C1E7F"/>
    <w:rsid w:val="677A33C6"/>
    <w:rsid w:val="677A4D8E"/>
    <w:rsid w:val="677B2C08"/>
    <w:rsid w:val="678216A2"/>
    <w:rsid w:val="679E4055"/>
    <w:rsid w:val="67BC65B1"/>
    <w:rsid w:val="67C1666E"/>
    <w:rsid w:val="67CB0BB4"/>
    <w:rsid w:val="67E915D7"/>
    <w:rsid w:val="68132C71"/>
    <w:rsid w:val="68163EEA"/>
    <w:rsid w:val="681F3395"/>
    <w:rsid w:val="681F6961"/>
    <w:rsid w:val="682409AB"/>
    <w:rsid w:val="68263CE8"/>
    <w:rsid w:val="68263E9E"/>
    <w:rsid w:val="682B3AE8"/>
    <w:rsid w:val="68401F12"/>
    <w:rsid w:val="68530179"/>
    <w:rsid w:val="68555503"/>
    <w:rsid w:val="68610A2F"/>
    <w:rsid w:val="68680244"/>
    <w:rsid w:val="686B349E"/>
    <w:rsid w:val="686E1AC6"/>
    <w:rsid w:val="687007CD"/>
    <w:rsid w:val="687B5F39"/>
    <w:rsid w:val="68805514"/>
    <w:rsid w:val="689045BD"/>
    <w:rsid w:val="68994090"/>
    <w:rsid w:val="689C49E5"/>
    <w:rsid w:val="68A23FD5"/>
    <w:rsid w:val="68A6612F"/>
    <w:rsid w:val="68B8118E"/>
    <w:rsid w:val="68BA1F98"/>
    <w:rsid w:val="68C10C18"/>
    <w:rsid w:val="68C97485"/>
    <w:rsid w:val="68DC63A7"/>
    <w:rsid w:val="68DE6677"/>
    <w:rsid w:val="68E356D5"/>
    <w:rsid w:val="68E7003B"/>
    <w:rsid w:val="68EE2989"/>
    <w:rsid w:val="68F62348"/>
    <w:rsid w:val="69116C18"/>
    <w:rsid w:val="69307669"/>
    <w:rsid w:val="69316E2F"/>
    <w:rsid w:val="693D6A2C"/>
    <w:rsid w:val="694E2071"/>
    <w:rsid w:val="695D5489"/>
    <w:rsid w:val="695F5E0D"/>
    <w:rsid w:val="69766163"/>
    <w:rsid w:val="697A3B33"/>
    <w:rsid w:val="69872D29"/>
    <w:rsid w:val="69886D18"/>
    <w:rsid w:val="698C5399"/>
    <w:rsid w:val="699B2906"/>
    <w:rsid w:val="69A80198"/>
    <w:rsid w:val="69A94CB8"/>
    <w:rsid w:val="69AE5C9F"/>
    <w:rsid w:val="69AF4AA6"/>
    <w:rsid w:val="69B66D5B"/>
    <w:rsid w:val="69BA3375"/>
    <w:rsid w:val="69BC2B35"/>
    <w:rsid w:val="69CD7CD3"/>
    <w:rsid w:val="69D07516"/>
    <w:rsid w:val="69D44760"/>
    <w:rsid w:val="69EC0ABC"/>
    <w:rsid w:val="69F97B76"/>
    <w:rsid w:val="69FF4345"/>
    <w:rsid w:val="6A1152F1"/>
    <w:rsid w:val="6A161929"/>
    <w:rsid w:val="6A1E0F36"/>
    <w:rsid w:val="6A2A7862"/>
    <w:rsid w:val="6A3C421B"/>
    <w:rsid w:val="6A402023"/>
    <w:rsid w:val="6A463B0D"/>
    <w:rsid w:val="6A520EC7"/>
    <w:rsid w:val="6A56527A"/>
    <w:rsid w:val="6A5C555C"/>
    <w:rsid w:val="6A783C95"/>
    <w:rsid w:val="6A7B050E"/>
    <w:rsid w:val="6A7B675C"/>
    <w:rsid w:val="6A7B77E5"/>
    <w:rsid w:val="6A90177C"/>
    <w:rsid w:val="6A946868"/>
    <w:rsid w:val="6A9E62E3"/>
    <w:rsid w:val="6AA80752"/>
    <w:rsid w:val="6AAB1802"/>
    <w:rsid w:val="6AB853DB"/>
    <w:rsid w:val="6AC02C0D"/>
    <w:rsid w:val="6ACB4B63"/>
    <w:rsid w:val="6ADB515F"/>
    <w:rsid w:val="6AE121A5"/>
    <w:rsid w:val="6AE368FC"/>
    <w:rsid w:val="6AEC4C9A"/>
    <w:rsid w:val="6AED32D6"/>
    <w:rsid w:val="6AF71D66"/>
    <w:rsid w:val="6AF87E20"/>
    <w:rsid w:val="6B160F51"/>
    <w:rsid w:val="6B1D240A"/>
    <w:rsid w:val="6B1E1197"/>
    <w:rsid w:val="6B291E9F"/>
    <w:rsid w:val="6B322639"/>
    <w:rsid w:val="6B427AC6"/>
    <w:rsid w:val="6B55176A"/>
    <w:rsid w:val="6B6317EA"/>
    <w:rsid w:val="6B917F23"/>
    <w:rsid w:val="6B930322"/>
    <w:rsid w:val="6BC202CC"/>
    <w:rsid w:val="6BC35117"/>
    <w:rsid w:val="6BD34BC2"/>
    <w:rsid w:val="6BE071F2"/>
    <w:rsid w:val="6BE57A43"/>
    <w:rsid w:val="6BE813A9"/>
    <w:rsid w:val="6BE91392"/>
    <w:rsid w:val="6BFB7761"/>
    <w:rsid w:val="6C054650"/>
    <w:rsid w:val="6C0B0523"/>
    <w:rsid w:val="6C163938"/>
    <w:rsid w:val="6C1F118E"/>
    <w:rsid w:val="6C276CBC"/>
    <w:rsid w:val="6C295F03"/>
    <w:rsid w:val="6C2D7ACA"/>
    <w:rsid w:val="6C5547BC"/>
    <w:rsid w:val="6C636C38"/>
    <w:rsid w:val="6C6931E9"/>
    <w:rsid w:val="6C8E0883"/>
    <w:rsid w:val="6C9334D8"/>
    <w:rsid w:val="6CA46DDE"/>
    <w:rsid w:val="6CB15858"/>
    <w:rsid w:val="6CB74FB9"/>
    <w:rsid w:val="6CB84A2C"/>
    <w:rsid w:val="6CB85226"/>
    <w:rsid w:val="6CC147F8"/>
    <w:rsid w:val="6CE559BA"/>
    <w:rsid w:val="6CE741A4"/>
    <w:rsid w:val="6CE75460"/>
    <w:rsid w:val="6D0C7126"/>
    <w:rsid w:val="6D0F4FF9"/>
    <w:rsid w:val="6D0F7208"/>
    <w:rsid w:val="6D1234C8"/>
    <w:rsid w:val="6D17599C"/>
    <w:rsid w:val="6D2F1364"/>
    <w:rsid w:val="6D301158"/>
    <w:rsid w:val="6D362F49"/>
    <w:rsid w:val="6D380807"/>
    <w:rsid w:val="6D4C69DA"/>
    <w:rsid w:val="6D543AE1"/>
    <w:rsid w:val="6D57712D"/>
    <w:rsid w:val="6D6D6950"/>
    <w:rsid w:val="6D7A6D81"/>
    <w:rsid w:val="6D7A7A21"/>
    <w:rsid w:val="6D866BBE"/>
    <w:rsid w:val="6D877A12"/>
    <w:rsid w:val="6D8E2425"/>
    <w:rsid w:val="6D8F0B3E"/>
    <w:rsid w:val="6D8F694D"/>
    <w:rsid w:val="6D932388"/>
    <w:rsid w:val="6D9336AA"/>
    <w:rsid w:val="6D941941"/>
    <w:rsid w:val="6DA42B5B"/>
    <w:rsid w:val="6DAE16FC"/>
    <w:rsid w:val="6DB24BA6"/>
    <w:rsid w:val="6DB34098"/>
    <w:rsid w:val="6DB545B6"/>
    <w:rsid w:val="6DB70DD5"/>
    <w:rsid w:val="6DD45814"/>
    <w:rsid w:val="6DE02FB4"/>
    <w:rsid w:val="6DE272B9"/>
    <w:rsid w:val="6E052669"/>
    <w:rsid w:val="6E0A23F1"/>
    <w:rsid w:val="6E1E2019"/>
    <w:rsid w:val="6E1E4550"/>
    <w:rsid w:val="6E3F17E2"/>
    <w:rsid w:val="6E3F391B"/>
    <w:rsid w:val="6E407BC1"/>
    <w:rsid w:val="6E421B8B"/>
    <w:rsid w:val="6E514CED"/>
    <w:rsid w:val="6E751F61"/>
    <w:rsid w:val="6E7A09C0"/>
    <w:rsid w:val="6E8F1D46"/>
    <w:rsid w:val="6E91666F"/>
    <w:rsid w:val="6E91693F"/>
    <w:rsid w:val="6EB00668"/>
    <w:rsid w:val="6EB563D5"/>
    <w:rsid w:val="6EBA1DA3"/>
    <w:rsid w:val="6ECE1671"/>
    <w:rsid w:val="6ED10A12"/>
    <w:rsid w:val="6ED92677"/>
    <w:rsid w:val="6EE669BA"/>
    <w:rsid w:val="6EE80984"/>
    <w:rsid w:val="6EEC7B15"/>
    <w:rsid w:val="6EF26947"/>
    <w:rsid w:val="6EF35CA9"/>
    <w:rsid w:val="6EF80163"/>
    <w:rsid w:val="6EFD038E"/>
    <w:rsid w:val="6F002E86"/>
    <w:rsid w:val="6F060E0B"/>
    <w:rsid w:val="6F155D90"/>
    <w:rsid w:val="6F225983"/>
    <w:rsid w:val="6F2D283B"/>
    <w:rsid w:val="6F2E3EBD"/>
    <w:rsid w:val="6F386058"/>
    <w:rsid w:val="6F413BF1"/>
    <w:rsid w:val="6F4715AA"/>
    <w:rsid w:val="6F651FD5"/>
    <w:rsid w:val="6F653D83"/>
    <w:rsid w:val="6F6D2C38"/>
    <w:rsid w:val="6F6E1366"/>
    <w:rsid w:val="6F9A00E9"/>
    <w:rsid w:val="6FBE3493"/>
    <w:rsid w:val="6FC56207"/>
    <w:rsid w:val="6FCB5F90"/>
    <w:rsid w:val="6FCE4CDF"/>
    <w:rsid w:val="6FD31EE3"/>
    <w:rsid w:val="6FE53304"/>
    <w:rsid w:val="6FEF2BEA"/>
    <w:rsid w:val="6FF2782A"/>
    <w:rsid w:val="6FF77C9C"/>
    <w:rsid w:val="6FF84BF7"/>
    <w:rsid w:val="6FFC5590"/>
    <w:rsid w:val="6FFE5B01"/>
    <w:rsid w:val="6FFF64DB"/>
    <w:rsid w:val="70037513"/>
    <w:rsid w:val="700C42A0"/>
    <w:rsid w:val="700D1A89"/>
    <w:rsid w:val="70105F86"/>
    <w:rsid w:val="703827E5"/>
    <w:rsid w:val="70390D6C"/>
    <w:rsid w:val="70480FAF"/>
    <w:rsid w:val="70671D88"/>
    <w:rsid w:val="706C2B24"/>
    <w:rsid w:val="706D1DD0"/>
    <w:rsid w:val="707E4184"/>
    <w:rsid w:val="70856B87"/>
    <w:rsid w:val="709E3D5C"/>
    <w:rsid w:val="709E5C68"/>
    <w:rsid w:val="70C4661B"/>
    <w:rsid w:val="70D0270E"/>
    <w:rsid w:val="70D527EE"/>
    <w:rsid w:val="70E07B8E"/>
    <w:rsid w:val="70EA2AE6"/>
    <w:rsid w:val="70ED7BA7"/>
    <w:rsid w:val="70EF6902"/>
    <w:rsid w:val="710342FF"/>
    <w:rsid w:val="710C68B0"/>
    <w:rsid w:val="7122081F"/>
    <w:rsid w:val="712E0895"/>
    <w:rsid w:val="712E63F7"/>
    <w:rsid w:val="71321D00"/>
    <w:rsid w:val="71341527"/>
    <w:rsid w:val="713A44ED"/>
    <w:rsid w:val="71413EDA"/>
    <w:rsid w:val="71432F6D"/>
    <w:rsid w:val="715B5300"/>
    <w:rsid w:val="716257D9"/>
    <w:rsid w:val="71697B4B"/>
    <w:rsid w:val="716A4F70"/>
    <w:rsid w:val="716E0FE5"/>
    <w:rsid w:val="71867640"/>
    <w:rsid w:val="71881FAB"/>
    <w:rsid w:val="71900A0A"/>
    <w:rsid w:val="719114FE"/>
    <w:rsid w:val="719B360D"/>
    <w:rsid w:val="71D06CE2"/>
    <w:rsid w:val="71D21478"/>
    <w:rsid w:val="71D27F8A"/>
    <w:rsid w:val="71D62582"/>
    <w:rsid w:val="71E22E06"/>
    <w:rsid w:val="71F413EE"/>
    <w:rsid w:val="722F68CA"/>
    <w:rsid w:val="72322714"/>
    <w:rsid w:val="724539F8"/>
    <w:rsid w:val="72481C5D"/>
    <w:rsid w:val="724C09B1"/>
    <w:rsid w:val="72507719"/>
    <w:rsid w:val="72553024"/>
    <w:rsid w:val="726C4C6D"/>
    <w:rsid w:val="726F0DCC"/>
    <w:rsid w:val="72730565"/>
    <w:rsid w:val="728D3EB3"/>
    <w:rsid w:val="72916C3D"/>
    <w:rsid w:val="72AB785C"/>
    <w:rsid w:val="72B556A2"/>
    <w:rsid w:val="72C946EA"/>
    <w:rsid w:val="72C97DC4"/>
    <w:rsid w:val="72CC4119"/>
    <w:rsid w:val="72D943A3"/>
    <w:rsid w:val="72DA6836"/>
    <w:rsid w:val="72DB49AB"/>
    <w:rsid w:val="72E74E37"/>
    <w:rsid w:val="72F07E08"/>
    <w:rsid w:val="72F84F0E"/>
    <w:rsid w:val="72FF22FB"/>
    <w:rsid w:val="73122968"/>
    <w:rsid w:val="73165394"/>
    <w:rsid w:val="731C6E4F"/>
    <w:rsid w:val="731C7A0B"/>
    <w:rsid w:val="731F5D5E"/>
    <w:rsid w:val="73251192"/>
    <w:rsid w:val="732E4011"/>
    <w:rsid w:val="73410D84"/>
    <w:rsid w:val="734F4565"/>
    <w:rsid w:val="73B40E35"/>
    <w:rsid w:val="73C51AD5"/>
    <w:rsid w:val="73D343FD"/>
    <w:rsid w:val="73F66D7A"/>
    <w:rsid w:val="740E067B"/>
    <w:rsid w:val="74146E06"/>
    <w:rsid w:val="741E793C"/>
    <w:rsid w:val="74363F40"/>
    <w:rsid w:val="7440702B"/>
    <w:rsid w:val="74464137"/>
    <w:rsid w:val="74597CAA"/>
    <w:rsid w:val="745C2A06"/>
    <w:rsid w:val="745E3944"/>
    <w:rsid w:val="747304B8"/>
    <w:rsid w:val="747456A2"/>
    <w:rsid w:val="7476258E"/>
    <w:rsid w:val="747800B5"/>
    <w:rsid w:val="748062D7"/>
    <w:rsid w:val="74827185"/>
    <w:rsid w:val="748F39D0"/>
    <w:rsid w:val="7499671F"/>
    <w:rsid w:val="74B91CB3"/>
    <w:rsid w:val="74C13068"/>
    <w:rsid w:val="74C74B98"/>
    <w:rsid w:val="74D06143"/>
    <w:rsid w:val="74DB0643"/>
    <w:rsid w:val="74E9443F"/>
    <w:rsid w:val="74EB6AD9"/>
    <w:rsid w:val="74F870A4"/>
    <w:rsid w:val="75067F17"/>
    <w:rsid w:val="750923F8"/>
    <w:rsid w:val="750F1E65"/>
    <w:rsid w:val="751122B7"/>
    <w:rsid w:val="75227EF9"/>
    <w:rsid w:val="75481D3F"/>
    <w:rsid w:val="754937FF"/>
    <w:rsid w:val="75631380"/>
    <w:rsid w:val="75692B58"/>
    <w:rsid w:val="756D6679"/>
    <w:rsid w:val="757271FA"/>
    <w:rsid w:val="757840E4"/>
    <w:rsid w:val="758962F1"/>
    <w:rsid w:val="759C4277"/>
    <w:rsid w:val="75A60C51"/>
    <w:rsid w:val="75AB270C"/>
    <w:rsid w:val="75B50A1F"/>
    <w:rsid w:val="75BF1D13"/>
    <w:rsid w:val="75D30471"/>
    <w:rsid w:val="75D31F92"/>
    <w:rsid w:val="75E11C8A"/>
    <w:rsid w:val="75FA2D4B"/>
    <w:rsid w:val="760925E8"/>
    <w:rsid w:val="760C3A0E"/>
    <w:rsid w:val="761067CB"/>
    <w:rsid w:val="7635099D"/>
    <w:rsid w:val="76386AF6"/>
    <w:rsid w:val="763D7808"/>
    <w:rsid w:val="764D5B18"/>
    <w:rsid w:val="765435FA"/>
    <w:rsid w:val="76562678"/>
    <w:rsid w:val="76567B78"/>
    <w:rsid w:val="76592168"/>
    <w:rsid w:val="76634D94"/>
    <w:rsid w:val="76667528"/>
    <w:rsid w:val="76725441"/>
    <w:rsid w:val="767835CC"/>
    <w:rsid w:val="76812133"/>
    <w:rsid w:val="76832E46"/>
    <w:rsid w:val="76857DB0"/>
    <w:rsid w:val="76A1067C"/>
    <w:rsid w:val="76AA29C3"/>
    <w:rsid w:val="76B24BB1"/>
    <w:rsid w:val="76B77334"/>
    <w:rsid w:val="76BA5CC7"/>
    <w:rsid w:val="76C566F9"/>
    <w:rsid w:val="76CD04E1"/>
    <w:rsid w:val="76CF4A23"/>
    <w:rsid w:val="76EE465E"/>
    <w:rsid w:val="76F35D7D"/>
    <w:rsid w:val="77094A87"/>
    <w:rsid w:val="771222FF"/>
    <w:rsid w:val="77147E3D"/>
    <w:rsid w:val="77193646"/>
    <w:rsid w:val="771D13E7"/>
    <w:rsid w:val="774B0F59"/>
    <w:rsid w:val="776471F5"/>
    <w:rsid w:val="776672F5"/>
    <w:rsid w:val="776A57DA"/>
    <w:rsid w:val="776F784A"/>
    <w:rsid w:val="77762421"/>
    <w:rsid w:val="779F3BAA"/>
    <w:rsid w:val="77A613DD"/>
    <w:rsid w:val="77A967D7"/>
    <w:rsid w:val="77B56B1F"/>
    <w:rsid w:val="77B65241"/>
    <w:rsid w:val="77B92EBE"/>
    <w:rsid w:val="77D97608"/>
    <w:rsid w:val="77E221CB"/>
    <w:rsid w:val="77EA017F"/>
    <w:rsid w:val="77F24A45"/>
    <w:rsid w:val="78077602"/>
    <w:rsid w:val="780F09F4"/>
    <w:rsid w:val="781225CE"/>
    <w:rsid w:val="781C2EF4"/>
    <w:rsid w:val="782567A5"/>
    <w:rsid w:val="78372BB5"/>
    <w:rsid w:val="78482E4C"/>
    <w:rsid w:val="784A1D68"/>
    <w:rsid w:val="784B4363"/>
    <w:rsid w:val="785B7C6A"/>
    <w:rsid w:val="786951E9"/>
    <w:rsid w:val="78802CF9"/>
    <w:rsid w:val="78876232"/>
    <w:rsid w:val="788E1365"/>
    <w:rsid w:val="788F6D08"/>
    <w:rsid w:val="78976847"/>
    <w:rsid w:val="7898226E"/>
    <w:rsid w:val="789B5C69"/>
    <w:rsid w:val="78A66C2F"/>
    <w:rsid w:val="78A90480"/>
    <w:rsid w:val="78B35B5F"/>
    <w:rsid w:val="78CC6C21"/>
    <w:rsid w:val="78E028BB"/>
    <w:rsid w:val="78E91F5B"/>
    <w:rsid w:val="78FA0555"/>
    <w:rsid w:val="790C4AD2"/>
    <w:rsid w:val="791C569E"/>
    <w:rsid w:val="792A1B99"/>
    <w:rsid w:val="794C29F4"/>
    <w:rsid w:val="79583A44"/>
    <w:rsid w:val="795C5CED"/>
    <w:rsid w:val="795D34C2"/>
    <w:rsid w:val="795F34E7"/>
    <w:rsid w:val="79646270"/>
    <w:rsid w:val="796E5A0C"/>
    <w:rsid w:val="797177C8"/>
    <w:rsid w:val="797915E8"/>
    <w:rsid w:val="7982531A"/>
    <w:rsid w:val="79845254"/>
    <w:rsid w:val="79963DB7"/>
    <w:rsid w:val="79AC5390"/>
    <w:rsid w:val="79B71651"/>
    <w:rsid w:val="79E24D40"/>
    <w:rsid w:val="79F7087C"/>
    <w:rsid w:val="79FA5BE7"/>
    <w:rsid w:val="79FF3026"/>
    <w:rsid w:val="7A0B19CB"/>
    <w:rsid w:val="7A132F5F"/>
    <w:rsid w:val="7A287E87"/>
    <w:rsid w:val="7A364017"/>
    <w:rsid w:val="7A37631C"/>
    <w:rsid w:val="7A3C1B84"/>
    <w:rsid w:val="7A400E84"/>
    <w:rsid w:val="7A477AC9"/>
    <w:rsid w:val="7A496EA5"/>
    <w:rsid w:val="7A513882"/>
    <w:rsid w:val="7A5344EF"/>
    <w:rsid w:val="7A6A04A0"/>
    <w:rsid w:val="7A7D5EE5"/>
    <w:rsid w:val="7A80497C"/>
    <w:rsid w:val="7A8265E1"/>
    <w:rsid w:val="7A8F6158"/>
    <w:rsid w:val="7AA00365"/>
    <w:rsid w:val="7AB0115F"/>
    <w:rsid w:val="7ABA3491"/>
    <w:rsid w:val="7AC54F72"/>
    <w:rsid w:val="7AC77F2D"/>
    <w:rsid w:val="7AE220D3"/>
    <w:rsid w:val="7AE7727D"/>
    <w:rsid w:val="7AF6673A"/>
    <w:rsid w:val="7AF95776"/>
    <w:rsid w:val="7B234AF2"/>
    <w:rsid w:val="7B3311D9"/>
    <w:rsid w:val="7B42766E"/>
    <w:rsid w:val="7B46400D"/>
    <w:rsid w:val="7B466960"/>
    <w:rsid w:val="7B5A6779"/>
    <w:rsid w:val="7B605DC2"/>
    <w:rsid w:val="7B6172DF"/>
    <w:rsid w:val="7B686D42"/>
    <w:rsid w:val="7B711D02"/>
    <w:rsid w:val="7B8302ED"/>
    <w:rsid w:val="7B841746"/>
    <w:rsid w:val="7B9D48A5"/>
    <w:rsid w:val="7BB0282A"/>
    <w:rsid w:val="7BB67EA3"/>
    <w:rsid w:val="7BD57309"/>
    <w:rsid w:val="7BD847BF"/>
    <w:rsid w:val="7BE84529"/>
    <w:rsid w:val="7BF22E42"/>
    <w:rsid w:val="7C02728F"/>
    <w:rsid w:val="7C0548E9"/>
    <w:rsid w:val="7C0B77AC"/>
    <w:rsid w:val="7C0C417E"/>
    <w:rsid w:val="7C0D17A1"/>
    <w:rsid w:val="7C154D25"/>
    <w:rsid w:val="7C2154D6"/>
    <w:rsid w:val="7C3842D7"/>
    <w:rsid w:val="7C5238E1"/>
    <w:rsid w:val="7C5555FF"/>
    <w:rsid w:val="7C5A2796"/>
    <w:rsid w:val="7C6C5AC7"/>
    <w:rsid w:val="7C707874"/>
    <w:rsid w:val="7C760C70"/>
    <w:rsid w:val="7C962B89"/>
    <w:rsid w:val="7C991609"/>
    <w:rsid w:val="7C9F25E0"/>
    <w:rsid w:val="7CAD62AC"/>
    <w:rsid w:val="7CB41EA6"/>
    <w:rsid w:val="7CBF4679"/>
    <w:rsid w:val="7CC6544B"/>
    <w:rsid w:val="7CCA791B"/>
    <w:rsid w:val="7CE26B65"/>
    <w:rsid w:val="7CE32934"/>
    <w:rsid w:val="7CEC3CDA"/>
    <w:rsid w:val="7D007F4B"/>
    <w:rsid w:val="7D0239FF"/>
    <w:rsid w:val="7D1A6700"/>
    <w:rsid w:val="7D276B1C"/>
    <w:rsid w:val="7D300994"/>
    <w:rsid w:val="7D3857DB"/>
    <w:rsid w:val="7D576182"/>
    <w:rsid w:val="7D591BDB"/>
    <w:rsid w:val="7D5E40CD"/>
    <w:rsid w:val="7D6E0CBF"/>
    <w:rsid w:val="7D840A4B"/>
    <w:rsid w:val="7D852DB9"/>
    <w:rsid w:val="7D8950E1"/>
    <w:rsid w:val="7D965A4F"/>
    <w:rsid w:val="7D974376"/>
    <w:rsid w:val="7D9C42EE"/>
    <w:rsid w:val="7D9E6686"/>
    <w:rsid w:val="7DCC0512"/>
    <w:rsid w:val="7DCD56F2"/>
    <w:rsid w:val="7DD2720D"/>
    <w:rsid w:val="7DD73CE9"/>
    <w:rsid w:val="7DF74740"/>
    <w:rsid w:val="7E035597"/>
    <w:rsid w:val="7E18277A"/>
    <w:rsid w:val="7E307C52"/>
    <w:rsid w:val="7E4D4ABE"/>
    <w:rsid w:val="7E625E94"/>
    <w:rsid w:val="7E6C6D44"/>
    <w:rsid w:val="7E6E42D6"/>
    <w:rsid w:val="7E8A314B"/>
    <w:rsid w:val="7E8A6B7A"/>
    <w:rsid w:val="7E927652"/>
    <w:rsid w:val="7E93145D"/>
    <w:rsid w:val="7E9349B9"/>
    <w:rsid w:val="7E974B18"/>
    <w:rsid w:val="7EB838C2"/>
    <w:rsid w:val="7EC14A50"/>
    <w:rsid w:val="7ECA59B1"/>
    <w:rsid w:val="7ED64BD8"/>
    <w:rsid w:val="7EEA1BAF"/>
    <w:rsid w:val="7EF43C93"/>
    <w:rsid w:val="7F001CE7"/>
    <w:rsid w:val="7F0D5092"/>
    <w:rsid w:val="7F102A8F"/>
    <w:rsid w:val="7F2F1CB8"/>
    <w:rsid w:val="7F300DB6"/>
    <w:rsid w:val="7F363046"/>
    <w:rsid w:val="7F463383"/>
    <w:rsid w:val="7F4C286A"/>
    <w:rsid w:val="7F4C620F"/>
    <w:rsid w:val="7F951CF6"/>
    <w:rsid w:val="7FA66FB5"/>
    <w:rsid w:val="7FAD27F1"/>
    <w:rsid w:val="7FB43C90"/>
    <w:rsid w:val="7FCE0C2C"/>
    <w:rsid w:val="7FD340FE"/>
    <w:rsid w:val="7FE47E50"/>
    <w:rsid w:val="7FEB1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qFormat="1" w:uiPriority="99"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72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99"/>
    <w:pPr>
      <w:keepNext/>
      <w:overflowPunct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158"/>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numPr>
        <w:ilvl w:val="2"/>
        <w:numId w:val="1"/>
      </w:numPr>
      <w:tabs>
        <w:tab w:val="left" w:pos="420"/>
        <w:tab w:val="clear" w:pos="0"/>
      </w:tabs>
      <w:ind w:left="0"/>
      <w:jc w:val="left"/>
      <w:outlineLvl w:val="2"/>
    </w:pPr>
    <w:rPr>
      <w:b/>
      <w:sz w:val="28"/>
    </w:rPr>
  </w:style>
  <w:style w:type="paragraph" w:styleId="5">
    <w:name w:val="heading 4"/>
    <w:basedOn w:val="1"/>
    <w:next w:val="1"/>
    <w:qFormat/>
    <w:uiPriority w:val="0"/>
    <w:pPr>
      <w:numPr>
        <w:ilvl w:val="3"/>
        <w:numId w:val="2"/>
      </w:numPr>
      <w:autoSpaceDE w:val="0"/>
      <w:autoSpaceDN w:val="0"/>
      <w:spacing w:before="120" w:after="120"/>
      <w:textAlignment w:val="baseline"/>
      <w:outlineLvl w:val="3"/>
    </w:pPr>
    <w:rPr>
      <w:rFonts w:ascii="宋体" w:hAnsi="Arial" w:eastAsia="楷体_GB2312"/>
      <w:b/>
      <w:kern w:val="24"/>
      <w:szCs w:val="20"/>
    </w:rPr>
  </w:style>
  <w:style w:type="character" w:default="1" w:styleId="38">
    <w:name w:val="Default Paragraph Font"/>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6">
    <w:name w:val="List 3"/>
    <w:basedOn w:val="1"/>
    <w:next w:val="1"/>
    <w:qFormat/>
    <w:uiPriority w:val="0"/>
    <w:pPr>
      <w:ind w:left="100" w:leftChars="400" w:hanging="200" w:hangingChars="200"/>
    </w:pPr>
  </w:style>
  <w:style w:type="paragraph" w:styleId="7">
    <w:name w:val="Normal Indent"/>
    <w:basedOn w:val="1"/>
    <w:next w:val="1"/>
    <w:qFormat/>
    <w:uiPriority w:val="0"/>
    <w:pPr>
      <w:ind w:firstLine="420"/>
    </w:pPr>
  </w:style>
  <w:style w:type="paragraph" w:styleId="8">
    <w:name w:val="caption"/>
    <w:basedOn w:val="1"/>
    <w:next w:val="1"/>
    <w:qFormat/>
    <w:uiPriority w:val="0"/>
    <w:pPr>
      <w:spacing w:beforeLines="50"/>
      <w:ind w:firstLine="0" w:firstLineChars="0"/>
      <w:jc w:val="center"/>
    </w:pPr>
    <w:rPr>
      <w:rFonts w:eastAsia="黑体"/>
      <w:b/>
    </w:rPr>
  </w:style>
  <w:style w:type="paragraph" w:styleId="9">
    <w:name w:val="annotation text"/>
    <w:basedOn w:val="1"/>
    <w:link w:val="98"/>
    <w:semiHidden/>
    <w:qFormat/>
    <w:uiPriority w:val="0"/>
    <w:pPr>
      <w:jc w:val="left"/>
    </w:pPr>
    <w:rPr>
      <w:kern w:val="0"/>
      <w:szCs w:val="20"/>
    </w:rPr>
  </w:style>
  <w:style w:type="paragraph" w:styleId="10">
    <w:name w:val="Body Text"/>
    <w:basedOn w:val="1"/>
    <w:next w:val="1"/>
    <w:link w:val="97"/>
    <w:qFormat/>
    <w:uiPriority w:val="0"/>
    <w:pPr>
      <w:widowControl/>
      <w:spacing w:before="60" w:after="160" w:line="259" w:lineRule="auto"/>
      <w:ind w:right="113"/>
    </w:pPr>
    <w:rPr>
      <w:kern w:val="0"/>
      <w:sz w:val="18"/>
      <w:szCs w:val="20"/>
    </w:rPr>
  </w:style>
  <w:style w:type="paragraph" w:styleId="11">
    <w:name w:val="Body Text Indent"/>
    <w:basedOn w:val="1"/>
    <w:next w:val="12"/>
    <w:link w:val="96"/>
    <w:qFormat/>
    <w:uiPriority w:val="0"/>
    <w:pPr>
      <w:spacing w:after="120"/>
      <w:ind w:left="420" w:leftChars="200"/>
    </w:pPr>
    <w:rPr>
      <w:kern w:val="0"/>
      <w:szCs w:val="20"/>
    </w:rPr>
  </w:style>
  <w:style w:type="paragraph" w:styleId="12">
    <w:name w:val="header"/>
    <w:basedOn w:val="1"/>
    <w:next w:val="13"/>
    <w:link w:val="102"/>
    <w:qFormat/>
    <w:uiPriority w:val="0"/>
    <w:pPr>
      <w:pBdr>
        <w:bottom w:val="single" w:color="auto" w:sz="6" w:space="1"/>
      </w:pBdr>
      <w:tabs>
        <w:tab w:val="center" w:pos="4153"/>
        <w:tab w:val="right" w:pos="8306"/>
      </w:tabs>
      <w:jc w:val="center"/>
    </w:pPr>
    <w:rPr>
      <w:kern w:val="0"/>
      <w:sz w:val="18"/>
      <w:szCs w:val="20"/>
    </w:rPr>
  </w:style>
  <w:style w:type="paragraph" w:customStyle="1" w:styleId="13">
    <w:name w:val="样式5"/>
    <w:basedOn w:val="14"/>
    <w:autoRedefine/>
    <w:qFormat/>
    <w:uiPriority w:val="0"/>
    <w:pPr>
      <w:spacing w:line="360" w:lineRule="auto"/>
      <w:ind w:firstLine="510"/>
    </w:pPr>
    <w:rPr>
      <w:sz w:val="24"/>
    </w:rPr>
  </w:style>
  <w:style w:type="paragraph" w:customStyle="1" w:styleId="14">
    <w:name w:val="font5"/>
    <w:basedOn w:val="1"/>
    <w:autoRedefine/>
    <w:qFormat/>
    <w:uiPriority w:val="0"/>
    <w:pPr>
      <w:widowControl/>
      <w:spacing w:before="100" w:beforeAutospacing="1" w:after="100" w:afterAutospacing="1" w:line="520" w:lineRule="atLeast"/>
      <w:jc w:val="left"/>
    </w:pPr>
    <w:rPr>
      <w:rFonts w:hint="eastAsia" w:ascii="宋体" w:hAnsi="宋体" w:cs="Arial Unicode MS"/>
      <w:kern w:val="0"/>
      <w:sz w:val="18"/>
      <w:szCs w:val="18"/>
    </w:rPr>
  </w:style>
  <w:style w:type="paragraph" w:styleId="15">
    <w:name w:val="Block Text"/>
    <w:basedOn w:val="1"/>
    <w:qFormat/>
    <w:uiPriority w:val="0"/>
    <w:pPr>
      <w:spacing w:before="120" w:line="440" w:lineRule="exact"/>
      <w:ind w:left="284" w:right="284" w:firstLine="567"/>
      <w:textAlignment w:val="baseline"/>
    </w:pPr>
    <w:rPr>
      <w:rFonts w:ascii="楷体_GB2312" w:eastAsia="楷体_GB2312"/>
      <w:spacing w:val="-2"/>
      <w:kern w:val="0"/>
      <w:sz w:val="28"/>
      <w:szCs w:val="20"/>
    </w:rPr>
  </w:style>
  <w:style w:type="paragraph" w:styleId="16">
    <w:name w:val="toc 3"/>
    <w:basedOn w:val="1"/>
    <w:next w:val="1"/>
    <w:qFormat/>
    <w:uiPriority w:val="0"/>
    <w:pPr>
      <w:ind w:left="840" w:leftChars="400"/>
    </w:pPr>
  </w:style>
  <w:style w:type="paragraph" w:styleId="17">
    <w:name w:val="Plain Text"/>
    <w:basedOn w:val="1"/>
    <w:next w:val="7"/>
    <w:link w:val="165"/>
    <w:qFormat/>
    <w:uiPriority w:val="0"/>
    <w:rPr>
      <w:rFonts w:ascii="宋体" w:hAnsi="Courier New"/>
      <w:szCs w:val="21"/>
    </w:rPr>
  </w:style>
  <w:style w:type="paragraph" w:styleId="18">
    <w:name w:val="Date"/>
    <w:basedOn w:val="1"/>
    <w:next w:val="1"/>
    <w:link w:val="99"/>
    <w:qFormat/>
    <w:uiPriority w:val="0"/>
    <w:pPr>
      <w:ind w:left="100" w:leftChars="2500"/>
    </w:pPr>
    <w:rPr>
      <w:kern w:val="0"/>
      <w:szCs w:val="20"/>
    </w:rPr>
  </w:style>
  <w:style w:type="paragraph" w:styleId="19">
    <w:name w:val="Body Text Indent 2"/>
    <w:basedOn w:val="1"/>
    <w:next w:val="1"/>
    <w:qFormat/>
    <w:uiPriority w:val="0"/>
    <w:pPr>
      <w:spacing w:line="500" w:lineRule="exact"/>
      <w:ind w:firstLine="556"/>
    </w:pPr>
    <w:rPr>
      <w:bCs/>
      <w:sz w:val="28"/>
      <w:szCs w:val="20"/>
    </w:rPr>
  </w:style>
  <w:style w:type="paragraph" w:styleId="20">
    <w:name w:val="List Continue 5"/>
    <w:basedOn w:val="1"/>
    <w:unhideWhenUsed/>
    <w:qFormat/>
    <w:uiPriority w:val="99"/>
    <w:pPr>
      <w:spacing w:after="120"/>
      <w:ind w:left="2100" w:leftChars="1000"/>
    </w:pPr>
  </w:style>
  <w:style w:type="paragraph" w:styleId="21">
    <w:name w:val="Balloon Text"/>
    <w:basedOn w:val="1"/>
    <w:link w:val="100"/>
    <w:semiHidden/>
    <w:qFormat/>
    <w:uiPriority w:val="0"/>
    <w:rPr>
      <w:kern w:val="0"/>
      <w:sz w:val="18"/>
      <w:szCs w:val="20"/>
    </w:rPr>
  </w:style>
  <w:style w:type="paragraph" w:styleId="22">
    <w:name w:val="footer"/>
    <w:basedOn w:val="1"/>
    <w:link w:val="101"/>
    <w:qFormat/>
    <w:uiPriority w:val="99"/>
    <w:pPr>
      <w:tabs>
        <w:tab w:val="center" w:pos="4153"/>
        <w:tab w:val="right" w:pos="8306"/>
      </w:tabs>
      <w:jc w:val="left"/>
    </w:pPr>
    <w:rPr>
      <w:kern w:val="0"/>
      <w:sz w:val="18"/>
      <w:szCs w:val="20"/>
    </w:rPr>
  </w:style>
  <w:style w:type="paragraph" w:styleId="23">
    <w:name w:val="envelope return"/>
    <w:basedOn w:val="1"/>
    <w:qFormat/>
    <w:uiPriority w:val="0"/>
    <w:pPr>
      <w:widowControl/>
      <w:spacing w:beforeLines="50" w:afterLines="50"/>
      <w:ind w:firstLine="200"/>
    </w:pPr>
    <w:rPr>
      <w:rFonts w:ascii="Arial" w:hAnsi="Arial" w:cs="Arial"/>
    </w:rPr>
  </w:style>
  <w:style w:type="paragraph" w:styleId="24">
    <w:name w:val="toc 1"/>
    <w:basedOn w:val="1"/>
    <w:next w:val="1"/>
    <w:qFormat/>
    <w:uiPriority w:val="0"/>
  </w:style>
  <w:style w:type="paragraph" w:styleId="25">
    <w:name w:val="index heading"/>
    <w:basedOn w:val="1"/>
    <w:next w:val="26"/>
    <w:semiHidden/>
    <w:qFormat/>
    <w:uiPriority w:val="0"/>
    <w:rPr>
      <w:rFonts w:ascii="Arial" w:hAnsi="Arial" w:cs="Arial"/>
      <w:b/>
      <w:bCs/>
    </w:rPr>
  </w:style>
  <w:style w:type="paragraph" w:styleId="26">
    <w:name w:val="index 1"/>
    <w:basedOn w:val="1"/>
    <w:next w:val="1"/>
    <w:qFormat/>
    <w:uiPriority w:val="0"/>
    <w:pPr>
      <w:spacing w:line="320" w:lineRule="exact"/>
      <w:jc w:val="center"/>
    </w:pPr>
    <w:rPr>
      <w:szCs w:val="21"/>
    </w:rPr>
  </w:style>
  <w:style w:type="paragraph" w:styleId="27">
    <w:name w:val="table of figures"/>
    <w:basedOn w:val="1"/>
    <w:next w:val="1"/>
    <w:qFormat/>
    <w:uiPriority w:val="0"/>
    <w:pPr>
      <w:ind w:left="200" w:leftChars="200" w:hanging="200" w:hangingChars="200"/>
    </w:pPr>
    <w:rPr>
      <w:szCs w:val="21"/>
    </w:rPr>
  </w:style>
  <w:style w:type="paragraph" w:styleId="28">
    <w:name w:val="toc 2"/>
    <w:basedOn w:val="1"/>
    <w:next w:val="1"/>
    <w:qFormat/>
    <w:uiPriority w:val="39"/>
    <w:pPr>
      <w:spacing w:before="240"/>
      <w:jc w:val="left"/>
    </w:pPr>
    <w:rPr>
      <w:b/>
      <w:bCs/>
      <w:sz w:val="20"/>
      <w:szCs w:val="20"/>
    </w:rPr>
  </w:style>
  <w:style w:type="paragraph" w:styleId="29">
    <w:name w:val="Body Text 2"/>
    <w:basedOn w:val="1"/>
    <w:qFormat/>
    <w:uiPriority w:val="0"/>
    <w:pPr>
      <w:spacing w:after="120" w:line="480" w:lineRule="auto"/>
    </w:pPr>
  </w:style>
  <w:style w:type="paragraph" w:styleId="3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rPr>
  </w:style>
  <w:style w:type="paragraph" w:styleId="31">
    <w:name w:val="Normal (Web)"/>
    <w:basedOn w:val="1"/>
    <w:next w:val="32"/>
    <w:link w:val="103"/>
    <w:qFormat/>
    <w:uiPriority w:val="99"/>
    <w:pPr>
      <w:widowControl/>
      <w:spacing w:before="100" w:beforeAutospacing="1" w:after="100" w:afterAutospacing="1"/>
      <w:jc w:val="left"/>
    </w:pPr>
    <w:rPr>
      <w:rFonts w:ascii="宋体" w:hAnsi="宋体"/>
      <w:kern w:val="0"/>
      <w:szCs w:val="20"/>
    </w:rPr>
  </w:style>
  <w:style w:type="paragraph" w:customStyle="1" w:styleId="32">
    <w:name w:val="toc 84"/>
    <w:next w:val="1"/>
    <w:qFormat/>
    <w:uiPriority w:val="99"/>
    <w:pPr>
      <w:wordWrap w:val="0"/>
      <w:ind w:left="2975"/>
      <w:jc w:val="both"/>
    </w:pPr>
    <w:rPr>
      <w:rFonts w:ascii="Times New Roman" w:hAnsi="Times New Roman" w:eastAsia="宋体" w:cs="Times New Roman"/>
      <w:sz w:val="21"/>
      <w:szCs w:val="22"/>
      <w:lang w:val="en-US" w:eastAsia="zh-CN" w:bidi="ar-SA"/>
    </w:rPr>
  </w:style>
  <w:style w:type="paragraph" w:styleId="33">
    <w:name w:val="annotation subject"/>
    <w:basedOn w:val="9"/>
    <w:next w:val="9"/>
    <w:link w:val="104"/>
    <w:semiHidden/>
    <w:qFormat/>
    <w:uiPriority w:val="0"/>
    <w:rPr>
      <w:b/>
    </w:rPr>
  </w:style>
  <w:style w:type="paragraph" w:styleId="34">
    <w:name w:val="Body Text First Indent"/>
    <w:basedOn w:val="10"/>
    <w:next w:val="1"/>
    <w:unhideWhenUsed/>
    <w:qFormat/>
    <w:uiPriority w:val="99"/>
    <w:pPr>
      <w:ind w:firstLine="420" w:firstLineChars="100"/>
    </w:pPr>
    <w:rPr>
      <w:kern w:val="2"/>
      <w:szCs w:val="24"/>
    </w:rPr>
  </w:style>
  <w:style w:type="paragraph" w:styleId="35">
    <w:name w:val="Body Text First Indent 2"/>
    <w:basedOn w:val="11"/>
    <w:next w:val="34"/>
    <w:qFormat/>
    <w:uiPriority w:val="0"/>
    <w:pPr>
      <w:adjustRightInd/>
      <w:ind w:firstLine="420"/>
    </w:pPr>
    <w:rPr>
      <w:kern w:val="2"/>
    </w:r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basedOn w:val="38"/>
    <w:qFormat/>
    <w:uiPriority w:val="0"/>
    <w:rPr>
      <w:b/>
    </w:rPr>
  </w:style>
  <w:style w:type="character" w:styleId="40">
    <w:name w:val="page number"/>
    <w:basedOn w:val="38"/>
    <w:qFormat/>
    <w:uiPriority w:val="0"/>
  </w:style>
  <w:style w:type="character" w:styleId="41">
    <w:name w:val="Emphasis"/>
    <w:basedOn w:val="38"/>
    <w:qFormat/>
    <w:uiPriority w:val="0"/>
    <w:rPr>
      <w:i/>
    </w:rPr>
  </w:style>
  <w:style w:type="character" w:styleId="42">
    <w:name w:val="line number"/>
    <w:basedOn w:val="38"/>
    <w:qFormat/>
    <w:uiPriority w:val="0"/>
  </w:style>
  <w:style w:type="character" w:styleId="43">
    <w:name w:val="Hyperlink"/>
    <w:basedOn w:val="38"/>
    <w:qFormat/>
    <w:uiPriority w:val="0"/>
    <w:rPr>
      <w:color w:val="0000FF"/>
      <w:u w:val="single"/>
    </w:rPr>
  </w:style>
  <w:style w:type="character" w:styleId="44">
    <w:name w:val="annotation reference"/>
    <w:basedOn w:val="38"/>
    <w:semiHidden/>
    <w:qFormat/>
    <w:uiPriority w:val="0"/>
    <w:rPr>
      <w:sz w:val="21"/>
    </w:rPr>
  </w:style>
  <w:style w:type="paragraph" w:customStyle="1" w:styleId="45">
    <w:name w:val="Default"/>
    <w:basedOn w:val="46"/>
    <w:next w:val="35"/>
    <w:qFormat/>
    <w:uiPriority w:val="0"/>
    <w:pPr>
      <w:autoSpaceDE w:val="0"/>
      <w:autoSpaceDN w:val="0"/>
      <w:adjustRightInd w:val="0"/>
    </w:pPr>
    <w:rPr>
      <w:rFonts w:ascii="宋体" w:cs="宋体"/>
      <w:sz w:val="24"/>
    </w:rPr>
  </w:style>
  <w:style w:type="paragraph" w:customStyle="1" w:styleId="46">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7">
    <w:name w:val="表头"/>
    <w:basedOn w:val="8"/>
    <w:next w:val="48"/>
    <w:qFormat/>
    <w:uiPriority w:val="0"/>
    <w:pPr>
      <w:spacing w:line="240" w:lineRule="auto"/>
    </w:pPr>
    <w:rPr>
      <w:rFonts w:eastAsia="宋体"/>
      <w:bCs/>
    </w:rPr>
  </w:style>
  <w:style w:type="paragraph" w:customStyle="1" w:styleId="48">
    <w:name w:val="yt正文"/>
    <w:basedOn w:val="7"/>
    <w:next w:val="19"/>
    <w:qFormat/>
    <w:uiPriority w:val="0"/>
    <w:pPr>
      <w:ind w:firstLine="200"/>
    </w:pPr>
  </w:style>
  <w:style w:type="paragraph" w:customStyle="1" w:styleId="49">
    <w:name w:val="样式 小四 行距: 1.5 倍行距"/>
    <w:basedOn w:val="1"/>
    <w:qFormat/>
    <w:uiPriority w:val="0"/>
    <w:pPr>
      <w:ind w:firstLine="480"/>
    </w:pPr>
    <w:rPr>
      <w:rFonts w:cs="宋体"/>
    </w:rPr>
  </w:style>
  <w:style w:type="paragraph" w:customStyle="1" w:styleId="50">
    <w:name w:val="纯文本1"/>
    <w:basedOn w:val="1"/>
    <w:next w:val="17"/>
    <w:qFormat/>
    <w:uiPriority w:val="99"/>
    <w:rPr>
      <w:rFonts w:ascii="宋体" w:hAnsi="Courier New" w:cs="黑体"/>
      <w:szCs w:val="21"/>
    </w:rPr>
  </w:style>
  <w:style w:type="paragraph" w:customStyle="1" w:styleId="51">
    <w:name w:val="样式35"/>
    <w:next w:val="1"/>
    <w:qFormat/>
    <w:uiPriority w:val="0"/>
    <w:pPr>
      <w:widowControl w:val="0"/>
      <w:spacing w:line="312" w:lineRule="auto"/>
      <w:ind w:firstLine="567"/>
      <w:jc w:val="both"/>
    </w:pPr>
    <w:rPr>
      <w:rFonts w:ascii="宋体" w:hAnsi="Times New Roman" w:eastAsia="宋体" w:cs="Times New Roman"/>
      <w:kern w:val="2"/>
      <w:sz w:val="28"/>
      <w:szCs w:val="24"/>
      <w:lang w:val="en-US" w:eastAsia="zh-CN" w:bidi="ar-SA"/>
    </w:rPr>
  </w:style>
  <w:style w:type="paragraph" w:customStyle="1" w:styleId="52">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customStyle="1" w:styleId="53">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4">
    <w:name w:val="表格文字"/>
    <w:basedOn w:val="1"/>
    <w:next w:val="1"/>
    <w:qFormat/>
    <w:uiPriority w:val="0"/>
    <w:pPr>
      <w:pBdr>
        <w:top w:val="none" w:color="auto" w:sz="0" w:space="1"/>
        <w:left w:val="none" w:color="auto" w:sz="0" w:space="4"/>
        <w:bottom w:val="none" w:color="auto" w:sz="0" w:space="1"/>
        <w:right w:val="none" w:color="auto" w:sz="0" w:space="4"/>
      </w:pBdr>
      <w:autoSpaceDE w:val="0"/>
      <w:autoSpaceDN w:val="0"/>
      <w:spacing w:line="240" w:lineRule="auto"/>
      <w:ind w:firstLine="0" w:firstLineChars="0"/>
      <w:jc w:val="center"/>
    </w:pPr>
    <w:rPr>
      <w:kern w:val="0"/>
      <w:sz w:val="21"/>
    </w:rPr>
  </w:style>
  <w:style w:type="paragraph" w:customStyle="1" w:styleId="55">
    <w:name w:val="4正文"/>
    <w:basedOn w:val="1"/>
    <w:unhideWhenUsed/>
    <w:qFormat/>
    <w:uiPriority w:val="0"/>
    <w:pPr>
      <w:ind w:firstLine="480"/>
    </w:pPr>
    <w:rPr>
      <w:rFonts w:ascii="Calibri" w:hAnsi="Calibri"/>
      <w:szCs w:val="22"/>
    </w:rPr>
  </w:style>
  <w:style w:type="paragraph" w:customStyle="1" w:styleId="56">
    <w:name w:val="CH一级标"/>
    <w:basedOn w:val="1"/>
    <w:qFormat/>
    <w:uiPriority w:val="0"/>
    <w:pPr>
      <w:numPr>
        <w:ilvl w:val="0"/>
        <w:numId w:val="3"/>
      </w:numPr>
      <w:spacing w:before="50" w:beforeLines="50"/>
      <w:ind w:left="0" w:firstLine="0" w:firstLineChars="0"/>
      <w:jc w:val="center"/>
      <w:outlineLvl w:val="0"/>
    </w:pPr>
    <w:rPr>
      <w:rFonts w:eastAsia="黑体"/>
      <w:sz w:val="30"/>
      <w:szCs w:val="36"/>
    </w:rPr>
  </w:style>
  <w:style w:type="paragraph" w:customStyle="1" w:styleId="57">
    <w:name w:val="CH表头"/>
    <w:basedOn w:val="48"/>
    <w:next w:val="48"/>
    <w:link w:val="64"/>
    <w:qFormat/>
    <w:uiPriority w:val="0"/>
    <w:pPr>
      <w:numPr>
        <w:ilvl w:val="3"/>
        <w:numId w:val="3"/>
      </w:numPr>
      <w:tabs>
        <w:tab w:val="left" w:pos="0"/>
      </w:tabs>
      <w:spacing w:line="240" w:lineRule="auto"/>
      <w:ind w:firstLineChars="0"/>
      <w:jc w:val="center"/>
    </w:pPr>
    <w:rPr>
      <w:b/>
      <w:sz w:val="21"/>
      <w:szCs w:val="21"/>
      <w:lang w:eastAsia="en-US"/>
    </w:rPr>
  </w:style>
  <w:style w:type="paragraph" w:customStyle="1" w:styleId="58">
    <w:name w:val="CH图标"/>
    <w:basedOn w:val="1"/>
    <w:link w:val="131"/>
    <w:qFormat/>
    <w:uiPriority w:val="0"/>
    <w:pPr>
      <w:numPr>
        <w:ilvl w:val="4"/>
        <w:numId w:val="3"/>
      </w:numPr>
      <w:tabs>
        <w:tab w:val="left" w:pos="0"/>
        <w:tab w:val="left" w:pos="283"/>
      </w:tabs>
      <w:spacing w:after="50" w:afterLines="50" w:line="240" w:lineRule="auto"/>
      <w:ind w:firstLineChars="0"/>
      <w:jc w:val="center"/>
    </w:pPr>
    <w:rPr>
      <w:b/>
      <w:sz w:val="21"/>
      <w:szCs w:val="21"/>
      <w:lang w:eastAsia="en-US"/>
    </w:rPr>
  </w:style>
  <w:style w:type="paragraph" w:customStyle="1" w:styleId="59">
    <w:name w:val="环评正文"/>
    <w:basedOn w:val="1"/>
    <w:qFormat/>
    <w:uiPriority w:val="0"/>
    <w:pPr>
      <w:adjustRightInd/>
      <w:ind w:firstLine="200"/>
    </w:pPr>
  </w:style>
  <w:style w:type="paragraph" w:customStyle="1" w:styleId="60">
    <w:name w:val="环评表头"/>
    <w:basedOn w:val="1"/>
    <w:qFormat/>
    <w:uiPriority w:val="0"/>
    <w:pPr>
      <w:numPr>
        <w:ilvl w:val="3"/>
        <w:numId w:val="4"/>
      </w:numPr>
      <w:tabs>
        <w:tab w:val="left" w:pos="283"/>
        <w:tab w:val="left" w:pos="442"/>
        <w:tab w:val="left" w:pos="850"/>
      </w:tabs>
      <w:spacing w:before="50" w:beforeLines="50" w:line="240" w:lineRule="auto"/>
      <w:ind w:firstLineChars="0"/>
      <w:jc w:val="center"/>
    </w:pPr>
    <w:rPr>
      <w:b/>
      <w:bCs/>
      <w:color w:val="000000"/>
      <w:szCs w:val="21"/>
      <w:lang w:val="zh-TW" w:eastAsia="zh-TW"/>
    </w:rPr>
  </w:style>
  <w:style w:type="paragraph" w:customStyle="1" w:styleId="61">
    <w:name w:val="环评二级标"/>
    <w:basedOn w:val="1"/>
    <w:qFormat/>
    <w:uiPriority w:val="0"/>
    <w:pPr>
      <w:numPr>
        <w:ilvl w:val="1"/>
        <w:numId w:val="4"/>
      </w:numPr>
      <w:tabs>
        <w:tab w:val="left" w:pos="420"/>
      </w:tabs>
      <w:ind w:firstLineChars="0"/>
      <w:outlineLvl w:val="1"/>
    </w:pPr>
    <w:rPr>
      <w:b/>
      <w:bCs/>
    </w:rPr>
  </w:style>
  <w:style w:type="paragraph" w:customStyle="1" w:styleId="62">
    <w:name w:val="环评图标"/>
    <w:basedOn w:val="1"/>
    <w:qFormat/>
    <w:uiPriority w:val="0"/>
    <w:pPr>
      <w:numPr>
        <w:ilvl w:val="4"/>
        <w:numId w:val="5"/>
      </w:numPr>
      <w:spacing w:after="50" w:afterLines="50"/>
      <w:jc w:val="center"/>
    </w:pPr>
    <w:rPr>
      <w:b/>
      <w:szCs w:val="21"/>
      <w:lang w:eastAsia="en-US"/>
    </w:rPr>
  </w:style>
  <w:style w:type="paragraph" w:customStyle="1" w:styleId="63">
    <w:name w:val="环评一级标"/>
    <w:basedOn w:val="1"/>
    <w:qFormat/>
    <w:uiPriority w:val="0"/>
    <w:pPr>
      <w:numPr>
        <w:ilvl w:val="0"/>
        <w:numId w:val="4"/>
      </w:numPr>
      <w:ind w:firstLineChars="0"/>
      <w:jc w:val="center"/>
      <w:outlineLvl w:val="0"/>
    </w:pPr>
    <w:rPr>
      <w:b/>
      <w:sz w:val="36"/>
      <w:szCs w:val="36"/>
    </w:rPr>
  </w:style>
  <w:style w:type="character" w:customStyle="1" w:styleId="64">
    <w:name w:val="CH表头 Char"/>
    <w:link w:val="57"/>
    <w:qFormat/>
    <w:uiPriority w:val="0"/>
    <w:rPr>
      <w:b/>
      <w:kern w:val="2"/>
      <w:sz w:val="21"/>
      <w:szCs w:val="21"/>
      <w:lang w:eastAsia="en-US"/>
    </w:rPr>
  </w:style>
  <w:style w:type="paragraph" w:customStyle="1" w:styleId="65">
    <w:name w:val="1 表格 内容全部"/>
    <w:basedOn w:val="1"/>
    <w:next w:val="66"/>
    <w:link w:val="126"/>
    <w:qFormat/>
    <w:uiPriority w:val="0"/>
    <w:pPr>
      <w:tabs>
        <w:tab w:val="left" w:pos="0"/>
      </w:tabs>
      <w:spacing w:line="240" w:lineRule="auto"/>
      <w:ind w:firstLine="0" w:firstLineChars="0"/>
      <w:jc w:val="center"/>
    </w:pPr>
    <w:rPr>
      <w:sz w:val="21"/>
    </w:rPr>
  </w:style>
  <w:style w:type="paragraph" w:customStyle="1" w:styleId="66">
    <w:name w:val="1 正文"/>
    <w:basedOn w:val="1"/>
    <w:qFormat/>
    <w:uiPriority w:val="0"/>
    <w:pPr>
      <w:ind w:firstLine="0" w:firstLineChars="0"/>
    </w:pPr>
    <w:rPr>
      <w:rFonts w:hint="eastAsia"/>
    </w:rPr>
  </w:style>
  <w:style w:type="paragraph" w:customStyle="1" w:styleId="67">
    <w:name w:val="样式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68">
    <w:name w:val="表格"/>
    <w:basedOn w:val="69"/>
    <w:next w:val="1"/>
    <w:link w:val="118"/>
    <w:qFormat/>
    <w:uiPriority w:val="0"/>
    <w:pPr>
      <w:spacing w:beforeLines="10" w:afterLines="10" w:line="259" w:lineRule="auto"/>
      <w:jc w:val="center"/>
    </w:pPr>
    <w:rPr>
      <w:rFonts w:ascii="宋体"/>
      <w:kern w:val="0"/>
      <w:szCs w:val="20"/>
    </w:rPr>
  </w:style>
  <w:style w:type="paragraph" w:customStyle="1" w:styleId="69">
    <w:name w:val="表格内表格正文"/>
    <w:basedOn w:val="1"/>
    <w:autoRedefine/>
    <w:qFormat/>
    <w:uiPriority w:val="0"/>
    <w:pPr>
      <w:spacing w:line="240" w:lineRule="auto"/>
      <w:ind w:firstLine="0"/>
      <w:jc w:val="center"/>
    </w:pPr>
    <w:rPr>
      <w:sz w:val="21"/>
      <w:szCs w:val="21"/>
    </w:rPr>
  </w:style>
  <w:style w:type="paragraph" w:customStyle="1" w:styleId="70">
    <w:name w:val="yt图标"/>
    <w:basedOn w:val="7"/>
    <w:link w:val="121"/>
    <w:qFormat/>
    <w:uiPriority w:val="0"/>
    <w:pPr>
      <w:jc w:val="center"/>
    </w:pPr>
    <w:rPr>
      <w:b/>
      <w:szCs w:val="21"/>
    </w:rPr>
  </w:style>
  <w:style w:type="paragraph" w:customStyle="1" w:styleId="71">
    <w:name w:val="表格内容"/>
    <w:basedOn w:val="1"/>
    <w:qFormat/>
    <w:uiPriority w:val="99"/>
    <w:pPr>
      <w:spacing w:line="280" w:lineRule="exact"/>
      <w:jc w:val="center"/>
      <w:textAlignment w:val="baseline"/>
    </w:pPr>
    <w:rPr>
      <w:rFonts w:ascii="宋体" w:hAnsi="宋体"/>
      <w:snapToGrid w:val="0"/>
      <w:color w:val="0000FF"/>
      <w:kern w:val="0"/>
      <w:sz w:val="18"/>
      <w:szCs w:val="21"/>
    </w:rPr>
  </w:style>
  <w:style w:type="paragraph" w:customStyle="1" w:styleId="72">
    <w:name w:val="表格正文"/>
    <w:basedOn w:val="1"/>
    <w:next w:val="1"/>
    <w:qFormat/>
    <w:uiPriority w:val="0"/>
    <w:pPr>
      <w:pBdr>
        <w:top w:val="none" w:color="auto" w:sz="0" w:space="1"/>
        <w:left w:val="none" w:color="auto" w:sz="0" w:space="4"/>
        <w:bottom w:val="none" w:color="auto" w:sz="0" w:space="1"/>
        <w:right w:val="none" w:color="auto" w:sz="0" w:space="4"/>
      </w:pBdr>
      <w:spacing w:line="240" w:lineRule="auto"/>
      <w:ind w:firstLine="0" w:firstLineChars="0"/>
      <w:jc w:val="center"/>
    </w:pPr>
    <w:rPr>
      <w:color w:val="000000"/>
      <w:sz w:val="21"/>
      <w:szCs w:val="21"/>
    </w:rPr>
  </w:style>
  <w:style w:type="paragraph" w:customStyle="1" w:styleId="73">
    <w:name w:val="样式 方正仿宋_GBK 三号 行距: 固定值 28 磅"/>
    <w:basedOn w:val="1"/>
    <w:qFormat/>
    <w:uiPriority w:val="0"/>
    <w:pPr>
      <w:ind w:firstLine="200"/>
      <w:jc w:val="left"/>
    </w:pPr>
    <w:rPr>
      <w:rFonts w:ascii="方正仿宋_GBK" w:hAnsi="方正仿宋_GBK" w:cs="宋体"/>
      <w:sz w:val="28"/>
      <w:szCs w:val="20"/>
    </w:rPr>
  </w:style>
  <w:style w:type="paragraph" w:customStyle="1" w:styleId="74">
    <w:name w:val="正文(邵)"/>
    <w:basedOn w:val="1"/>
    <w:qFormat/>
    <w:uiPriority w:val="0"/>
    <w:pPr>
      <w:widowControl/>
      <w:ind w:firstLine="480"/>
      <w:jc w:val="left"/>
    </w:pPr>
    <w:rPr>
      <w:kern w:val="0"/>
      <w:lang w:bidi="en-US"/>
    </w:rPr>
  </w:style>
  <w:style w:type="paragraph" w:customStyle="1" w:styleId="75">
    <w:name w:val="D表内1磅"/>
    <w:basedOn w:val="76"/>
    <w:qFormat/>
    <w:uiPriority w:val="0"/>
    <w:pPr>
      <w:spacing w:before="20" w:after="20"/>
      <w:jc w:val="center"/>
    </w:pPr>
    <w:rPr>
      <w:szCs w:val="21"/>
    </w:rPr>
  </w:style>
  <w:style w:type="paragraph" w:customStyle="1" w:styleId="76">
    <w:name w:val="D表内0磅"/>
    <w:basedOn w:val="1"/>
    <w:qFormat/>
    <w:uiPriority w:val="0"/>
    <w:pPr>
      <w:jc w:val="center"/>
    </w:pPr>
    <w:rPr>
      <w:rFonts w:ascii="仿宋_GB2312"/>
      <w:spacing w:val="4"/>
      <w:szCs w:val="21"/>
    </w:rPr>
  </w:style>
  <w:style w:type="paragraph" w:customStyle="1" w:styleId="77">
    <w:name w:val="1 图表"/>
    <w:basedOn w:val="1"/>
    <w:next w:val="1"/>
    <w:qFormat/>
    <w:uiPriority w:val="0"/>
    <w:pPr>
      <w:keepNext/>
      <w:keepLines/>
      <w:spacing w:before="50" w:beforeLines="50" w:line="240" w:lineRule="auto"/>
      <w:ind w:firstLine="0" w:firstLineChars="0"/>
      <w:jc w:val="center"/>
    </w:pPr>
    <w:rPr>
      <w:b/>
      <w:sz w:val="21"/>
    </w:rPr>
  </w:style>
  <w:style w:type="paragraph" w:customStyle="1" w:styleId="78">
    <w:name w:val="表格内正文"/>
    <w:basedOn w:val="1"/>
    <w:qFormat/>
    <w:uiPriority w:val="0"/>
    <w:pPr>
      <w:ind w:firstLine="493"/>
    </w:pPr>
    <w:rPr>
      <w:rFonts w:ascii="宋体" w:hAnsi="宋体"/>
      <w:spacing w:val="4"/>
      <w:kern w:val="18"/>
    </w:rPr>
  </w:style>
  <w:style w:type="paragraph" w:customStyle="1" w:styleId="79">
    <w:name w:val="表格1 里面的第一行"/>
    <w:basedOn w:val="1"/>
    <w:qFormat/>
    <w:uiPriority w:val="0"/>
    <w:pPr>
      <w:spacing w:line="240" w:lineRule="auto"/>
      <w:ind w:firstLine="0" w:firstLineChars="0"/>
      <w:jc w:val="center"/>
    </w:pPr>
    <w:rPr>
      <w:b/>
      <w:sz w:val="21"/>
      <w:szCs w:val="21"/>
    </w:rPr>
  </w:style>
  <w:style w:type="paragraph" w:customStyle="1" w:styleId="80">
    <w:name w:val="普通(网站)2"/>
    <w:basedOn w:val="1"/>
    <w:qFormat/>
    <w:uiPriority w:val="0"/>
    <w:pPr>
      <w:widowControl/>
      <w:spacing w:before="100" w:beforeAutospacing="1" w:after="100" w:afterAutospacing="1"/>
      <w:jc w:val="left"/>
    </w:pPr>
    <w:rPr>
      <w:rFonts w:ascii="宋体" w:hAnsi="宋体"/>
      <w:szCs w:val="20"/>
    </w:rPr>
  </w:style>
  <w:style w:type="paragraph" w:customStyle="1" w:styleId="81">
    <w:name w:val="aa正文"/>
    <w:basedOn w:val="1"/>
    <w:qFormat/>
    <w:uiPriority w:val="0"/>
    <w:pPr>
      <w:ind w:firstLine="200"/>
    </w:pPr>
  </w:style>
  <w:style w:type="paragraph" w:customStyle="1" w:styleId="82">
    <w:name w:val="图表标题"/>
    <w:basedOn w:val="1"/>
    <w:qFormat/>
    <w:uiPriority w:val="0"/>
    <w:pPr>
      <w:jc w:val="center"/>
    </w:pPr>
    <w:rPr>
      <w:b/>
      <w:bCs/>
      <w:szCs w:val="21"/>
    </w:rPr>
  </w:style>
  <w:style w:type="paragraph" w:customStyle="1" w:styleId="83">
    <w:name w:val="yt表内"/>
    <w:basedOn w:val="48"/>
    <w:next w:val="48"/>
    <w:qFormat/>
    <w:uiPriority w:val="0"/>
    <w:pPr>
      <w:spacing w:line="240" w:lineRule="atLeast"/>
      <w:ind w:firstLine="0" w:firstLineChars="0"/>
      <w:jc w:val="center"/>
    </w:pPr>
    <w:rPr>
      <w:sz w:val="21"/>
      <w:szCs w:val="21"/>
    </w:rPr>
  </w:style>
  <w:style w:type="paragraph" w:customStyle="1" w:styleId="84">
    <w:name w:val="R22表格"/>
    <w:basedOn w:val="1"/>
    <w:qFormat/>
    <w:uiPriority w:val="0"/>
    <w:pPr>
      <w:autoSpaceDE w:val="0"/>
      <w:autoSpaceDN w:val="0"/>
      <w:spacing w:line="360" w:lineRule="exact"/>
      <w:jc w:val="center"/>
    </w:pPr>
    <w:rPr>
      <w:color w:val="000000"/>
      <w:kern w:val="0"/>
      <w:szCs w:val="21"/>
    </w:rPr>
  </w:style>
  <w:style w:type="paragraph" w:customStyle="1" w:styleId="85">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6">
    <w:name w:val="1 小四标题"/>
    <w:basedOn w:val="1"/>
    <w:qFormat/>
    <w:uiPriority w:val="0"/>
    <w:rPr>
      <w:b/>
    </w:rPr>
  </w:style>
  <w:style w:type="paragraph" w:customStyle="1" w:styleId="87">
    <w:name w:val="Char"/>
    <w:basedOn w:val="1"/>
    <w:qFormat/>
    <w:uiPriority w:val="0"/>
  </w:style>
  <w:style w:type="paragraph" w:customStyle="1" w:styleId="88">
    <w:name w:val="敏敏敏环评正文"/>
    <w:basedOn w:val="1"/>
    <w:qFormat/>
    <w:uiPriority w:val="0"/>
    <w:pPr>
      <w:adjustRightInd/>
      <w:ind w:firstLine="200"/>
    </w:pPr>
  </w:style>
  <w:style w:type="paragraph" w:customStyle="1" w:styleId="89">
    <w:name w:val="WPSOffice手动目录 1"/>
    <w:qFormat/>
    <w:uiPriority w:val="0"/>
    <w:rPr>
      <w:rFonts w:ascii="Times New Roman" w:hAnsi="Times New Roman" w:eastAsia="宋体" w:cs="Times New Roman"/>
      <w:lang w:val="en-US" w:eastAsia="zh-CN" w:bidi="ar-SA"/>
    </w:rPr>
  </w:style>
  <w:style w:type="paragraph" w:customStyle="1" w:styleId="90">
    <w:name w:val="BG"/>
    <w:basedOn w:val="1"/>
    <w:unhideWhenUsed/>
    <w:qFormat/>
    <w:uiPriority w:val="99"/>
    <w:pPr>
      <w:jc w:val="center"/>
    </w:pPr>
  </w:style>
  <w:style w:type="paragraph" w:customStyle="1" w:styleId="91">
    <w:name w:val="0-表格"/>
    <w:basedOn w:val="1"/>
    <w:qFormat/>
    <w:uiPriority w:val="0"/>
    <w:pPr>
      <w:autoSpaceDE w:val="0"/>
      <w:autoSpaceDN w:val="0"/>
      <w:spacing w:line="480" w:lineRule="exact"/>
      <w:ind w:firstLine="200"/>
      <w:jc w:val="center"/>
    </w:pPr>
    <w:rPr>
      <w:kern w:val="0"/>
      <w:szCs w:val="21"/>
      <w:lang w:val="de-DE"/>
    </w:rPr>
  </w:style>
  <w:style w:type="paragraph" w:customStyle="1" w:styleId="92">
    <w:name w:val="一般正文"/>
    <w:basedOn w:val="1"/>
    <w:qFormat/>
    <w:uiPriority w:val="0"/>
    <w:pPr>
      <w:ind w:firstLine="420"/>
      <w:jc w:val="left"/>
    </w:pPr>
  </w:style>
  <w:style w:type="paragraph" w:customStyle="1" w:styleId="93">
    <w:name w:val="正文1"/>
    <w:basedOn w:val="1"/>
    <w:qFormat/>
    <w:uiPriority w:val="0"/>
    <w:pPr>
      <w:widowControl/>
      <w:pBdr>
        <w:top w:val="none" w:color="auto" w:sz="0" w:space="1"/>
        <w:left w:val="none" w:color="auto" w:sz="0" w:space="4"/>
        <w:bottom w:val="none" w:color="auto" w:sz="0" w:space="1"/>
        <w:right w:val="none" w:color="auto" w:sz="0" w:space="4"/>
      </w:pBdr>
      <w:autoSpaceDE w:val="0"/>
      <w:autoSpaceDN w:val="0"/>
      <w:ind w:firstLine="420"/>
      <w:jc w:val="left"/>
    </w:pPr>
    <w:rPr>
      <w:kern w:val="0"/>
    </w:rPr>
  </w:style>
  <w:style w:type="paragraph" w:styleId="94">
    <w:name w:val="List Paragraph"/>
    <w:basedOn w:val="1"/>
    <w:qFormat/>
    <w:uiPriority w:val="99"/>
    <w:pPr>
      <w:ind w:firstLine="420"/>
    </w:pPr>
  </w:style>
  <w:style w:type="paragraph" w:customStyle="1" w:styleId="95">
    <w:name w:val="正文样式"/>
    <w:basedOn w:val="1"/>
    <w:qFormat/>
    <w:uiPriority w:val="0"/>
    <w:pPr>
      <w:ind w:right="170" w:firstLine="480"/>
    </w:pPr>
    <w:rPr>
      <w:rFonts w:hAnsi="宋体"/>
    </w:rPr>
  </w:style>
  <w:style w:type="character" w:customStyle="1" w:styleId="96">
    <w:name w:val="正文文本缩进 字符"/>
    <w:link w:val="11"/>
    <w:semiHidden/>
    <w:qFormat/>
    <w:uiPriority w:val="0"/>
    <w:rPr>
      <w:rFonts w:ascii="Times New Roman" w:hAnsi="Times New Roman" w:eastAsia="宋体"/>
      <w:sz w:val="24"/>
    </w:rPr>
  </w:style>
  <w:style w:type="character" w:customStyle="1" w:styleId="97">
    <w:name w:val="正文文本 字符"/>
    <w:link w:val="10"/>
    <w:qFormat/>
    <w:uiPriority w:val="0"/>
    <w:rPr>
      <w:sz w:val="18"/>
    </w:rPr>
  </w:style>
  <w:style w:type="character" w:customStyle="1" w:styleId="98">
    <w:name w:val="批注文字 字符"/>
    <w:link w:val="9"/>
    <w:qFormat/>
    <w:uiPriority w:val="0"/>
    <w:rPr>
      <w:rFonts w:ascii="Times New Roman" w:hAnsi="Times New Roman" w:eastAsia="宋体"/>
      <w:sz w:val="24"/>
    </w:rPr>
  </w:style>
  <w:style w:type="character" w:customStyle="1" w:styleId="99">
    <w:name w:val="日期 字符1"/>
    <w:link w:val="18"/>
    <w:qFormat/>
    <w:uiPriority w:val="0"/>
    <w:rPr>
      <w:rFonts w:ascii="Times New Roman" w:hAnsi="Times New Roman" w:eastAsia="宋体"/>
      <w:sz w:val="24"/>
    </w:rPr>
  </w:style>
  <w:style w:type="character" w:customStyle="1" w:styleId="100">
    <w:name w:val="批注框文本 字符"/>
    <w:link w:val="21"/>
    <w:semiHidden/>
    <w:qFormat/>
    <w:uiPriority w:val="0"/>
    <w:rPr>
      <w:rFonts w:ascii="Times New Roman" w:hAnsi="Times New Roman" w:eastAsia="宋体"/>
      <w:sz w:val="18"/>
    </w:rPr>
  </w:style>
  <w:style w:type="character" w:customStyle="1" w:styleId="101">
    <w:name w:val="页脚 字符1"/>
    <w:link w:val="22"/>
    <w:qFormat/>
    <w:uiPriority w:val="99"/>
    <w:rPr>
      <w:sz w:val="18"/>
    </w:rPr>
  </w:style>
  <w:style w:type="character" w:customStyle="1" w:styleId="102">
    <w:name w:val="页眉 字符"/>
    <w:link w:val="12"/>
    <w:qFormat/>
    <w:uiPriority w:val="0"/>
    <w:rPr>
      <w:sz w:val="18"/>
    </w:rPr>
  </w:style>
  <w:style w:type="character" w:customStyle="1" w:styleId="103">
    <w:name w:val="普通(网站) 字符"/>
    <w:link w:val="31"/>
    <w:qFormat/>
    <w:uiPriority w:val="0"/>
    <w:rPr>
      <w:rFonts w:ascii="宋体" w:hAnsi="宋体" w:eastAsia="宋体"/>
      <w:sz w:val="24"/>
    </w:rPr>
  </w:style>
  <w:style w:type="character" w:customStyle="1" w:styleId="104">
    <w:name w:val="批注主题 字符"/>
    <w:link w:val="33"/>
    <w:semiHidden/>
    <w:qFormat/>
    <w:uiPriority w:val="0"/>
    <w:rPr>
      <w:rFonts w:ascii="Times New Roman" w:hAnsi="Times New Roman" w:eastAsia="宋体"/>
      <w:b/>
      <w:kern w:val="2"/>
      <w:sz w:val="24"/>
    </w:rPr>
  </w:style>
  <w:style w:type="character" w:customStyle="1" w:styleId="105">
    <w:name w:val="日期 字符"/>
    <w:semiHidden/>
    <w:qFormat/>
    <w:uiPriority w:val="0"/>
    <w:rPr>
      <w:rFonts w:ascii="Times New Roman" w:hAnsi="Times New Roman" w:eastAsia="宋体"/>
      <w:sz w:val="24"/>
    </w:rPr>
  </w:style>
  <w:style w:type="character" w:customStyle="1" w:styleId="106">
    <w:name w:val="font11"/>
    <w:basedOn w:val="38"/>
    <w:qFormat/>
    <w:uiPriority w:val="0"/>
    <w:rPr>
      <w:rFonts w:hint="eastAsia" w:ascii="宋体" w:hAnsi="宋体" w:eastAsia="宋体" w:cs="宋体"/>
      <w:color w:val="000000"/>
      <w:sz w:val="18"/>
      <w:szCs w:val="18"/>
      <w:u w:val="none"/>
    </w:rPr>
  </w:style>
  <w:style w:type="character" w:customStyle="1" w:styleId="107">
    <w:name w:val="font41"/>
    <w:basedOn w:val="38"/>
    <w:qFormat/>
    <w:uiPriority w:val="0"/>
    <w:rPr>
      <w:rFonts w:hint="default" w:ascii="Times New Roman" w:hAnsi="Times New Roman" w:cs="Times New Roman"/>
      <w:color w:val="000000"/>
      <w:sz w:val="21"/>
      <w:szCs w:val="21"/>
      <w:u w:val="none"/>
    </w:rPr>
  </w:style>
  <w:style w:type="character" w:customStyle="1" w:styleId="108">
    <w:name w:val="font101"/>
    <w:basedOn w:val="38"/>
    <w:qFormat/>
    <w:uiPriority w:val="0"/>
    <w:rPr>
      <w:rFonts w:hint="eastAsia" w:ascii="宋体" w:hAnsi="宋体" w:eastAsia="宋体" w:cs="宋体"/>
      <w:color w:val="000000"/>
      <w:sz w:val="20"/>
      <w:szCs w:val="20"/>
      <w:u w:val="none"/>
    </w:rPr>
  </w:style>
  <w:style w:type="character" w:customStyle="1" w:styleId="109">
    <w:name w:val="font81"/>
    <w:basedOn w:val="38"/>
    <w:qFormat/>
    <w:uiPriority w:val="0"/>
    <w:rPr>
      <w:rFonts w:hint="eastAsia" w:ascii="宋体" w:hAnsi="宋体" w:eastAsia="宋体" w:cs="宋体"/>
      <w:b/>
      <w:bCs/>
      <w:color w:val="000000"/>
      <w:sz w:val="20"/>
      <w:szCs w:val="20"/>
      <w:u w:val="none"/>
    </w:rPr>
  </w:style>
  <w:style w:type="character" w:customStyle="1" w:styleId="110">
    <w:name w:val="正文文本 字符1"/>
    <w:semiHidden/>
    <w:qFormat/>
    <w:uiPriority w:val="0"/>
    <w:rPr>
      <w:rFonts w:ascii="Times New Roman" w:hAnsi="Times New Roman" w:eastAsia="宋体"/>
      <w:sz w:val="24"/>
    </w:rPr>
  </w:style>
  <w:style w:type="character" w:customStyle="1" w:styleId="111">
    <w:name w:val="font31"/>
    <w:basedOn w:val="38"/>
    <w:qFormat/>
    <w:uiPriority w:val="0"/>
    <w:rPr>
      <w:rFonts w:hint="default" w:ascii="Times New Roman" w:hAnsi="Times New Roman" w:cs="Times New Roman"/>
      <w:color w:val="000000"/>
      <w:sz w:val="18"/>
      <w:szCs w:val="18"/>
      <w:u w:val="none"/>
    </w:rPr>
  </w:style>
  <w:style w:type="character" w:customStyle="1" w:styleId="112">
    <w:name w:val="font51"/>
    <w:basedOn w:val="38"/>
    <w:qFormat/>
    <w:uiPriority w:val="0"/>
    <w:rPr>
      <w:rFonts w:hint="default" w:ascii="Times New Roman" w:hAnsi="Times New Roman" w:cs="Times New Roman"/>
      <w:b/>
      <w:bCs/>
      <w:color w:val="000000"/>
      <w:sz w:val="18"/>
      <w:szCs w:val="18"/>
      <w:u w:val="none"/>
    </w:rPr>
  </w:style>
  <w:style w:type="character" w:customStyle="1" w:styleId="113">
    <w:name w:val="页脚 字符"/>
    <w:basedOn w:val="38"/>
    <w:qFormat/>
    <w:uiPriority w:val="99"/>
  </w:style>
  <w:style w:type="character" w:customStyle="1" w:styleId="114">
    <w:name w:val="font01"/>
    <w:basedOn w:val="38"/>
    <w:qFormat/>
    <w:uiPriority w:val="0"/>
    <w:rPr>
      <w:rFonts w:hint="default" w:ascii="Times New Roman" w:hAnsi="Times New Roman" w:cs="Times New Roman"/>
      <w:color w:val="000000"/>
      <w:sz w:val="18"/>
      <w:szCs w:val="18"/>
      <w:u w:val="none"/>
      <w:vertAlign w:val="superscript"/>
    </w:rPr>
  </w:style>
  <w:style w:type="character" w:customStyle="1" w:styleId="115">
    <w:name w:val="font91"/>
    <w:basedOn w:val="38"/>
    <w:qFormat/>
    <w:uiPriority w:val="0"/>
    <w:rPr>
      <w:rFonts w:hint="eastAsia" w:ascii="宋体" w:hAnsi="宋体" w:eastAsia="宋体" w:cs="宋体"/>
      <w:b/>
      <w:bCs/>
      <w:color w:val="000000"/>
      <w:sz w:val="21"/>
      <w:szCs w:val="21"/>
      <w:u w:val="none"/>
    </w:rPr>
  </w:style>
  <w:style w:type="character" w:customStyle="1" w:styleId="116">
    <w:name w:val="批注文字 字符1"/>
    <w:semiHidden/>
    <w:qFormat/>
    <w:uiPriority w:val="0"/>
    <w:rPr>
      <w:rFonts w:ascii="Times New Roman" w:hAnsi="Times New Roman" w:eastAsia="宋体"/>
      <w:sz w:val="24"/>
    </w:rPr>
  </w:style>
  <w:style w:type="character" w:customStyle="1" w:styleId="117">
    <w:name w:val="font21"/>
    <w:basedOn w:val="38"/>
    <w:qFormat/>
    <w:uiPriority w:val="0"/>
    <w:rPr>
      <w:rFonts w:hint="eastAsia" w:ascii="宋体" w:hAnsi="宋体" w:eastAsia="宋体" w:cs="宋体"/>
      <w:color w:val="000000"/>
      <w:sz w:val="21"/>
      <w:szCs w:val="21"/>
      <w:u w:val="none"/>
    </w:rPr>
  </w:style>
  <w:style w:type="character" w:customStyle="1" w:styleId="118">
    <w:name w:val="表格 Char"/>
    <w:link w:val="68"/>
    <w:qFormat/>
    <w:uiPriority w:val="0"/>
    <w:rPr>
      <w:rFonts w:ascii="宋体"/>
      <w:sz w:val="21"/>
    </w:rPr>
  </w:style>
  <w:style w:type="character" w:customStyle="1" w:styleId="119">
    <w:name w:val="font112"/>
    <w:basedOn w:val="38"/>
    <w:qFormat/>
    <w:uiPriority w:val="0"/>
    <w:rPr>
      <w:rFonts w:hint="eastAsia" w:ascii="宋体" w:hAnsi="宋体" w:eastAsia="宋体" w:cs="宋体"/>
      <w:color w:val="000000"/>
      <w:sz w:val="21"/>
      <w:szCs w:val="21"/>
      <w:u w:val="none"/>
    </w:rPr>
  </w:style>
  <w:style w:type="character" w:customStyle="1" w:styleId="120">
    <w:name w:val="font61"/>
    <w:basedOn w:val="38"/>
    <w:qFormat/>
    <w:uiPriority w:val="0"/>
    <w:rPr>
      <w:rFonts w:hint="eastAsia" w:ascii="宋体" w:hAnsi="宋体" w:eastAsia="宋体" w:cs="宋体"/>
      <w:b/>
      <w:bCs/>
      <w:color w:val="000000"/>
      <w:sz w:val="18"/>
      <w:szCs w:val="18"/>
      <w:u w:val="none"/>
    </w:rPr>
  </w:style>
  <w:style w:type="character" w:customStyle="1" w:styleId="121">
    <w:name w:val="yt图标 Char"/>
    <w:link w:val="70"/>
    <w:qFormat/>
    <w:uiPriority w:val="0"/>
    <w:rPr>
      <w:rFonts w:ascii="Times New Roman" w:hAnsi="Times New Roman"/>
      <w:b/>
      <w:szCs w:val="21"/>
    </w:rPr>
  </w:style>
  <w:style w:type="character" w:customStyle="1" w:styleId="122">
    <w:name w:val="font71"/>
    <w:basedOn w:val="38"/>
    <w:qFormat/>
    <w:uiPriority w:val="0"/>
    <w:rPr>
      <w:rFonts w:hint="default" w:ascii="Times New Roman" w:hAnsi="Times New Roman" w:cs="Times New Roman"/>
      <w:b/>
      <w:color w:val="000000"/>
      <w:sz w:val="21"/>
      <w:szCs w:val="21"/>
      <w:u w:val="none"/>
    </w:rPr>
  </w:style>
  <w:style w:type="paragraph" w:customStyle="1" w:styleId="123">
    <w:name w:val="Table Paragraph"/>
    <w:basedOn w:val="1"/>
    <w:qFormat/>
    <w:uiPriority w:val="0"/>
    <w:pPr>
      <w:spacing w:before="105"/>
      <w:ind w:left="219"/>
    </w:pPr>
    <w:rPr>
      <w:rFonts w:ascii="宋体" w:hAnsi="宋体" w:cs="宋体"/>
      <w:lang w:val="zh-CN" w:bidi="zh-CN"/>
    </w:rPr>
  </w:style>
  <w:style w:type="paragraph" w:customStyle="1" w:styleId="124">
    <w:name w:val="图表文字"/>
    <w:basedOn w:val="1"/>
    <w:qFormat/>
    <w:uiPriority w:val="0"/>
    <w:pPr>
      <w:spacing w:line="300" w:lineRule="exact"/>
      <w:jc w:val="center"/>
    </w:pPr>
    <w:rPr>
      <w:szCs w:val="20"/>
    </w:rPr>
  </w:style>
  <w:style w:type="paragraph" w:customStyle="1" w:styleId="125">
    <w:name w:val="0正文"/>
    <w:basedOn w:val="1"/>
    <w:qFormat/>
    <w:uiPriority w:val="0"/>
    <w:pPr>
      <w:ind w:firstLine="200"/>
    </w:pPr>
  </w:style>
  <w:style w:type="character" w:customStyle="1" w:styleId="126">
    <w:name w:val="1 表格 内容全部 Char"/>
    <w:link w:val="65"/>
    <w:qFormat/>
    <w:uiPriority w:val="0"/>
    <w:rPr>
      <w:rFonts w:ascii="Times New Roman" w:hAnsi="Times New Roman" w:eastAsia="宋体"/>
      <w:sz w:val="21"/>
    </w:rPr>
  </w:style>
  <w:style w:type="paragraph" w:customStyle="1" w:styleId="127">
    <w:name w:val="五号表格"/>
    <w:basedOn w:val="1"/>
    <w:link w:val="134"/>
    <w:qFormat/>
    <w:uiPriority w:val="0"/>
    <w:pPr>
      <w:spacing w:line="360" w:lineRule="exact"/>
      <w:ind w:firstLine="0" w:firstLineChars="0"/>
      <w:jc w:val="center"/>
    </w:pPr>
    <w:rPr>
      <w:color w:val="000000"/>
      <w:sz w:val="21"/>
    </w:rPr>
  </w:style>
  <w:style w:type="paragraph" w:styleId="128">
    <w:name w:val="No Spacing"/>
    <w:qFormat/>
    <w:uiPriority w:val="1"/>
    <w:pPr>
      <w:numPr>
        <w:ilvl w:val="5"/>
        <w:numId w:val="6"/>
      </w:numPr>
      <w:jc w:val="center"/>
    </w:pPr>
    <w:rPr>
      <w:rFonts w:ascii="Times New Roman" w:hAnsi="Times New Roman" w:eastAsia="宋体" w:cs="Times New Roman"/>
      <w:b/>
      <w:sz w:val="24"/>
      <w:szCs w:val="22"/>
      <w:lang w:val="en-US" w:eastAsia="zh-CN" w:bidi="ar-SA"/>
    </w:rPr>
  </w:style>
  <w:style w:type="paragraph" w:customStyle="1" w:styleId="129">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130">
    <w:name w:val="环评表格"/>
    <w:basedOn w:val="1"/>
    <w:qFormat/>
    <w:uiPriority w:val="0"/>
    <w:pPr>
      <w:spacing w:line="240" w:lineRule="auto"/>
      <w:ind w:firstLine="0" w:firstLineChars="0"/>
      <w:jc w:val="center"/>
    </w:pPr>
    <w:rPr>
      <w:b/>
      <w:sz w:val="21"/>
      <w:szCs w:val="21"/>
    </w:rPr>
  </w:style>
  <w:style w:type="character" w:customStyle="1" w:styleId="131">
    <w:name w:val="CH图标 Char"/>
    <w:link w:val="58"/>
    <w:qFormat/>
    <w:uiPriority w:val="0"/>
    <w:rPr>
      <w:b/>
      <w:kern w:val="2"/>
      <w:sz w:val="21"/>
      <w:szCs w:val="21"/>
      <w:lang w:eastAsia="en-US"/>
    </w:rPr>
  </w:style>
  <w:style w:type="paragraph" w:customStyle="1" w:styleId="132">
    <w:name w:val="B表头"/>
    <w:qFormat/>
    <w:uiPriority w:val="0"/>
    <w:pPr>
      <w:widowControl w:val="0"/>
      <w:spacing w:before="50" w:beforeLines="50"/>
      <w:jc w:val="center"/>
    </w:pPr>
    <w:rPr>
      <w:rFonts w:ascii="Times New Roman" w:hAnsi="Times New Roman" w:eastAsia="宋体" w:cs="Times New Roman"/>
      <w:b/>
      <w:sz w:val="24"/>
      <w:szCs w:val="24"/>
      <w:lang w:val="en-US" w:eastAsia="zh-CN" w:bidi="ar-SA"/>
    </w:rPr>
  </w:style>
  <w:style w:type="paragraph" w:customStyle="1" w:styleId="133">
    <w:name w:val="B表内"/>
    <w:qFormat/>
    <w:uiPriority w:val="0"/>
    <w:pPr>
      <w:widowControl w:val="0"/>
      <w:spacing w:line="0" w:lineRule="atLeast"/>
      <w:jc w:val="center"/>
    </w:pPr>
    <w:rPr>
      <w:rFonts w:ascii="Times New Roman" w:hAnsi="Times New Roman" w:eastAsia="宋体" w:cs="宋体"/>
      <w:kern w:val="2"/>
      <w:sz w:val="21"/>
      <w:lang w:val="en-US" w:eastAsia="zh-CN" w:bidi="ar-SA"/>
    </w:rPr>
  </w:style>
  <w:style w:type="character" w:customStyle="1" w:styleId="134">
    <w:name w:val="五号表格 Char"/>
    <w:link w:val="127"/>
    <w:qFormat/>
    <w:uiPriority w:val="0"/>
    <w:rPr>
      <w:rFonts w:cs="Times New Roman"/>
      <w:color w:val="000000"/>
      <w:sz w:val="21"/>
    </w:rPr>
  </w:style>
  <w:style w:type="paragraph" w:customStyle="1" w:styleId="135">
    <w:name w:val="列出段落2"/>
    <w:basedOn w:val="1"/>
    <w:qFormat/>
    <w:uiPriority w:val="34"/>
    <w:pPr>
      <w:spacing w:before="120" w:after="120"/>
      <w:ind w:left="578" w:firstLine="420"/>
    </w:pPr>
  </w:style>
  <w:style w:type="paragraph" w:customStyle="1" w:styleId="136">
    <w:name w:val="正文小五"/>
    <w:qFormat/>
    <w:uiPriority w:val="0"/>
    <w:pPr>
      <w:spacing w:line="360" w:lineRule="auto"/>
      <w:ind w:firstLine="420" w:firstLineChars="200"/>
      <w:jc w:val="both"/>
    </w:pPr>
    <w:rPr>
      <w:rFonts w:ascii="Times New Roman" w:hAnsi="Times New Roman" w:eastAsia="宋体" w:cs="Times New Roman"/>
      <w:color w:val="FF0000"/>
      <w:kern w:val="2"/>
      <w:sz w:val="21"/>
      <w:lang w:val="en-US" w:eastAsia="zh-CN" w:bidi="ar-SA"/>
    </w:rPr>
  </w:style>
  <w:style w:type="paragraph" w:customStyle="1" w:styleId="137">
    <w:name w:val="ZH正文"/>
    <w:basedOn w:val="1"/>
    <w:qFormat/>
    <w:uiPriority w:val="0"/>
  </w:style>
  <w:style w:type="paragraph" w:customStyle="1" w:styleId="138">
    <w:name w:val="CB表头"/>
    <w:basedOn w:val="1"/>
    <w:qFormat/>
    <w:uiPriority w:val="0"/>
    <w:pPr>
      <w:numPr>
        <w:ilvl w:val="0"/>
        <w:numId w:val="7"/>
      </w:numPr>
      <w:jc w:val="center"/>
    </w:pPr>
    <w:rPr>
      <w:b/>
    </w:rPr>
  </w:style>
  <w:style w:type="paragraph" w:customStyle="1" w:styleId="139">
    <w:name w:val="YT表内"/>
    <w:basedOn w:val="48"/>
    <w:qFormat/>
    <w:uiPriority w:val="0"/>
    <w:pPr>
      <w:spacing w:line="240" w:lineRule="atLeast"/>
      <w:ind w:firstLine="0" w:firstLineChars="0"/>
      <w:jc w:val="center"/>
    </w:pPr>
    <w:rPr>
      <w:sz w:val="21"/>
      <w:szCs w:val="21"/>
    </w:rPr>
  </w:style>
  <w:style w:type="paragraph" w:customStyle="1" w:styleId="140">
    <w:name w:val="CB表头2"/>
    <w:basedOn w:val="1"/>
    <w:qFormat/>
    <w:uiPriority w:val="0"/>
    <w:pPr>
      <w:numPr>
        <w:ilvl w:val="0"/>
        <w:numId w:val="8"/>
      </w:numPr>
      <w:autoSpaceDE w:val="0"/>
      <w:autoSpaceDN w:val="0"/>
      <w:spacing w:before="50" w:beforeLines="50" w:line="240" w:lineRule="auto"/>
      <w:jc w:val="center"/>
    </w:pPr>
    <w:rPr>
      <w:rFonts w:hint="eastAsia"/>
      <w:b/>
      <w:bCs/>
      <w:color w:val="000000"/>
      <w:szCs w:val="18"/>
    </w:rPr>
  </w:style>
  <w:style w:type="paragraph" w:customStyle="1" w:styleId="141">
    <w:name w:val="+"/>
    <w:qFormat/>
    <w:uiPriority w:val="0"/>
    <w:pPr>
      <w:widowControl w:val="0"/>
      <w:adjustRightInd w:val="0"/>
      <w:snapToGrid w:val="0"/>
      <w:spacing w:line="360" w:lineRule="auto"/>
      <w:ind w:firstLine="420" w:firstLineChars="200"/>
    </w:pPr>
    <w:rPr>
      <w:rFonts w:ascii="Times New Roman" w:hAnsi="Times New Roman" w:eastAsia="宋体" w:cs="Times New Roman"/>
      <w:sz w:val="24"/>
      <w:szCs w:val="24"/>
      <w:lang w:val="en-US" w:eastAsia="zh-CN" w:bidi="ar-SA"/>
    </w:rPr>
  </w:style>
  <w:style w:type="paragraph" w:customStyle="1" w:styleId="142">
    <w:name w:val="CXY 正文"/>
    <w:qFormat/>
    <w:uiPriority w:val="0"/>
    <w:pPr>
      <w:widowControl w:val="0"/>
      <w:spacing w:line="360" w:lineRule="auto"/>
      <w:ind w:firstLine="723" w:firstLineChars="200"/>
      <w:jc w:val="both"/>
    </w:pPr>
    <w:rPr>
      <w:rFonts w:hint="eastAsia" w:ascii="Times New Roman" w:hAnsi="Times New Roman" w:eastAsia="宋体" w:cs="Times New Roman"/>
      <w:kern w:val="2"/>
      <w:sz w:val="24"/>
      <w:szCs w:val="24"/>
      <w:lang w:val="en-US" w:eastAsia="zh-CN" w:bidi="ar-SA"/>
    </w:rPr>
  </w:style>
  <w:style w:type="paragraph" w:customStyle="1" w:styleId="143">
    <w:name w:val="CB表头3"/>
    <w:next w:val="1"/>
    <w:qFormat/>
    <w:uiPriority w:val="0"/>
    <w:pPr>
      <w:widowControl w:val="0"/>
      <w:numPr>
        <w:ilvl w:val="0"/>
        <w:numId w:val="9"/>
      </w:numPr>
      <w:spacing w:before="50" w:beforeLines="50"/>
      <w:jc w:val="center"/>
    </w:pPr>
    <w:rPr>
      <w:rFonts w:ascii="Times New Roman" w:hAnsi="Times New Roman" w:eastAsia="宋体" w:cs="Times New Roman"/>
      <w:b/>
      <w:bCs/>
      <w:kern w:val="2"/>
      <w:sz w:val="21"/>
      <w:szCs w:val="18"/>
      <w:lang w:val="en-US" w:eastAsia="zh-CN" w:bidi="ar-SA"/>
    </w:rPr>
  </w:style>
  <w:style w:type="table" w:customStyle="1" w:styleId="144">
    <w:name w:val="Table Normal"/>
    <w:unhideWhenUsed/>
    <w:qFormat/>
    <w:uiPriority w:val="0"/>
    <w:tblPr>
      <w:tblCellMar>
        <w:top w:w="0" w:type="dxa"/>
        <w:left w:w="0" w:type="dxa"/>
        <w:bottom w:w="0" w:type="dxa"/>
        <w:right w:w="0" w:type="dxa"/>
      </w:tblCellMar>
    </w:tblPr>
  </w:style>
  <w:style w:type="paragraph" w:customStyle="1" w:styleId="145">
    <w:name w:val="CB表头4"/>
    <w:basedOn w:val="146"/>
    <w:next w:val="1"/>
    <w:qFormat/>
    <w:uiPriority w:val="0"/>
    <w:pPr>
      <w:numPr>
        <w:ilvl w:val="0"/>
        <w:numId w:val="10"/>
      </w:numPr>
      <w:spacing w:before="50" w:beforeLines="50" w:line="240" w:lineRule="auto"/>
      <w:ind w:firstLineChars="0"/>
      <w:jc w:val="center"/>
    </w:pPr>
    <w:rPr>
      <w:b/>
      <w:bCs/>
      <w:szCs w:val="18"/>
    </w:rPr>
  </w:style>
  <w:style w:type="paragraph" w:customStyle="1" w:styleId="146">
    <w:name w:val="CB正文"/>
    <w:qFormat/>
    <w:uiPriority w:val="0"/>
    <w:pPr>
      <w:widowControl w:val="0"/>
      <w:autoSpaceDE w:val="0"/>
      <w:autoSpaceDN w:val="0"/>
      <w:adjustRightInd w:val="0"/>
      <w:spacing w:line="360" w:lineRule="auto"/>
      <w:ind w:firstLine="420" w:firstLineChars="200"/>
      <w:jc w:val="both"/>
    </w:pPr>
    <w:rPr>
      <w:rFonts w:hint="eastAsia" w:ascii="Times New Roman" w:hAnsi="Times New Roman" w:eastAsia="宋体" w:cs="Times New Roman"/>
      <w:color w:val="000000"/>
      <w:kern w:val="2"/>
      <w:sz w:val="21"/>
      <w:szCs w:val="21"/>
      <w:lang w:val="en-US" w:eastAsia="zh-CN" w:bidi="ar-SA"/>
    </w:rPr>
  </w:style>
  <w:style w:type="paragraph" w:customStyle="1" w:styleId="147">
    <w:name w:val="6表格内容"/>
    <w:basedOn w:val="148"/>
    <w:next w:val="148"/>
    <w:qFormat/>
    <w:uiPriority w:val="0"/>
    <w:pPr>
      <w:spacing w:line="240" w:lineRule="auto"/>
      <w:ind w:firstLine="0" w:firstLineChars="0"/>
      <w:jc w:val="center"/>
    </w:pPr>
    <w:rPr>
      <w:sz w:val="21"/>
    </w:rPr>
  </w:style>
  <w:style w:type="paragraph" w:customStyle="1" w:styleId="148">
    <w:name w:val="0报告正文"/>
    <w:basedOn w:val="1"/>
    <w:qFormat/>
    <w:uiPriority w:val="0"/>
    <w:pPr>
      <w:ind w:firstLine="200"/>
    </w:pPr>
  </w:style>
  <w:style w:type="paragraph" w:customStyle="1" w:styleId="149">
    <w:name w:val="A0正文"/>
    <w:qFormat/>
    <w:uiPriority w:val="0"/>
    <w:pPr>
      <w:widowControl w:val="0"/>
      <w:spacing w:line="560" w:lineRule="exact"/>
      <w:ind w:firstLine="200" w:firstLineChars="200"/>
      <w:jc w:val="both"/>
    </w:pPr>
    <w:rPr>
      <w:rFonts w:ascii="Times New Roman" w:hAnsi="Times New Roman" w:eastAsia="宋体" w:cs="宋体"/>
      <w:kern w:val="2"/>
      <w:sz w:val="24"/>
      <w:lang w:val="zh-CN" w:eastAsia="zh-CN" w:bidi="ar-SA"/>
    </w:rPr>
  </w:style>
  <w:style w:type="paragraph" w:customStyle="1" w:styleId="150">
    <w:name w:val="yt表头"/>
    <w:basedOn w:val="1"/>
    <w:next w:val="48"/>
    <w:qFormat/>
    <w:uiPriority w:val="0"/>
    <w:pPr>
      <w:numPr>
        <w:ilvl w:val="3"/>
        <w:numId w:val="11"/>
      </w:numPr>
      <w:ind w:left="0" w:firstLine="0"/>
      <w:jc w:val="center"/>
    </w:pPr>
    <w:rPr>
      <w:b/>
      <w:szCs w:val="21"/>
    </w:rPr>
  </w:style>
  <w:style w:type="character" w:customStyle="1" w:styleId="151">
    <w:name w:val="fontstyle01"/>
    <w:qFormat/>
    <w:uiPriority w:val="0"/>
    <w:rPr>
      <w:rFonts w:ascii="宋体" w:hAnsi="宋体" w:eastAsia="宋体" w:cs="宋体"/>
      <w:color w:val="000000"/>
      <w:sz w:val="24"/>
      <w:szCs w:val="24"/>
    </w:rPr>
  </w:style>
  <w:style w:type="paragraph" w:customStyle="1" w:styleId="152">
    <w:name w:val="样式1"/>
    <w:basedOn w:val="25"/>
    <w:next w:val="1"/>
    <w:qFormat/>
    <w:uiPriority w:val="0"/>
    <w:pPr>
      <w:numPr>
        <w:ilvl w:val="4"/>
        <w:numId w:val="12"/>
      </w:numPr>
    </w:pPr>
  </w:style>
  <w:style w:type="paragraph" w:customStyle="1" w:styleId="153">
    <w:name w:val="CB图标2"/>
    <w:basedOn w:val="1"/>
    <w:next w:val="1"/>
    <w:link w:val="154"/>
    <w:qFormat/>
    <w:uiPriority w:val="0"/>
    <w:pPr>
      <w:numPr>
        <w:ilvl w:val="0"/>
        <w:numId w:val="13"/>
      </w:numPr>
      <w:spacing w:line="240" w:lineRule="auto"/>
      <w:jc w:val="center"/>
    </w:pPr>
    <w:rPr>
      <w:b/>
      <w:bCs/>
      <w:szCs w:val="18"/>
    </w:rPr>
  </w:style>
  <w:style w:type="character" w:customStyle="1" w:styleId="154">
    <w:name w:val="CB图标2 Char"/>
    <w:link w:val="153"/>
    <w:qFormat/>
    <w:uiPriority w:val="0"/>
    <w:rPr>
      <w:b/>
      <w:bCs/>
      <w:kern w:val="2"/>
      <w:sz w:val="24"/>
      <w:szCs w:val="18"/>
    </w:rPr>
  </w:style>
  <w:style w:type="paragraph" w:customStyle="1" w:styleId="155">
    <w:name w:val="font6"/>
    <w:basedOn w:val="1"/>
    <w:next w:val="28"/>
    <w:qFormat/>
    <w:uiPriority w:val="99"/>
    <w:pPr>
      <w:widowControl/>
      <w:spacing w:before="100" w:beforeAutospacing="1" w:after="100" w:afterAutospacing="1"/>
      <w:jc w:val="left"/>
    </w:pPr>
    <w:rPr>
      <w:rFonts w:ascii="宋体" w:hAnsi="宋体" w:cs="宋体"/>
      <w:kern w:val="0"/>
      <w:sz w:val="20"/>
      <w:szCs w:val="20"/>
    </w:rPr>
  </w:style>
  <w:style w:type="paragraph" w:customStyle="1" w:styleId="156">
    <w:name w:val="CXY表内"/>
    <w:basedOn w:val="1"/>
    <w:qFormat/>
    <w:uiPriority w:val="0"/>
    <w:pPr>
      <w:tabs>
        <w:tab w:val="left" w:pos="0"/>
      </w:tabs>
      <w:spacing w:line="240" w:lineRule="auto"/>
      <w:ind w:firstLine="0" w:firstLineChars="0"/>
      <w:jc w:val="center"/>
    </w:pPr>
    <w:rPr>
      <w:sz w:val="21"/>
      <w:szCs w:val="21"/>
    </w:rPr>
  </w:style>
  <w:style w:type="character" w:customStyle="1" w:styleId="157">
    <w:name w:val="未处理的提及1"/>
    <w:basedOn w:val="38"/>
    <w:semiHidden/>
    <w:unhideWhenUsed/>
    <w:qFormat/>
    <w:uiPriority w:val="99"/>
    <w:rPr>
      <w:color w:val="605E5C"/>
      <w:shd w:val="clear" w:color="auto" w:fill="E1DFDD"/>
    </w:rPr>
  </w:style>
  <w:style w:type="character" w:customStyle="1" w:styleId="158">
    <w:name w:val="标题 2 字符"/>
    <w:basedOn w:val="38"/>
    <w:link w:val="3"/>
    <w:semiHidden/>
    <w:qFormat/>
    <w:uiPriority w:val="0"/>
    <w:rPr>
      <w:rFonts w:asciiTheme="majorHAnsi" w:hAnsiTheme="majorHAnsi" w:eastAsiaTheme="majorEastAsia" w:cstheme="majorBidi"/>
      <w:b/>
      <w:bCs/>
      <w:kern w:val="2"/>
      <w:sz w:val="32"/>
      <w:szCs w:val="32"/>
    </w:rPr>
  </w:style>
  <w:style w:type="paragraph" w:customStyle="1" w:styleId="159">
    <w:name w:val="样式8"/>
    <w:basedOn w:val="1"/>
    <w:next w:val="1"/>
    <w:qFormat/>
    <w:uiPriority w:val="0"/>
    <w:pPr>
      <w:adjustRightInd/>
      <w:snapToGrid/>
      <w:spacing w:before="100" w:beforeAutospacing="1" w:after="100" w:afterAutospacing="1" w:line="240" w:lineRule="auto"/>
      <w:ind w:firstLine="0" w:firstLineChars="0"/>
      <w:jc w:val="center"/>
    </w:pPr>
    <w:rPr>
      <w:b/>
    </w:rPr>
  </w:style>
  <w:style w:type="paragraph" w:customStyle="1" w:styleId="160">
    <w:name w:val="D表内"/>
    <w:basedOn w:val="1"/>
    <w:qFormat/>
    <w:uiPriority w:val="0"/>
    <w:pPr>
      <w:snapToGrid/>
      <w:spacing w:before="120" w:after="120" w:line="240" w:lineRule="auto"/>
      <w:ind w:firstLine="0" w:firstLineChars="0"/>
      <w:jc w:val="center"/>
    </w:pPr>
    <w:rPr>
      <w:kern w:val="0"/>
      <w:sz w:val="21"/>
      <w:szCs w:val="21"/>
    </w:rPr>
  </w:style>
  <w:style w:type="paragraph" w:customStyle="1" w:styleId="161">
    <w:name w:val="正文首行缩进 21"/>
    <w:basedOn w:val="11"/>
    <w:next w:val="1"/>
    <w:qFormat/>
    <w:uiPriority w:val="0"/>
    <w:pPr>
      <w:adjustRightInd/>
      <w:snapToGrid/>
      <w:spacing w:before="100" w:beforeAutospacing="1" w:line="240" w:lineRule="auto"/>
      <w:ind w:firstLine="420"/>
    </w:pPr>
    <w:rPr>
      <w:kern w:val="2"/>
      <w:sz w:val="21"/>
      <w:szCs w:val="21"/>
    </w:rPr>
  </w:style>
  <w:style w:type="character" w:customStyle="1" w:styleId="162">
    <w:name w:val="标题1.1 字符"/>
    <w:link w:val="163"/>
    <w:qFormat/>
    <w:uiPriority w:val="0"/>
    <w:rPr>
      <w:rFonts w:eastAsia="黑体"/>
      <w:bCs/>
      <w:color w:val="000000"/>
      <w:kern w:val="2"/>
      <w:sz w:val="24"/>
      <w:szCs w:val="24"/>
    </w:rPr>
  </w:style>
  <w:style w:type="paragraph" w:customStyle="1" w:styleId="163">
    <w:name w:val="标题1.1"/>
    <w:basedOn w:val="1"/>
    <w:link w:val="162"/>
    <w:qFormat/>
    <w:uiPriority w:val="0"/>
    <w:pPr>
      <w:ind w:firstLine="0" w:firstLineChars="0"/>
      <w:jc w:val="left"/>
    </w:pPr>
    <w:rPr>
      <w:rFonts w:eastAsia="黑体"/>
      <w:bCs/>
      <w:color w:val="000000"/>
    </w:rPr>
  </w:style>
  <w:style w:type="paragraph" w:customStyle="1" w:styleId="164">
    <w:name w:val="样式9"/>
    <w:basedOn w:val="1"/>
    <w:next w:val="1"/>
    <w:qFormat/>
    <w:uiPriority w:val="0"/>
    <w:pPr>
      <w:tabs>
        <w:tab w:val="left" w:pos="420"/>
      </w:tabs>
      <w:spacing w:line="240" w:lineRule="auto"/>
      <w:ind w:left="425" w:firstLine="0" w:firstLineChars="0"/>
      <w:jc w:val="center"/>
    </w:pPr>
    <w:rPr>
      <w:b/>
    </w:rPr>
  </w:style>
  <w:style w:type="character" w:customStyle="1" w:styleId="165">
    <w:name w:val="纯文本 字符"/>
    <w:link w:val="17"/>
    <w:qFormat/>
    <w:uiPriority w:val="0"/>
    <w:rPr>
      <w:rFonts w:ascii="宋体" w:hAnsi="Courier New"/>
      <w:kern w:val="2"/>
      <w:sz w:val="24"/>
      <w:szCs w:val="21"/>
    </w:rPr>
  </w:style>
  <w:style w:type="table" w:customStyle="1" w:styleId="166">
    <w:name w:val="A表格样式69"/>
    <w:basedOn w:val="36"/>
    <w:qFormat/>
    <w:uiPriority w:val="0"/>
    <w:pPr>
      <w:widowControl w:val="0"/>
      <w:jc w:val="center"/>
    </w:pPr>
    <w:rPr>
      <w:sz w:val="21"/>
    </w:rPr>
    <w:tblPr>
      <w:tblBorders>
        <w:top w:val="single" w:color="000000" w:sz="12" w:space="0"/>
        <w:bottom w:val="single" w:color="000000" w:sz="12" w:space="0"/>
        <w:insideH w:val="single" w:color="auto" w:sz="4" w:space="0"/>
        <w:insideV w:val="single" w:color="auto" w:sz="4" w:space="0"/>
      </w:tblBorders>
      <w:tblCellMar>
        <w:left w:w="0" w:type="dxa"/>
        <w:right w:w="0" w:type="dxa"/>
      </w:tblCellMar>
    </w:tblPr>
    <w:tcPr>
      <w:vAlign w:val="center"/>
    </w:tcPr>
    <w:tblStylePr w:type="firstRow">
      <w:rPr>
        <w:rFonts w:ascii="宋体" w:hAnsi="宋体" w:eastAsia="宋体"/>
        <w:b/>
        <w:sz w:val="21"/>
      </w:rPr>
    </w:tblStylePr>
  </w:style>
  <w:style w:type="paragraph" w:customStyle="1" w:styleId="167">
    <w:name w:val="报告1"/>
    <w:basedOn w:val="1"/>
    <w:qFormat/>
    <w:uiPriority w:val="0"/>
    <w:pPr>
      <w:adjustRightInd w:val="0"/>
      <w:spacing w:line="360" w:lineRule="auto"/>
      <w:ind w:firstLine="505"/>
      <w:textAlignment w:val="baseline"/>
    </w:pPr>
    <w:rPr>
      <w:kern w:val="0"/>
      <w:sz w:val="24"/>
    </w:rPr>
  </w:style>
  <w:style w:type="paragraph" w:customStyle="1" w:styleId="168">
    <w:name w:val="德正正文"/>
    <w:basedOn w:val="1"/>
    <w:next w:val="1"/>
    <w:qFormat/>
    <w:uiPriority w:val="0"/>
    <w:pPr>
      <w:adjustRightInd w:val="0"/>
      <w:snapToGrid w:val="0"/>
      <w:spacing w:line="360" w:lineRule="auto"/>
      <w:ind w:firstLine="200" w:firstLineChars="200"/>
    </w:pPr>
    <w:rPr>
      <w:rFonts w:ascii="Times New Roman" w:hAnsi="Times New Roman" w:eastAsia="宋体" w:cs="Times New Roman"/>
      <w:kern w:val="0"/>
      <w:sz w:val="24"/>
      <w:szCs w:val="24"/>
    </w:rPr>
  </w:style>
  <w:style w:type="paragraph" w:customStyle="1" w:styleId="169">
    <w:name w:val="A表内"/>
    <w:basedOn w:val="1"/>
    <w:qFormat/>
    <w:uiPriority w:val="0"/>
    <w:pPr>
      <w:spacing w:line="0" w:lineRule="atLeast"/>
      <w:jc w:val="center"/>
    </w:pPr>
    <w:rPr>
      <w:rFonts w:cs="宋体"/>
      <w:szCs w:val="20"/>
    </w:rPr>
  </w:style>
  <w:style w:type="paragraph" w:customStyle="1" w:styleId="170">
    <w:name w:val="D正文"/>
    <w:basedOn w:val="1"/>
    <w:qFormat/>
    <w:uiPriority w:val="0"/>
    <w:pPr>
      <w:ind w:firstLine="480"/>
    </w:pPr>
    <w:rPr>
      <w:szCs w:val="24"/>
    </w:rPr>
  </w:style>
  <w:style w:type="paragraph" w:customStyle="1" w:styleId="171">
    <w:name w:val="【】表头"/>
    <w:basedOn w:val="1"/>
    <w:next w:val="169"/>
    <w:qFormat/>
    <w:uiPriority w:val="0"/>
    <w:pPr>
      <w:numPr>
        <w:ilvl w:val="5"/>
        <w:numId w:val="14"/>
      </w:numPr>
      <w:spacing w:before="50" w:beforeLines="50" w:line="240" w:lineRule="atLeast"/>
      <w:jc w:val="center"/>
      <w:outlineLvl w:val="5"/>
    </w:pPr>
    <w:rPr>
      <w:rFonts w:eastAsia="黑体" w:cs="宋体"/>
      <w:sz w:val="22"/>
      <w:szCs w:val="20"/>
    </w:rPr>
  </w:style>
  <w:style w:type="table" w:customStyle="1" w:styleId="172">
    <w:name w:val="A表格样式92"/>
    <w:basedOn w:val="36"/>
    <w:qFormat/>
    <w:uiPriority w:val="0"/>
    <w:pPr>
      <w:widowControl w:val="0"/>
      <w:jc w:val="center"/>
    </w:pPr>
    <w:rPr>
      <w:sz w:val="21"/>
    </w:rPr>
    <w:tblPr>
      <w:tblBorders>
        <w:top w:val="single" w:color="000000" w:sz="12" w:space="0"/>
        <w:bottom w:val="single" w:color="000000" w:sz="12" w:space="0"/>
        <w:insideH w:val="single" w:color="auto" w:sz="4" w:space="0"/>
        <w:insideV w:val="single" w:color="auto" w:sz="4" w:space="0"/>
      </w:tblBorders>
      <w:tblCellMar>
        <w:left w:w="0" w:type="dxa"/>
        <w:right w:w="0" w:type="dxa"/>
      </w:tblCellMar>
    </w:tblPr>
    <w:tcPr>
      <w:vAlign w:val="center"/>
    </w:tcPr>
    <w:tblStylePr w:type="firstRow">
      <w:rPr>
        <w:b/>
      </w:rPr>
    </w:tblStylePr>
  </w:style>
  <w:style w:type="paragraph" w:customStyle="1" w:styleId="173">
    <w:name w:val="D图表"/>
    <w:basedOn w:val="1"/>
    <w:qFormat/>
    <w:uiPriority w:val="0"/>
    <w:pPr>
      <w:keepNext/>
      <w:keepLines/>
      <w:spacing w:before="120" w:after="120"/>
      <w:jc w:val="center"/>
    </w:pPr>
    <w:rPr>
      <w:b/>
      <w:szCs w:val="21"/>
    </w:rPr>
  </w:style>
  <w:style w:type="paragraph" w:customStyle="1" w:styleId="174">
    <w:name w:val="05F凡式正文"/>
    <w:basedOn w:val="1"/>
    <w:qFormat/>
    <w:uiPriority w:val="0"/>
    <w:pPr>
      <w:spacing w:line="360" w:lineRule="auto"/>
      <w:ind w:firstLine="720" w:firstLineChars="200"/>
    </w:pPr>
    <w:rPr>
      <w:rFonts w:ascii="Times New Roman" w:hAnsi="Times New Roman" w:eastAsia="宋体" w:cs="Times New Roman"/>
      <w:kern w:val="0"/>
      <w:sz w:val="24"/>
      <w:szCs w:val="20"/>
    </w:rPr>
  </w:style>
  <w:style w:type="paragraph" w:customStyle="1" w:styleId="175">
    <w:name w:val="【】4级"/>
    <w:basedOn w:val="5"/>
    <w:next w:val="1"/>
    <w:qFormat/>
    <w:uiPriority w:val="0"/>
    <w:pPr>
      <w:numPr>
        <w:ilvl w:val="3"/>
        <w:numId w:val="14"/>
      </w:numPr>
      <w:spacing w:before="0" w:after="0" w:line="500" w:lineRule="exact"/>
      <w:outlineLvl w:val="9"/>
    </w:pPr>
    <w:rPr>
      <w:rFonts w:ascii="Times New Roman" w:hAnsi="Times New Roman" w:eastAsia="黑体"/>
      <w:b w:val="0"/>
      <w:sz w:val="24"/>
    </w:rPr>
  </w:style>
  <w:style w:type="paragraph" w:customStyle="1" w:styleId="176">
    <w:name w:val="A注明"/>
    <w:basedOn w:val="1"/>
    <w:qFormat/>
    <w:uiPriority w:val="0"/>
    <w:rPr>
      <w:rFonts w:cs="Times New Roman"/>
      <w:b/>
      <w:color w:val="000000"/>
      <w:sz w:val="18"/>
      <w:szCs w:val="18"/>
    </w:rPr>
  </w:style>
  <w:style w:type="paragraph" w:customStyle="1" w:styleId="177">
    <w:name w:val="德正表格"/>
    <w:basedOn w:val="1"/>
    <w:qFormat/>
    <w:uiPriority w:val="0"/>
    <w:pPr>
      <w:adjustRightInd w:val="0"/>
      <w:snapToGrid w:val="0"/>
      <w:spacing w:line="240" w:lineRule="auto"/>
      <w:ind w:firstLine="0" w:firstLineChars="0"/>
      <w:jc w:val="center"/>
    </w:pPr>
    <w:rPr>
      <w:rFonts w:hint="default" w:ascii="Times New Roman" w:hAnsi="Times New Roman"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3" Type="http://schemas.openxmlformats.org/officeDocument/2006/relationships/fontTable" Target="fontTable.xml"/><Relationship Id="rId62" Type="http://schemas.openxmlformats.org/officeDocument/2006/relationships/customXml" Target="../customXml/item2.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header" Target="header2.xml"/><Relationship Id="rId59" Type="http://schemas.openxmlformats.org/officeDocument/2006/relationships/image" Target="media/image33.png"/><Relationship Id="rId58" Type="http://schemas.openxmlformats.org/officeDocument/2006/relationships/image" Target="media/image32.jpeg"/><Relationship Id="rId57" Type="http://schemas.openxmlformats.org/officeDocument/2006/relationships/image" Target="media/image31.jpeg"/><Relationship Id="rId56" Type="http://schemas.openxmlformats.org/officeDocument/2006/relationships/image" Target="media/image30.jpeg"/><Relationship Id="rId55" Type="http://schemas.openxmlformats.org/officeDocument/2006/relationships/image" Target="media/image29.jpeg"/><Relationship Id="rId54" Type="http://schemas.openxmlformats.org/officeDocument/2006/relationships/image" Target="media/image28.jpeg"/><Relationship Id="rId53" Type="http://schemas.openxmlformats.org/officeDocument/2006/relationships/image" Target="media/image27.jpeg"/><Relationship Id="rId52" Type="http://schemas.openxmlformats.org/officeDocument/2006/relationships/image" Target="media/image26.jpeg"/><Relationship Id="rId51" Type="http://schemas.openxmlformats.org/officeDocument/2006/relationships/image" Target="media/image25.jpeg"/><Relationship Id="rId50" Type="http://schemas.openxmlformats.org/officeDocument/2006/relationships/image" Target="media/image24.wmf"/><Relationship Id="rId5" Type="http://schemas.openxmlformats.org/officeDocument/2006/relationships/header" Target="header1.xml"/><Relationship Id="rId49" Type="http://schemas.openxmlformats.org/officeDocument/2006/relationships/oleObject" Target="embeddings/oleObject10.bin"/><Relationship Id="rId48" Type="http://schemas.openxmlformats.org/officeDocument/2006/relationships/image" Target="media/image23.wmf"/><Relationship Id="rId47" Type="http://schemas.openxmlformats.org/officeDocument/2006/relationships/oleObject" Target="embeddings/oleObject9.bin"/><Relationship Id="rId46" Type="http://schemas.openxmlformats.org/officeDocument/2006/relationships/image" Target="media/image22.wmf"/><Relationship Id="rId45" Type="http://schemas.openxmlformats.org/officeDocument/2006/relationships/oleObject" Target="embeddings/oleObject8.bin"/><Relationship Id="rId44" Type="http://schemas.openxmlformats.org/officeDocument/2006/relationships/image" Target="media/image21.wmf"/><Relationship Id="rId43" Type="http://schemas.openxmlformats.org/officeDocument/2006/relationships/oleObject" Target="embeddings/oleObject7.bin"/><Relationship Id="rId42" Type="http://schemas.openxmlformats.org/officeDocument/2006/relationships/image" Target="media/image20.wmf"/><Relationship Id="rId41" Type="http://schemas.openxmlformats.org/officeDocument/2006/relationships/oleObject" Target="embeddings/oleObject6.bin"/><Relationship Id="rId40" Type="http://schemas.openxmlformats.org/officeDocument/2006/relationships/image" Target="media/image19.wmf"/><Relationship Id="rId4" Type="http://schemas.openxmlformats.org/officeDocument/2006/relationships/endnotes" Target="endnotes.xml"/><Relationship Id="rId39" Type="http://schemas.openxmlformats.org/officeDocument/2006/relationships/oleObject" Target="embeddings/oleObject5.bin"/><Relationship Id="rId38" Type="http://schemas.openxmlformats.org/officeDocument/2006/relationships/image" Target="media/image18.png"/><Relationship Id="rId37" Type="http://schemas.openxmlformats.org/officeDocument/2006/relationships/image" Target="media/image17.png"/><Relationship Id="rId36" Type="http://schemas.openxmlformats.org/officeDocument/2006/relationships/image" Target="media/image16.wmf"/><Relationship Id="rId35" Type="http://schemas.openxmlformats.org/officeDocument/2006/relationships/oleObject" Target="embeddings/oleObject4.bin"/><Relationship Id="rId34" Type="http://schemas.openxmlformats.org/officeDocument/2006/relationships/image" Target="media/image15.emf"/><Relationship Id="rId33" Type="http://schemas.openxmlformats.org/officeDocument/2006/relationships/oleObject" Target="embeddings/oleObject3.bin"/><Relationship Id="rId32" Type="http://schemas.openxmlformats.org/officeDocument/2006/relationships/image" Target="media/image14.jpeg"/><Relationship Id="rId31" Type="http://schemas.openxmlformats.org/officeDocument/2006/relationships/image" Target="media/image13.emf"/><Relationship Id="rId30" Type="http://schemas.openxmlformats.org/officeDocument/2006/relationships/image" Target="media/image12.emf"/><Relationship Id="rId3" Type="http://schemas.openxmlformats.org/officeDocument/2006/relationships/footnotes" Target="footnotes.xml"/><Relationship Id="rId29" Type="http://schemas.openxmlformats.org/officeDocument/2006/relationships/image" Target="media/image11.emf"/><Relationship Id="rId28" Type="http://schemas.openxmlformats.org/officeDocument/2006/relationships/image" Target="media/image10.emf"/><Relationship Id="rId27" Type="http://schemas.openxmlformats.org/officeDocument/2006/relationships/image" Target="media/image9.emf"/><Relationship Id="rId26" Type="http://schemas.openxmlformats.org/officeDocument/2006/relationships/image" Target="media/image8.emf"/><Relationship Id="rId25" Type="http://schemas.openxmlformats.org/officeDocument/2006/relationships/oleObject" Target="embeddings/oleObject2.bin"/><Relationship Id="rId24" Type="http://schemas.openxmlformats.org/officeDocument/2006/relationships/image" Target="media/image7.emf"/><Relationship Id="rId23" Type="http://schemas.openxmlformats.org/officeDocument/2006/relationships/oleObject" Target="embeddings/oleObject1.bin"/><Relationship Id="rId22" Type="http://schemas.openxmlformats.org/officeDocument/2006/relationships/image" Target="media/image6.png"/><Relationship Id="rId21" Type="http://schemas.openxmlformats.org/officeDocument/2006/relationships/image" Target="media/image5.jpe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jpe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E3637E-729F-42A8-8EF2-836F253A871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121</Pages>
  <Words>24754</Words>
  <Characters>26017</Characters>
  <Lines>475</Lines>
  <Paragraphs>133</Paragraphs>
  <TotalTime>54</TotalTime>
  <ScaleCrop>false</ScaleCrop>
  <LinksUpToDate>false</LinksUpToDate>
  <CharactersWithSpaces>26149</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2020-12-24T09:29:00Z</dcterms:created>
  <dc:creator>lhj</dc:creator>
  <cp:lastModifiedBy>小愤青菜</cp:lastModifiedBy>
  <cp:lastPrinted>2025-12-22T21:23:00Z</cp:lastPrinted>
  <dcterms:modified xsi:type="dcterms:W3CDTF">2026-03-03T15:11:56Z</dcterms:modified>
  <dc:title>附件2</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97BD603E465841A08048CDD1AE2A1EA8_13</vt:lpwstr>
  </property>
  <property fmtid="{D5CDD505-2E9C-101B-9397-08002B2CF9AE}" pid="4" name="KSOTemplateDocerSaveRecord">
    <vt:lpwstr>eyJoZGlkIjoiYWU3YTRiMmMyYTJkMDUzNDhhYjFkM2YwNTE4NzUzYjkiLCJ1c2VySWQiOiI1OTAyMTg5NjYifQ==</vt:lpwstr>
  </property>
</Properties>
</file>