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bookmarkStart w:id="0" w:name="_GoBack"/>
      <w:bookmarkEnd w:id="0"/>
      <w:r>
        <w:rPr>
          <w:rFonts w:hint="eastAsia" w:ascii="方正小标宋简体" w:hAnsi="方正小标宋简体" w:eastAsia="方正小标宋简体" w:cs="方正小标宋简体"/>
          <w:sz w:val="44"/>
          <w:szCs w:val="44"/>
          <w:lang w:eastAsia="zh-CN"/>
        </w:rPr>
        <w:t>市工信局安全生产权力责任清单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213"/>
        <w:gridCol w:w="1282"/>
        <w:gridCol w:w="1609"/>
        <w:gridCol w:w="3151"/>
        <w:gridCol w:w="1473"/>
        <w:gridCol w:w="4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jc w:val="center"/>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序号</w:t>
            </w:r>
          </w:p>
        </w:tc>
        <w:tc>
          <w:tcPr>
            <w:tcW w:w="1213" w:type="dxa"/>
            <w:vAlign w:val="center"/>
          </w:tcPr>
          <w:p>
            <w:pPr>
              <w:jc w:val="center"/>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责任部门</w:t>
            </w:r>
          </w:p>
        </w:tc>
        <w:tc>
          <w:tcPr>
            <w:tcW w:w="1282" w:type="dxa"/>
            <w:vAlign w:val="center"/>
          </w:tcPr>
          <w:p>
            <w:pPr>
              <w:jc w:val="center"/>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部门职责</w:t>
            </w:r>
          </w:p>
        </w:tc>
        <w:tc>
          <w:tcPr>
            <w:tcW w:w="1609" w:type="dxa"/>
            <w:vAlign w:val="center"/>
          </w:tcPr>
          <w:p>
            <w:pPr>
              <w:jc w:val="center"/>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依据</w:t>
            </w:r>
          </w:p>
        </w:tc>
        <w:tc>
          <w:tcPr>
            <w:tcW w:w="3151" w:type="dxa"/>
            <w:vAlign w:val="center"/>
          </w:tcPr>
          <w:p>
            <w:pPr>
              <w:jc w:val="center"/>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工作事项</w:t>
            </w:r>
          </w:p>
        </w:tc>
        <w:tc>
          <w:tcPr>
            <w:tcW w:w="1473" w:type="dxa"/>
            <w:vAlign w:val="center"/>
          </w:tcPr>
          <w:p>
            <w:pPr>
              <w:jc w:val="center"/>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与相关部门的职责边界</w:t>
            </w:r>
          </w:p>
        </w:tc>
        <w:tc>
          <w:tcPr>
            <w:tcW w:w="4611" w:type="dxa"/>
            <w:vAlign w:val="center"/>
          </w:tcPr>
          <w:p>
            <w:pPr>
              <w:jc w:val="center"/>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不履职或不正确履职责任情形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jc w:val="center"/>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1</w:t>
            </w:r>
          </w:p>
        </w:tc>
        <w:tc>
          <w:tcPr>
            <w:tcW w:w="1213" w:type="dxa"/>
            <w:vMerge w:val="restart"/>
            <w:vAlign w:val="center"/>
          </w:tcPr>
          <w:p>
            <w:p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高安市工业和信息化局</w:t>
            </w:r>
          </w:p>
        </w:tc>
        <w:tc>
          <w:tcPr>
            <w:tcW w:w="1282" w:type="dxa"/>
            <w:vAlign w:val="center"/>
          </w:tcPr>
          <w:p>
            <w:p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民用爆炸物品生产、销售安全生产监督管理</w:t>
            </w:r>
          </w:p>
        </w:tc>
        <w:tc>
          <w:tcPr>
            <w:tcW w:w="1609" w:type="dxa"/>
            <w:vAlign w:val="center"/>
          </w:tcPr>
          <w:p>
            <w:pPr>
              <w:numPr>
                <w:ilvl w:val="0"/>
                <w:numId w:val="1"/>
              </w:numPr>
              <w:jc w:val="both"/>
              <w:rPr>
                <w:rFonts w:hint="eastAsia"/>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《安全生产法》</w:t>
            </w:r>
          </w:p>
          <w:p>
            <w:pPr>
              <w:numPr>
                <w:ilvl w:val="0"/>
                <w:numId w:val="1"/>
              </w:num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《民用爆炸物品安全管理条例》</w:t>
            </w:r>
          </w:p>
          <w:p>
            <w:pPr>
              <w:jc w:val="both"/>
              <w:rPr>
                <w:rFonts w:hint="eastAsia"/>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3.《民用爆炸物品安全生产许可实施办法》</w:t>
            </w:r>
          </w:p>
          <w:p>
            <w:pPr>
              <w:jc w:val="both"/>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4.《民用爆炸物品销售许可实施办法》</w:t>
            </w:r>
          </w:p>
        </w:tc>
        <w:tc>
          <w:tcPr>
            <w:tcW w:w="3151" w:type="dxa"/>
            <w:vAlign w:val="center"/>
          </w:tcPr>
          <w:p>
            <w:pPr>
              <w:jc w:val="both"/>
              <w:rPr>
                <w:rFonts w:hint="eastAsia"/>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1.负责民用爆炸物品安全生产许可（年检）初审核。</w:t>
            </w:r>
          </w:p>
          <w:p>
            <w:pPr>
              <w:jc w:val="both"/>
              <w:rPr>
                <w:rFonts w:hint="eastAsia"/>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2.负责民用爆炸物品销售许可年度报告初审核。</w:t>
            </w:r>
          </w:p>
          <w:p>
            <w:pPr>
              <w:jc w:val="both"/>
              <w:rPr>
                <w:rFonts w:hint="eastAsia"/>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3.负责对民用爆炸物品生产、销售场所安全生产的检查。</w:t>
            </w:r>
          </w:p>
          <w:p>
            <w:pPr>
              <w:jc w:val="both"/>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4.负责对民用爆炸物品生产、销售企业主要负责人和安全管理人员的安全生产知识和管理能力考核。</w:t>
            </w:r>
          </w:p>
          <w:p>
            <w:pPr>
              <w:jc w:val="both"/>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5.负责对企业违反民用爆炸物品安全管理规定的处罚。</w:t>
            </w:r>
          </w:p>
        </w:tc>
        <w:tc>
          <w:tcPr>
            <w:tcW w:w="1473" w:type="dxa"/>
            <w:vAlign w:val="center"/>
          </w:tcPr>
          <w:p>
            <w:pPr>
              <w:jc w:val="both"/>
              <w:rPr>
                <w:rFonts w:hint="eastAsia"/>
                <w:color w:val="000000" w:themeColor="text1"/>
                <w:sz w:val="24"/>
                <w:szCs w:val="24"/>
                <w:vertAlign w:val="baseline"/>
                <w:lang w:eastAsia="zh-CN"/>
                <w14:textFill>
                  <w14:solidFill>
                    <w14:schemeClr w14:val="tx1"/>
                  </w14:solidFill>
                </w14:textFill>
              </w:rPr>
            </w:pPr>
          </w:p>
        </w:tc>
        <w:tc>
          <w:tcPr>
            <w:tcW w:w="4611" w:type="dxa"/>
            <w:vAlign w:val="center"/>
          </w:tcPr>
          <w:p>
            <w:pPr>
              <w:numPr>
                <w:ilvl w:val="0"/>
                <w:numId w:val="0"/>
              </w:num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1.对不符合法定安全生产条件的涉及安全生产的事项予以初审核通过的。</w:t>
            </w:r>
          </w:p>
          <w:p>
            <w:pPr>
              <w:numPr>
                <w:ilvl w:val="0"/>
                <w:numId w:val="0"/>
              </w:num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2.发现未依法取得批准、验收的单位擅自从事有关活动或者接到举报后不处理、不核查、不向上级主管部门报告的。</w:t>
            </w:r>
          </w:p>
          <w:p>
            <w:pPr>
              <w:numPr>
                <w:ilvl w:val="0"/>
                <w:numId w:val="0"/>
              </w:num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3.对已经依法取得批准的单位不履行监督管理职责，发现其不再具备安全生产条件而不如实上报或者发现安全生产违法行为不予查处的。</w:t>
            </w:r>
          </w:p>
          <w:p>
            <w:pPr>
              <w:numPr>
                <w:ilvl w:val="0"/>
                <w:numId w:val="0"/>
              </w:num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4.在监督检查中发现重大事故隐患，未依法及时处理的。</w:t>
            </w:r>
          </w:p>
          <w:p>
            <w:pPr>
              <w:numPr>
                <w:ilvl w:val="0"/>
                <w:numId w:val="0"/>
              </w:num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5.滥用职权、玩忽职守、徇私舞弊的。</w:t>
            </w:r>
          </w:p>
          <w:p>
            <w:pPr>
              <w:numPr>
                <w:ilvl w:val="0"/>
                <w:numId w:val="0"/>
              </w:numPr>
              <w:jc w:val="both"/>
              <w:rPr>
                <w:rFonts w:hint="eastAsia"/>
                <w:color w:val="000000" w:themeColor="text1"/>
                <w:sz w:val="24"/>
                <w:szCs w:val="24"/>
                <w:vertAlign w:val="baseli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jc w:val="center"/>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2</w:t>
            </w:r>
          </w:p>
        </w:tc>
        <w:tc>
          <w:tcPr>
            <w:tcW w:w="1213" w:type="dxa"/>
            <w:vMerge w:val="continue"/>
            <w:vAlign w:val="center"/>
          </w:tcPr>
          <w:p>
            <w:pPr>
              <w:jc w:val="both"/>
              <w:rPr>
                <w:rFonts w:hint="eastAsia"/>
                <w:color w:val="000000" w:themeColor="text1"/>
                <w:sz w:val="24"/>
                <w:szCs w:val="24"/>
                <w:vertAlign w:val="baseline"/>
                <w:lang w:eastAsia="zh-CN"/>
                <w14:textFill>
                  <w14:solidFill>
                    <w14:schemeClr w14:val="tx1"/>
                  </w14:solidFill>
                </w14:textFill>
              </w:rPr>
            </w:pPr>
          </w:p>
        </w:tc>
        <w:tc>
          <w:tcPr>
            <w:tcW w:w="1282" w:type="dxa"/>
            <w:vAlign w:val="center"/>
          </w:tcPr>
          <w:p>
            <w:p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军工单位安全生产监督管理</w:t>
            </w:r>
          </w:p>
        </w:tc>
        <w:tc>
          <w:tcPr>
            <w:tcW w:w="1609" w:type="dxa"/>
            <w:vAlign w:val="center"/>
          </w:tcPr>
          <w:p>
            <w:pPr>
              <w:jc w:val="both"/>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1.《安全生产法》</w:t>
            </w:r>
          </w:p>
        </w:tc>
        <w:tc>
          <w:tcPr>
            <w:tcW w:w="3151" w:type="dxa"/>
            <w:vAlign w:val="center"/>
          </w:tcPr>
          <w:p>
            <w:pPr>
              <w:jc w:val="both"/>
              <w:rPr>
                <w:rFonts w:hint="eastAsia" w:asciiTheme="minorHAnsi" w:hAnsiTheme="minorHAnsi" w:eastAsiaTheme="minorEastAsia" w:cstheme="minorBidi"/>
                <w:color w:val="000000" w:themeColor="text1"/>
                <w:kern w:val="2"/>
                <w:sz w:val="24"/>
                <w:szCs w:val="24"/>
                <w:vertAlign w:val="baseline"/>
                <w:lang w:val="en-US" w:eastAsia="zh-CN" w:bidi="ar-SA"/>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负责对本行政区域内军工单位安全生产的检查。</w:t>
            </w:r>
          </w:p>
        </w:tc>
        <w:tc>
          <w:tcPr>
            <w:tcW w:w="1473" w:type="dxa"/>
            <w:vAlign w:val="center"/>
          </w:tcPr>
          <w:p>
            <w:pPr>
              <w:jc w:val="both"/>
              <w:rPr>
                <w:rFonts w:hint="eastAsia"/>
                <w:color w:val="000000" w:themeColor="text1"/>
                <w:sz w:val="24"/>
                <w:szCs w:val="24"/>
                <w:vertAlign w:val="baseline"/>
                <w:lang w:eastAsia="zh-CN"/>
                <w14:textFill>
                  <w14:solidFill>
                    <w14:schemeClr w14:val="tx1"/>
                  </w14:solidFill>
                </w14:textFill>
              </w:rPr>
            </w:pPr>
          </w:p>
        </w:tc>
        <w:tc>
          <w:tcPr>
            <w:tcW w:w="4611" w:type="dxa"/>
            <w:vAlign w:val="center"/>
          </w:tcPr>
          <w:p>
            <w:pPr>
              <w:numPr>
                <w:ilvl w:val="0"/>
                <w:numId w:val="2"/>
              </w:num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在检查中，有滥用职权、徇私舞弊、玩忽职守等行为的；</w:t>
            </w:r>
          </w:p>
          <w:p>
            <w:pPr>
              <w:numPr>
                <w:ilvl w:val="0"/>
                <w:numId w:val="2"/>
              </w:num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在检查中，有索取或者收受他人财物或者谋取其他利益的；</w:t>
            </w:r>
          </w:p>
          <w:p>
            <w:pPr>
              <w:numPr>
                <w:ilvl w:val="0"/>
                <w:numId w:val="2"/>
              </w:num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其他违反法律法规规章文件规定的行为。</w:t>
            </w:r>
          </w:p>
          <w:p>
            <w:pPr>
              <w:numPr>
                <w:ilvl w:val="0"/>
                <w:numId w:val="0"/>
              </w:numPr>
              <w:jc w:val="both"/>
              <w:rPr>
                <w:rFonts w:hint="eastAsia"/>
                <w:color w:val="000000" w:themeColor="text1"/>
                <w:sz w:val="24"/>
                <w:szCs w:val="24"/>
                <w:vertAlign w:val="baseli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jc w:val="center"/>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3</w:t>
            </w:r>
          </w:p>
        </w:tc>
        <w:tc>
          <w:tcPr>
            <w:tcW w:w="1213" w:type="dxa"/>
            <w:vMerge w:val="continue"/>
            <w:vAlign w:val="center"/>
          </w:tcPr>
          <w:p>
            <w:pPr>
              <w:jc w:val="both"/>
              <w:rPr>
                <w:rFonts w:hint="eastAsia"/>
                <w:color w:val="000000" w:themeColor="text1"/>
                <w:sz w:val="24"/>
                <w:szCs w:val="24"/>
                <w:vertAlign w:val="baseline"/>
                <w:lang w:eastAsia="zh-CN"/>
                <w14:textFill>
                  <w14:solidFill>
                    <w14:schemeClr w14:val="tx1"/>
                  </w14:solidFill>
                </w14:textFill>
              </w:rPr>
            </w:pPr>
          </w:p>
        </w:tc>
        <w:tc>
          <w:tcPr>
            <w:tcW w:w="1282" w:type="dxa"/>
            <w:vAlign w:val="center"/>
          </w:tcPr>
          <w:p>
            <w:p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民用船舶制造业安全生产监督管理</w:t>
            </w:r>
          </w:p>
        </w:tc>
        <w:tc>
          <w:tcPr>
            <w:tcW w:w="1609" w:type="dxa"/>
            <w:vAlign w:val="center"/>
          </w:tcPr>
          <w:p>
            <w:pPr>
              <w:jc w:val="both"/>
              <w:rPr>
                <w:rFonts w:hint="eastAsia"/>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1.《安全生产法》</w:t>
            </w:r>
          </w:p>
          <w:p>
            <w:pPr>
              <w:jc w:val="both"/>
              <w:rPr>
                <w:rFonts w:hint="eastAsia"/>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2.《工业和信息化部关于进一步加强工业行业安全生产管理的指导意见》</w:t>
            </w:r>
          </w:p>
        </w:tc>
        <w:tc>
          <w:tcPr>
            <w:tcW w:w="3151" w:type="dxa"/>
            <w:vAlign w:val="center"/>
          </w:tcPr>
          <w:p>
            <w:pPr>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依法开展民用船舶制造业安全生产监管执法</w:t>
            </w:r>
          </w:p>
        </w:tc>
        <w:tc>
          <w:tcPr>
            <w:tcW w:w="1473" w:type="dxa"/>
            <w:vAlign w:val="center"/>
          </w:tcPr>
          <w:p>
            <w:pPr>
              <w:jc w:val="both"/>
              <w:rPr>
                <w:rFonts w:hint="eastAsia"/>
                <w:color w:val="000000" w:themeColor="text1"/>
                <w:sz w:val="24"/>
                <w:szCs w:val="24"/>
                <w:vertAlign w:val="baseline"/>
                <w:lang w:eastAsia="zh-CN"/>
                <w14:textFill>
                  <w14:solidFill>
                    <w14:schemeClr w14:val="tx1"/>
                  </w14:solidFill>
                </w14:textFill>
              </w:rPr>
            </w:pPr>
          </w:p>
        </w:tc>
        <w:tc>
          <w:tcPr>
            <w:tcW w:w="4611" w:type="dxa"/>
            <w:vAlign w:val="center"/>
          </w:tcPr>
          <w:p>
            <w:pPr>
              <w:numPr>
                <w:ilvl w:val="0"/>
                <w:numId w:val="0"/>
              </w:numPr>
              <w:ind w:left="0" w:leftChars="0" w:firstLine="0" w:firstLineChars="0"/>
              <w:jc w:val="both"/>
              <w:rPr>
                <w:rFonts w:hint="eastAsia"/>
                <w:color w:val="000000" w:themeColor="text1"/>
                <w:sz w:val="24"/>
                <w:szCs w:val="24"/>
                <w:vertAlign w:val="baseline"/>
                <w:lang w:eastAsia="zh-CN"/>
                <w14:textFill>
                  <w14:solidFill>
                    <w14:schemeClr w14:val="tx1"/>
                  </w14:solidFill>
                </w14:textFill>
              </w:rPr>
            </w:pPr>
            <w:r>
              <w:rPr>
                <w:rFonts w:hint="eastAsia"/>
                <w:color w:val="000000" w:themeColor="text1"/>
                <w:sz w:val="24"/>
                <w:szCs w:val="24"/>
                <w:vertAlign w:val="baseline"/>
                <w:lang w:eastAsia="zh-CN"/>
                <w14:textFill>
                  <w14:solidFill>
                    <w14:schemeClr w14:val="tx1"/>
                  </w14:solidFill>
                </w14:textFill>
              </w:rPr>
              <w:t>未按规定履行安全生产监管职责，相关工作管理缺位，导致行业重大风险失管失控。</w:t>
            </w:r>
          </w:p>
        </w:tc>
      </w:tr>
    </w:tbl>
    <w:p>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C5340F"/>
    <w:multiLevelType w:val="singleLevel"/>
    <w:tmpl w:val="C7C5340F"/>
    <w:lvl w:ilvl="0" w:tentative="0">
      <w:start w:val="1"/>
      <w:numFmt w:val="decimal"/>
      <w:suff w:val="space"/>
      <w:lvlText w:val="%1."/>
      <w:lvlJc w:val="left"/>
    </w:lvl>
  </w:abstractNum>
  <w:abstractNum w:abstractNumId="1">
    <w:nsid w:val="DCD8D590"/>
    <w:multiLevelType w:val="singleLevel"/>
    <w:tmpl w:val="DCD8D590"/>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lMGJmNjFjNGNjM2NhNTUyZjYyYTg2ZTJmYTk4OTAifQ=="/>
  </w:docVars>
  <w:rsids>
    <w:rsidRoot w:val="44B01B26"/>
    <w:rsid w:val="0CEC74A1"/>
    <w:rsid w:val="0D5FF453"/>
    <w:rsid w:val="146A183A"/>
    <w:rsid w:val="16F61532"/>
    <w:rsid w:val="263A3490"/>
    <w:rsid w:val="2A6A0E42"/>
    <w:rsid w:val="3A953C44"/>
    <w:rsid w:val="44B01B26"/>
    <w:rsid w:val="4DEF2084"/>
    <w:rsid w:val="516427C6"/>
    <w:rsid w:val="545C57FB"/>
    <w:rsid w:val="558F662C"/>
    <w:rsid w:val="575E6E6A"/>
    <w:rsid w:val="57D7D9D0"/>
    <w:rsid w:val="5AD72F23"/>
    <w:rsid w:val="5C6B44C7"/>
    <w:rsid w:val="5FFD565E"/>
    <w:rsid w:val="61C1505B"/>
    <w:rsid w:val="68583CCA"/>
    <w:rsid w:val="6BC32096"/>
    <w:rsid w:val="79784621"/>
    <w:rsid w:val="7A937F3F"/>
    <w:rsid w:val="7AAF56B3"/>
    <w:rsid w:val="7B802DCA"/>
    <w:rsid w:val="7FCD0798"/>
    <w:rsid w:val="D7FF5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685</Words>
  <Characters>700</Characters>
  <Lines>0</Lines>
  <Paragraphs>0</Paragraphs>
  <TotalTime>34</TotalTime>
  <ScaleCrop>false</ScaleCrop>
  <LinksUpToDate>false</LinksUpToDate>
  <CharactersWithSpaces>700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2022-06-11T03:10:00Z</dcterms:created>
  <dc:creator>fkx</dc:creator>
  <cp:lastModifiedBy>飞翔</cp:lastModifiedBy>
  <cp:lastPrinted>2022-06-27T15:36:00Z</cp:lastPrinted>
  <dcterms:modified xsi:type="dcterms:W3CDTF">2022-07-22T02:07:07Z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16A6FC2AA47E4C63989F4266A4EA0114</vt:lpwstr>
  </property>
</Properties>
</file>