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8EE8052">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sz w:val="44"/>
          <w:szCs w:val="44"/>
          <w:highlight w:val="none"/>
          <w:lang w:eastAsia="zh-CN"/>
        </w:rPr>
      </w:pPr>
      <w:r>
        <w:rPr>
          <w:rFonts w:hint="eastAsia" w:ascii="方正小标宋简体" w:hAnsi="方正小标宋简体" w:eastAsia="方正小标宋简体" w:cs="方正小标宋简体"/>
          <w:b w:val="0"/>
          <w:bCs/>
          <w:sz w:val="44"/>
          <w:szCs w:val="44"/>
          <w:highlight w:val="none"/>
        </w:rPr>
        <w:t>高安市</w:t>
      </w:r>
      <w:r>
        <w:rPr>
          <w:rFonts w:hint="eastAsia" w:ascii="方正小标宋简体" w:hAnsi="方正小标宋简体" w:eastAsia="方正小标宋简体" w:cs="方正小标宋简体"/>
          <w:b w:val="0"/>
          <w:bCs/>
          <w:sz w:val="44"/>
          <w:szCs w:val="44"/>
          <w:highlight w:val="none"/>
          <w:lang w:eastAsia="zh-CN"/>
        </w:rPr>
        <w:t>行政务服务中心管委会</w:t>
      </w:r>
    </w:p>
    <w:p w14:paraId="47F78875">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sz w:val="44"/>
          <w:szCs w:val="44"/>
          <w:highlight w:val="none"/>
        </w:rPr>
      </w:pPr>
      <w:r>
        <w:rPr>
          <w:rFonts w:hint="eastAsia" w:ascii="方正小标宋简体" w:hAnsi="方正小标宋简体" w:eastAsia="方正小标宋简体" w:cs="方正小标宋简体"/>
          <w:b w:val="0"/>
          <w:bCs/>
          <w:sz w:val="44"/>
          <w:szCs w:val="44"/>
          <w:highlight w:val="none"/>
        </w:rPr>
        <w:t>202</w:t>
      </w:r>
      <w:r>
        <w:rPr>
          <w:rFonts w:hint="eastAsia" w:ascii="方正小标宋简体" w:hAnsi="方正小标宋简体" w:eastAsia="方正小标宋简体" w:cs="方正小标宋简体"/>
          <w:b w:val="0"/>
          <w:bCs/>
          <w:sz w:val="44"/>
          <w:szCs w:val="44"/>
          <w:highlight w:val="none"/>
          <w:lang w:val="en-US" w:eastAsia="zh-CN"/>
        </w:rPr>
        <w:t>3</w:t>
      </w:r>
      <w:r>
        <w:rPr>
          <w:rFonts w:hint="eastAsia" w:ascii="方正小标宋简体" w:hAnsi="方正小标宋简体" w:eastAsia="方正小标宋简体" w:cs="方正小标宋简体"/>
          <w:b w:val="0"/>
          <w:bCs/>
          <w:sz w:val="44"/>
          <w:szCs w:val="44"/>
          <w:highlight w:val="none"/>
        </w:rPr>
        <w:t>年政府信息公开工作年度报告</w:t>
      </w:r>
    </w:p>
    <w:p w14:paraId="1B97FB9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b/>
          <w:bCs w:val="0"/>
          <w:sz w:val="32"/>
          <w:szCs w:val="32"/>
          <w:highlight w:val="none"/>
        </w:rPr>
      </w:pPr>
    </w:p>
    <w:p w14:paraId="2D68D93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sz w:val="32"/>
          <w:szCs w:val="32"/>
          <w:highlight w:val="none"/>
        </w:rPr>
      </w:pPr>
      <w:r>
        <w:rPr>
          <w:rFonts w:hint="eastAsia" w:ascii="仿宋_GB2312" w:hAnsi="仿宋_GB2312" w:eastAsia="仿宋_GB2312" w:cs="仿宋_GB2312"/>
          <w:b w:val="0"/>
          <w:bCs/>
          <w:sz w:val="32"/>
          <w:szCs w:val="32"/>
          <w:highlight w:val="none"/>
        </w:rPr>
        <w:t>本报告依据《中华人民共和国政府信息公开条例》（国务院令第711号</w:t>
      </w:r>
      <w:r>
        <w:rPr>
          <w:rFonts w:hint="eastAsia" w:ascii="仿宋_GB2312" w:hAnsi="仿宋_GB2312" w:eastAsia="仿宋_GB2312" w:cs="仿宋_GB2312"/>
          <w:b w:val="0"/>
          <w:bCs/>
          <w:sz w:val="32"/>
          <w:szCs w:val="32"/>
          <w:highlight w:val="none"/>
          <w:lang w:eastAsia="zh-CN"/>
        </w:rPr>
        <w:t>，以下简称《条例》</w:t>
      </w:r>
      <w:r>
        <w:rPr>
          <w:rFonts w:hint="eastAsia" w:ascii="仿宋_GB2312" w:hAnsi="仿宋_GB2312" w:eastAsia="仿宋_GB2312" w:cs="仿宋_GB2312"/>
          <w:b w:val="0"/>
          <w:bCs/>
          <w:sz w:val="32"/>
          <w:szCs w:val="32"/>
          <w:highlight w:val="none"/>
        </w:rPr>
        <w:t>）和《</w:t>
      </w:r>
      <w:r>
        <w:rPr>
          <w:rFonts w:hint="eastAsia" w:ascii="仿宋_GB2312" w:hAnsi="仿宋_GB2312" w:eastAsia="仿宋_GB2312" w:cs="仿宋_GB2312"/>
          <w:b w:val="0"/>
          <w:bCs/>
          <w:sz w:val="32"/>
          <w:szCs w:val="32"/>
          <w:highlight w:val="none"/>
          <w:lang w:eastAsia="zh-CN"/>
        </w:rPr>
        <w:t>国务院办公厅政府信息与政务公开办公室关于印发中华人民共和国政府信息公开工作年度报告格式的通知</w:t>
      </w:r>
      <w:r>
        <w:rPr>
          <w:rFonts w:hint="eastAsia" w:ascii="仿宋_GB2312" w:hAnsi="仿宋_GB2312" w:eastAsia="仿宋_GB2312" w:cs="仿宋_GB2312"/>
          <w:b w:val="0"/>
          <w:bCs/>
          <w:sz w:val="32"/>
          <w:szCs w:val="32"/>
          <w:highlight w:val="none"/>
        </w:rPr>
        <w:t>》（国办公开办函〔20</w:t>
      </w:r>
      <w:r>
        <w:rPr>
          <w:rFonts w:hint="eastAsia" w:ascii="仿宋_GB2312" w:hAnsi="仿宋_GB2312" w:eastAsia="仿宋_GB2312" w:cs="仿宋_GB2312"/>
          <w:b w:val="0"/>
          <w:bCs/>
          <w:sz w:val="32"/>
          <w:szCs w:val="32"/>
          <w:highlight w:val="none"/>
          <w:lang w:val="en-US" w:eastAsia="zh-CN"/>
        </w:rPr>
        <w:t>21</w:t>
      </w:r>
      <w:r>
        <w:rPr>
          <w:rFonts w:hint="eastAsia" w:ascii="仿宋_GB2312" w:hAnsi="仿宋_GB2312" w:eastAsia="仿宋_GB2312" w:cs="仿宋_GB2312"/>
          <w:b w:val="0"/>
          <w:bCs/>
          <w:sz w:val="32"/>
          <w:szCs w:val="32"/>
          <w:highlight w:val="none"/>
        </w:rPr>
        <w:t>〕</w:t>
      </w:r>
      <w:r>
        <w:rPr>
          <w:rFonts w:hint="eastAsia" w:ascii="仿宋_GB2312" w:hAnsi="仿宋_GB2312" w:eastAsia="仿宋_GB2312" w:cs="仿宋_GB2312"/>
          <w:b w:val="0"/>
          <w:bCs/>
          <w:sz w:val="32"/>
          <w:szCs w:val="32"/>
          <w:highlight w:val="none"/>
          <w:lang w:val="en-US" w:eastAsia="zh-CN"/>
        </w:rPr>
        <w:t>3</w:t>
      </w:r>
      <w:r>
        <w:rPr>
          <w:rFonts w:hint="eastAsia" w:ascii="仿宋_GB2312" w:hAnsi="仿宋_GB2312" w:eastAsia="仿宋_GB2312" w:cs="仿宋_GB2312"/>
          <w:b w:val="0"/>
          <w:bCs/>
          <w:sz w:val="32"/>
          <w:szCs w:val="32"/>
          <w:highlight w:val="none"/>
        </w:rPr>
        <w:t>0号）</w:t>
      </w:r>
      <w:r>
        <w:rPr>
          <w:rFonts w:hint="eastAsia" w:ascii="仿宋_GB2312" w:hAnsi="仿宋_GB2312" w:eastAsia="仿宋_GB2312" w:cs="仿宋_GB2312"/>
          <w:b w:val="0"/>
          <w:bCs/>
          <w:sz w:val="32"/>
          <w:szCs w:val="32"/>
          <w:highlight w:val="none"/>
          <w:lang w:eastAsia="zh-CN"/>
        </w:rPr>
        <w:t>等文件通知</w:t>
      </w:r>
      <w:r>
        <w:rPr>
          <w:rFonts w:hint="eastAsia" w:ascii="仿宋_GB2312" w:hAnsi="仿宋_GB2312" w:eastAsia="仿宋_GB2312" w:cs="仿宋_GB2312"/>
          <w:b w:val="0"/>
          <w:bCs/>
          <w:sz w:val="32"/>
          <w:szCs w:val="32"/>
          <w:highlight w:val="none"/>
        </w:rPr>
        <w:t>要求，由</w:t>
      </w:r>
      <w:r>
        <w:rPr>
          <w:rFonts w:hint="eastAsia" w:ascii="仿宋_GB2312" w:hAnsi="仿宋_GB2312" w:eastAsia="仿宋_GB2312" w:cs="仿宋_GB2312"/>
          <w:b w:val="0"/>
          <w:bCs/>
          <w:sz w:val="32"/>
          <w:szCs w:val="32"/>
          <w:highlight w:val="none"/>
          <w:lang w:eastAsia="zh-CN"/>
        </w:rPr>
        <w:t>高安市行政服务中心管委会</w:t>
      </w:r>
      <w:r>
        <w:rPr>
          <w:rFonts w:hint="eastAsia" w:ascii="仿宋_GB2312" w:hAnsi="仿宋_GB2312" w:eastAsia="仿宋_GB2312" w:cs="仿宋_GB2312"/>
          <w:b w:val="0"/>
          <w:bCs/>
          <w:sz w:val="32"/>
          <w:szCs w:val="32"/>
          <w:highlight w:val="none"/>
        </w:rPr>
        <w:t>结合有关统计数据编制</w:t>
      </w:r>
      <w:r>
        <w:rPr>
          <w:rFonts w:hint="eastAsia" w:ascii="仿宋_GB2312" w:hAnsi="仿宋_GB2312" w:eastAsia="仿宋_GB2312" w:cs="仿宋_GB2312"/>
          <w:b w:val="0"/>
          <w:bCs/>
          <w:sz w:val="32"/>
          <w:szCs w:val="32"/>
          <w:highlight w:val="none"/>
          <w:lang w:eastAsia="zh-CN"/>
        </w:rPr>
        <w:t>。</w:t>
      </w:r>
      <w:r>
        <w:rPr>
          <w:rFonts w:hint="eastAsia" w:ascii="仿宋_GB2312" w:hAnsi="仿宋_GB2312" w:eastAsia="仿宋_GB2312" w:cs="仿宋_GB2312"/>
          <w:b w:val="0"/>
          <w:bCs/>
          <w:sz w:val="32"/>
          <w:szCs w:val="32"/>
          <w:highlight w:val="none"/>
        </w:rPr>
        <w:t>本年度报告中所列数据的统计期限自202</w:t>
      </w:r>
      <w:r>
        <w:rPr>
          <w:rFonts w:hint="eastAsia" w:ascii="仿宋_GB2312" w:hAnsi="仿宋_GB2312" w:eastAsia="仿宋_GB2312" w:cs="仿宋_GB2312"/>
          <w:b w:val="0"/>
          <w:bCs/>
          <w:sz w:val="32"/>
          <w:szCs w:val="32"/>
          <w:highlight w:val="none"/>
          <w:lang w:val="en-US" w:eastAsia="zh-CN"/>
        </w:rPr>
        <w:t>3</w:t>
      </w:r>
      <w:r>
        <w:rPr>
          <w:rFonts w:hint="eastAsia" w:ascii="仿宋_GB2312" w:hAnsi="仿宋_GB2312" w:eastAsia="仿宋_GB2312" w:cs="仿宋_GB2312"/>
          <w:b w:val="0"/>
          <w:bCs/>
          <w:sz w:val="32"/>
          <w:szCs w:val="32"/>
          <w:highlight w:val="none"/>
        </w:rPr>
        <w:t>年1月1日起至202</w:t>
      </w:r>
      <w:r>
        <w:rPr>
          <w:rFonts w:hint="eastAsia" w:ascii="仿宋_GB2312" w:hAnsi="仿宋_GB2312" w:eastAsia="仿宋_GB2312" w:cs="仿宋_GB2312"/>
          <w:b w:val="0"/>
          <w:bCs/>
          <w:sz w:val="32"/>
          <w:szCs w:val="32"/>
          <w:highlight w:val="none"/>
          <w:lang w:val="en-US" w:eastAsia="zh-CN"/>
        </w:rPr>
        <w:t>3</w:t>
      </w:r>
      <w:r>
        <w:rPr>
          <w:rFonts w:hint="eastAsia" w:ascii="仿宋_GB2312" w:hAnsi="仿宋_GB2312" w:eastAsia="仿宋_GB2312" w:cs="仿宋_GB2312"/>
          <w:b w:val="0"/>
          <w:bCs/>
          <w:sz w:val="32"/>
          <w:szCs w:val="32"/>
          <w:highlight w:val="none"/>
        </w:rPr>
        <w:t>年1</w:t>
      </w:r>
      <w:bookmarkStart w:id="0" w:name="_GoBack"/>
      <w:bookmarkEnd w:id="0"/>
      <w:r>
        <w:rPr>
          <w:rFonts w:hint="eastAsia" w:ascii="仿宋_GB2312" w:hAnsi="仿宋_GB2312" w:eastAsia="仿宋_GB2312" w:cs="仿宋_GB2312"/>
          <w:b w:val="0"/>
          <w:bCs/>
          <w:sz w:val="32"/>
          <w:szCs w:val="32"/>
          <w:highlight w:val="none"/>
        </w:rPr>
        <w:t>2月31日止。全文包括总体情况、主动公开政府信息情况、收到和处理政府信息公开申请情况、政府信息公开行政复议行政诉讼情况、存在的主要问题及改进情况、其他需要报告的事项。本年度报告的电子版可以从高安市人民政府网站下载。如对本报告有任何疑问，请与高安市行政服务中心管委会联系（地址：高安</w:t>
      </w:r>
      <w:r>
        <w:rPr>
          <w:rFonts w:hint="eastAsia" w:ascii="仿宋_GB2312" w:hAnsi="仿宋_GB2312" w:eastAsia="仿宋_GB2312" w:cs="仿宋_GB2312"/>
          <w:b w:val="0"/>
          <w:bCs/>
          <w:sz w:val="32"/>
          <w:szCs w:val="32"/>
          <w:highlight w:val="none"/>
          <w:lang w:val="en-US" w:eastAsia="zh-CN"/>
        </w:rPr>
        <w:t>市民中心A座402室</w:t>
      </w:r>
      <w:r>
        <w:rPr>
          <w:rFonts w:hint="eastAsia" w:ascii="仿宋_GB2312" w:hAnsi="仿宋_GB2312" w:eastAsia="仿宋_GB2312" w:cs="仿宋_GB2312"/>
          <w:b w:val="0"/>
          <w:bCs/>
          <w:sz w:val="32"/>
          <w:szCs w:val="32"/>
          <w:highlight w:val="none"/>
        </w:rPr>
        <w:t>，电话：0795-5282969，邮编：330800）。</w:t>
      </w:r>
    </w:p>
    <w:p w14:paraId="2E521DC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sz w:val="32"/>
          <w:szCs w:val="32"/>
          <w:highlight w:val="none"/>
        </w:rPr>
      </w:pPr>
      <w:r>
        <w:rPr>
          <w:rFonts w:hint="eastAsia" w:ascii="黑体" w:hAnsi="黑体" w:eastAsia="黑体" w:cs="黑体"/>
          <w:b w:val="0"/>
          <w:bCs/>
          <w:sz w:val="32"/>
          <w:szCs w:val="32"/>
          <w:highlight w:val="none"/>
        </w:rPr>
        <w:t>一、总体情况</w:t>
      </w:r>
    </w:p>
    <w:p w14:paraId="5EF8EF6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sz w:val="32"/>
          <w:szCs w:val="32"/>
          <w:highlight w:val="none"/>
        </w:rPr>
      </w:pPr>
      <w:r>
        <w:rPr>
          <w:rFonts w:hint="eastAsia" w:ascii="仿宋_GB2312" w:hAnsi="仿宋_GB2312" w:eastAsia="仿宋_GB2312" w:cs="仿宋_GB2312"/>
          <w:b w:val="0"/>
          <w:bCs/>
          <w:sz w:val="32"/>
          <w:szCs w:val="32"/>
          <w:highlight w:val="none"/>
        </w:rPr>
        <w:t>202</w:t>
      </w:r>
      <w:r>
        <w:rPr>
          <w:rFonts w:hint="eastAsia" w:ascii="仿宋_GB2312" w:hAnsi="仿宋_GB2312" w:eastAsia="仿宋_GB2312" w:cs="仿宋_GB2312"/>
          <w:b w:val="0"/>
          <w:bCs/>
          <w:sz w:val="32"/>
          <w:szCs w:val="32"/>
          <w:highlight w:val="none"/>
          <w:lang w:val="en-US" w:eastAsia="zh-CN"/>
        </w:rPr>
        <w:t>3</w:t>
      </w:r>
      <w:r>
        <w:rPr>
          <w:rFonts w:hint="eastAsia" w:ascii="仿宋_GB2312" w:hAnsi="仿宋_GB2312" w:eastAsia="仿宋_GB2312" w:cs="仿宋_GB2312"/>
          <w:b w:val="0"/>
          <w:bCs/>
          <w:sz w:val="32"/>
          <w:szCs w:val="32"/>
          <w:highlight w:val="none"/>
        </w:rPr>
        <w:t>年我</w:t>
      </w:r>
      <w:r>
        <w:rPr>
          <w:rFonts w:hint="eastAsia" w:ascii="仿宋_GB2312" w:hAnsi="仿宋_GB2312" w:eastAsia="仿宋_GB2312" w:cs="仿宋_GB2312"/>
          <w:b w:val="0"/>
          <w:bCs/>
          <w:sz w:val="32"/>
          <w:szCs w:val="32"/>
          <w:highlight w:val="none"/>
          <w:lang w:eastAsia="zh-CN"/>
        </w:rPr>
        <w:t>委</w:t>
      </w:r>
      <w:r>
        <w:rPr>
          <w:rFonts w:hint="eastAsia" w:ascii="仿宋_GB2312" w:hAnsi="仿宋_GB2312" w:eastAsia="仿宋_GB2312" w:cs="仿宋_GB2312"/>
          <w:b w:val="0"/>
          <w:bCs/>
          <w:sz w:val="32"/>
          <w:szCs w:val="32"/>
          <w:highlight w:val="none"/>
        </w:rPr>
        <w:t>坚持以习近平新时代中国特色社会主义思想为指导，深入贯彻</w:t>
      </w:r>
      <w:r>
        <w:rPr>
          <w:rFonts w:hint="eastAsia" w:ascii="仿宋_GB2312" w:hAnsi="仿宋_GB2312" w:eastAsia="仿宋_GB2312" w:cs="仿宋_GB2312"/>
          <w:b w:val="0"/>
          <w:bCs/>
          <w:sz w:val="32"/>
          <w:szCs w:val="32"/>
          <w:highlight w:val="none"/>
          <w:lang w:val="en-US" w:eastAsia="zh-CN"/>
        </w:rPr>
        <w:t>落实党的二十大精神和习近平总书记考察江西重要讲话精神，深入</w:t>
      </w:r>
      <w:r>
        <w:rPr>
          <w:rFonts w:hint="eastAsia" w:ascii="仿宋_GB2312" w:hAnsi="仿宋_GB2312" w:cs="仿宋_GB2312"/>
          <w:b w:val="0"/>
          <w:bCs/>
          <w:sz w:val="32"/>
          <w:szCs w:val="32"/>
          <w:highlight w:val="none"/>
          <w:lang w:val="en-US" w:eastAsia="zh-CN"/>
        </w:rPr>
        <w:t>开展学习贯彻习近平新时代中国特色社会主义思想主题教育</w:t>
      </w:r>
      <w:r>
        <w:rPr>
          <w:rFonts w:hint="eastAsia" w:ascii="仿宋_GB2312" w:hAnsi="仿宋_GB2312" w:eastAsia="仿宋_GB2312" w:cs="仿宋_GB2312"/>
          <w:b w:val="0"/>
          <w:bCs/>
          <w:sz w:val="32"/>
          <w:szCs w:val="32"/>
          <w:highlight w:val="none"/>
          <w:lang w:val="en-US" w:eastAsia="zh-CN"/>
        </w:rPr>
        <w:t>，</w:t>
      </w:r>
      <w:r>
        <w:rPr>
          <w:rFonts w:hint="eastAsia" w:ascii="仿宋_GB2312" w:hAnsi="仿宋_GB2312" w:eastAsia="仿宋_GB2312" w:cs="仿宋_GB2312"/>
          <w:b w:val="0"/>
          <w:bCs/>
          <w:sz w:val="32"/>
          <w:szCs w:val="32"/>
          <w:highlight w:val="none"/>
        </w:rPr>
        <w:t>严格落实《国务院办公厅印发〈关于全面推进政务公开工作的意见〉实施细则的通知》（国办发〔2016〕80号）和</w:t>
      </w:r>
      <w:r>
        <w:rPr>
          <w:rFonts w:hint="eastAsia" w:ascii="仿宋_GB2312" w:hAnsi="仿宋_GB2312" w:eastAsia="仿宋_GB2312" w:cs="仿宋_GB2312"/>
          <w:b w:val="0"/>
          <w:bCs/>
          <w:color w:val="auto"/>
          <w:sz w:val="32"/>
          <w:szCs w:val="32"/>
          <w:highlight w:val="none"/>
        </w:rPr>
        <w:t>《国务院办公厅关于印发202</w:t>
      </w:r>
      <w:r>
        <w:rPr>
          <w:rFonts w:hint="eastAsia" w:ascii="仿宋_GB2312" w:hAnsi="仿宋_GB2312" w:eastAsia="仿宋_GB2312" w:cs="仿宋_GB2312"/>
          <w:b w:val="0"/>
          <w:bCs/>
          <w:color w:val="auto"/>
          <w:sz w:val="32"/>
          <w:szCs w:val="32"/>
          <w:highlight w:val="none"/>
          <w:lang w:val="en-US" w:eastAsia="zh-CN"/>
        </w:rPr>
        <w:t>2</w:t>
      </w:r>
      <w:r>
        <w:rPr>
          <w:rFonts w:hint="eastAsia" w:ascii="仿宋_GB2312" w:hAnsi="仿宋_GB2312" w:eastAsia="仿宋_GB2312" w:cs="仿宋_GB2312"/>
          <w:b w:val="0"/>
          <w:bCs/>
          <w:color w:val="auto"/>
          <w:sz w:val="32"/>
          <w:szCs w:val="32"/>
          <w:highlight w:val="none"/>
        </w:rPr>
        <w:t>年政务公开工作要点的通知》（国办发〔202</w:t>
      </w:r>
      <w:r>
        <w:rPr>
          <w:rFonts w:hint="eastAsia" w:ascii="仿宋_GB2312" w:hAnsi="仿宋_GB2312" w:eastAsia="仿宋_GB2312" w:cs="仿宋_GB2312"/>
          <w:b w:val="0"/>
          <w:bCs/>
          <w:color w:val="auto"/>
          <w:sz w:val="32"/>
          <w:szCs w:val="32"/>
          <w:highlight w:val="none"/>
          <w:lang w:val="en-US" w:eastAsia="zh-CN"/>
        </w:rPr>
        <w:t>2</w:t>
      </w:r>
      <w:r>
        <w:rPr>
          <w:rFonts w:hint="eastAsia" w:ascii="仿宋_GB2312" w:hAnsi="仿宋_GB2312" w:eastAsia="仿宋_GB2312" w:cs="仿宋_GB2312"/>
          <w:b w:val="0"/>
          <w:bCs/>
          <w:color w:val="auto"/>
          <w:sz w:val="32"/>
          <w:szCs w:val="32"/>
          <w:highlight w:val="none"/>
        </w:rPr>
        <w:t>〕</w:t>
      </w:r>
      <w:r>
        <w:rPr>
          <w:rFonts w:hint="eastAsia" w:ascii="仿宋_GB2312" w:hAnsi="仿宋_GB2312" w:eastAsia="仿宋_GB2312" w:cs="仿宋_GB2312"/>
          <w:b w:val="0"/>
          <w:bCs/>
          <w:color w:val="auto"/>
          <w:sz w:val="32"/>
          <w:szCs w:val="32"/>
          <w:highlight w:val="none"/>
          <w:lang w:val="en-US" w:eastAsia="zh-CN"/>
        </w:rPr>
        <w:t>8</w:t>
      </w:r>
      <w:r>
        <w:rPr>
          <w:rFonts w:hint="eastAsia" w:ascii="仿宋_GB2312" w:hAnsi="仿宋_GB2312" w:eastAsia="仿宋_GB2312" w:cs="仿宋_GB2312"/>
          <w:b w:val="0"/>
          <w:bCs/>
          <w:color w:val="auto"/>
          <w:sz w:val="32"/>
          <w:szCs w:val="32"/>
          <w:highlight w:val="none"/>
        </w:rPr>
        <w:t>号）的要求</w:t>
      </w:r>
      <w:r>
        <w:rPr>
          <w:rFonts w:hint="eastAsia" w:ascii="仿宋_GB2312" w:hAnsi="仿宋_GB2312" w:eastAsia="仿宋_GB2312" w:cs="仿宋_GB2312"/>
          <w:b w:val="0"/>
          <w:bCs/>
          <w:color w:val="auto"/>
          <w:sz w:val="32"/>
          <w:szCs w:val="32"/>
          <w:highlight w:val="none"/>
          <w:lang w:eastAsia="zh-CN"/>
        </w:rPr>
        <w:t>，</w:t>
      </w:r>
      <w:r>
        <w:rPr>
          <w:rFonts w:hint="eastAsia" w:ascii="仿宋_GB2312" w:hAnsi="仿宋_GB2312" w:eastAsia="仿宋_GB2312" w:cs="仿宋_GB2312"/>
          <w:b w:val="0"/>
          <w:bCs/>
          <w:color w:val="auto"/>
          <w:sz w:val="32"/>
          <w:szCs w:val="32"/>
          <w:highlight w:val="none"/>
        </w:rPr>
        <w:t>积极明确任务目标，紧紧围绕</w:t>
      </w:r>
      <w:r>
        <w:rPr>
          <w:rFonts w:hint="eastAsia" w:ascii="仿宋_GB2312" w:hAnsi="仿宋_GB2312" w:eastAsia="仿宋_GB2312" w:cs="仿宋_GB2312"/>
          <w:b w:val="0"/>
          <w:bCs/>
          <w:color w:val="auto"/>
          <w:sz w:val="32"/>
          <w:szCs w:val="32"/>
          <w:highlight w:val="none"/>
          <w:lang w:eastAsia="zh-CN"/>
        </w:rPr>
        <w:t>市</w:t>
      </w:r>
      <w:r>
        <w:rPr>
          <w:rFonts w:hint="eastAsia" w:ascii="仿宋_GB2312" w:hAnsi="仿宋_GB2312" w:eastAsia="仿宋_GB2312" w:cs="仿宋_GB2312"/>
          <w:b w:val="0"/>
          <w:bCs/>
          <w:color w:val="auto"/>
          <w:sz w:val="32"/>
          <w:szCs w:val="32"/>
          <w:highlight w:val="none"/>
        </w:rPr>
        <w:t>委、</w:t>
      </w:r>
      <w:r>
        <w:rPr>
          <w:rFonts w:hint="eastAsia" w:ascii="仿宋_GB2312" w:hAnsi="仿宋_GB2312" w:eastAsia="仿宋_GB2312" w:cs="仿宋_GB2312"/>
          <w:b w:val="0"/>
          <w:bCs/>
          <w:color w:val="auto"/>
          <w:sz w:val="32"/>
          <w:szCs w:val="32"/>
          <w:highlight w:val="none"/>
          <w:lang w:eastAsia="zh-CN"/>
        </w:rPr>
        <w:t>市</w:t>
      </w:r>
      <w:r>
        <w:rPr>
          <w:rFonts w:hint="eastAsia" w:ascii="仿宋_GB2312" w:hAnsi="仿宋_GB2312" w:eastAsia="仿宋_GB2312" w:cs="仿宋_GB2312"/>
          <w:b w:val="0"/>
          <w:bCs/>
          <w:color w:val="auto"/>
          <w:sz w:val="32"/>
          <w:szCs w:val="32"/>
          <w:highlight w:val="none"/>
        </w:rPr>
        <w:t>政府中心工作及社会</w:t>
      </w:r>
      <w:r>
        <w:rPr>
          <w:rFonts w:hint="eastAsia" w:ascii="仿宋_GB2312" w:hAnsi="仿宋_GB2312" w:eastAsia="仿宋_GB2312" w:cs="仿宋_GB2312"/>
          <w:b w:val="0"/>
          <w:bCs/>
          <w:sz w:val="32"/>
          <w:szCs w:val="32"/>
          <w:highlight w:val="none"/>
        </w:rPr>
        <w:t>群众关注关切，着力提升政府信息公开质量，推进拓宽政府信息公开渠道，不断增强政府信息公开实效。</w:t>
      </w:r>
    </w:p>
    <w:p w14:paraId="143E2CE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楷体" w:hAnsi="楷体" w:eastAsia="楷体" w:cs="楷体"/>
          <w:b w:val="0"/>
          <w:bCs/>
          <w:sz w:val="32"/>
          <w:szCs w:val="32"/>
          <w:highlight w:val="none"/>
        </w:rPr>
      </w:pPr>
      <w:r>
        <w:rPr>
          <w:rFonts w:hint="eastAsia" w:ascii="楷体" w:hAnsi="楷体" w:eastAsia="楷体" w:cs="楷体"/>
          <w:b w:val="0"/>
          <w:bCs/>
          <w:sz w:val="32"/>
          <w:szCs w:val="32"/>
          <w:highlight w:val="none"/>
        </w:rPr>
        <w:t>（一）主动公开</w:t>
      </w:r>
    </w:p>
    <w:p w14:paraId="1A33684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sz w:val="32"/>
          <w:szCs w:val="32"/>
          <w:highlight w:val="none"/>
          <w:lang w:eastAsia="zh-CN"/>
        </w:rPr>
      </w:pPr>
      <w:r>
        <w:rPr>
          <w:rFonts w:hint="eastAsia" w:ascii="仿宋_GB2312" w:hAnsi="仿宋_GB2312" w:eastAsia="仿宋_GB2312" w:cs="仿宋_GB2312"/>
          <w:b w:val="0"/>
          <w:bCs/>
          <w:sz w:val="32"/>
          <w:szCs w:val="32"/>
          <w:highlight w:val="none"/>
        </w:rPr>
        <w:t>202</w:t>
      </w:r>
      <w:r>
        <w:rPr>
          <w:rFonts w:hint="eastAsia" w:ascii="仿宋_GB2312" w:hAnsi="仿宋_GB2312" w:eastAsia="仿宋_GB2312" w:cs="仿宋_GB2312"/>
          <w:b w:val="0"/>
          <w:bCs/>
          <w:sz w:val="32"/>
          <w:szCs w:val="32"/>
          <w:highlight w:val="none"/>
          <w:lang w:val="en-US" w:eastAsia="zh-CN"/>
        </w:rPr>
        <w:t>3</w:t>
      </w:r>
      <w:r>
        <w:rPr>
          <w:rFonts w:hint="eastAsia" w:ascii="仿宋_GB2312" w:hAnsi="仿宋_GB2312" w:eastAsia="仿宋_GB2312" w:cs="仿宋_GB2312"/>
          <w:b w:val="0"/>
          <w:bCs/>
          <w:sz w:val="32"/>
          <w:szCs w:val="32"/>
          <w:highlight w:val="none"/>
        </w:rPr>
        <w:t>年，我</w:t>
      </w:r>
      <w:r>
        <w:rPr>
          <w:rFonts w:hint="eastAsia" w:ascii="仿宋_GB2312" w:hAnsi="仿宋_GB2312" w:eastAsia="仿宋_GB2312" w:cs="仿宋_GB2312"/>
          <w:b w:val="0"/>
          <w:bCs/>
          <w:sz w:val="32"/>
          <w:szCs w:val="32"/>
          <w:highlight w:val="none"/>
          <w:lang w:eastAsia="zh-CN"/>
        </w:rPr>
        <w:t>委坚持“公开为原则，不公开为例外”，积极主动公开政府信息，通过高安市人民政府网主动</w:t>
      </w:r>
      <w:r>
        <w:rPr>
          <w:rFonts w:hint="eastAsia" w:ascii="仿宋_GB2312" w:hAnsi="仿宋_GB2312" w:eastAsia="仿宋_GB2312" w:cs="仿宋_GB2312"/>
          <w:b w:val="0"/>
          <w:bCs/>
          <w:sz w:val="32"/>
          <w:szCs w:val="32"/>
          <w:highlight w:val="none"/>
        </w:rPr>
        <w:t>公开信息</w:t>
      </w:r>
      <w:r>
        <w:rPr>
          <w:rFonts w:hint="eastAsia" w:ascii="仿宋_GB2312" w:hAnsi="仿宋_GB2312" w:eastAsia="仿宋_GB2312" w:cs="仿宋_GB2312"/>
          <w:b w:val="0"/>
          <w:bCs/>
          <w:sz w:val="32"/>
          <w:szCs w:val="32"/>
          <w:highlight w:val="none"/>
          <w:lang w:val="en-US" w:eastAsia="zh-CN"/>
        </w:rPr>
        <w:t>221</w:t>
      </w:r>
      <w:r>
        <w:rPr>
          <w:rFonts w:hint="eastAsia" w:ascii="仿宋_GB2312" w:hAnsi="仿宋_GB2312" w:eastAsia="仿宋_GB2312" w:cs="仿宋_GB2312"/>
          <w:b w:val="0"/>
          <w:bCs/>
          <w:sz w:val="32"/>
          <w:szCs w:val="32"/>
          <w:highlight w:val="none"/>
        </w:rPr>
        <w:t>条</w:t>
      </w:r>
      <w:r>
        <w:rPr>
          <w:rFonts w:hint="eastAsia" w:ascii="仿宋_GB2312" w:hAnsi="仿宋_GB2312" w:eastAsia="仿宋_GB2312" w:cs="仿宋_GB2312"/>
          <w:b w:val="0"/>
          <w:bCs/>
          <w:sz w:val="32"/>
          <w:szCs w:val="32"/>
          <w:highlight w:val="none"/>
          <w:lang w:eastAsia="zh-CN"/>
        </w:rPr>
        <w:t>，</w:t>
      </w:r>
      <w:r>
        <w:rPr>
          <w:rFonts w:hint="eastAsia" w:ascii="仿宋_GB2312" w:hAnsi="仿宋_GB2312" w:cs="仿宋_GB2312"/>
          <w:b w:val="0"/>
          <w:bCs/>
          <w:sz w:val="32"/>
          <w:szCs w:val="32"/>
          <w:highlight w:val="none"/>
          <w:lang w:eastAsia="zh-CN"/>
        </w:rPr>
        <w:t>其中政府信息公开指南</w:t>
      </w:r>
      <w:r>
        <w:rPr>
          <w:rFonts w:hint="eastAsia" w:ascii="仿宋_GB2312" w:hAnsi="仿宋_GB2312" w:cs="仿宋_GB2312"/>
          <w:b w:val="0"/>
          <w:bCs/>
          <w:sz w:val="32"/>
          <w:szCs w:val="32"/>
          <w:highlight w:val="none"/>
          <w:lang w:val="en-US" w:eastAsia="zh-CN"/>
        </w:rPr>
        <w:t>1条、</w:t>
      </w:r>
      <w:r>
        <w:rPr>
          <w:rFonts w:hint="eastAsia" w:ascii="仿宋_GB2312" w:hAnsi="仿宋_GB2312" w:cs="仿宋_GB2312"/>
          <w:b w:val="0"/>
          <w:bCs/>
          <w:sz w:val="32"/>
          <w:szCs w:val="32"/>
          <w:highlight w:val="none"/>
          <w:lang w:eastAsia="zh-CN"/>
        </w:rPr>
        <w:t>政府信息公开年报</w:t>
      </w:r>
      <w:r>
        <w:rPr>
          <w:rFonts w:hint="eastAsia" w:ascii="仿宋_GB2312" w:hAnsi="仿宋_GB2312" w:cs="仿宋_GB2312"/>
          <w:b w:val="0"/>
          <w:bCs/>
          <w:sz w:val="32"/>
          <w:szCs w:val="32"/>
          <w:highlight w:val="none"/>
          <w:lang w:val="en-US" w:eastAsia="zh-CN"/>
        </w:rPr>
        <w:t>1条、</w:t>
      </w:r>
      <w:r>
        <w:rPr>
          <w:rFonts w:hint="eastAsia" w:ascii="仿宋_GB2312" w:hAnsi="仿宋_GB2312" w:eastAsia="仿宋_GB2312" w:cs="仿宋_GB2312"/>
          <w:b w:val="0"/>
          <w:bCs/>
          <w:sz w:val="32"/>
          <w:szCs w:val="32"/>
          <w:highlight w:val="none"/>
        </w:rPr>
        <w:t>决策</w:t>
      </w:r>
      <w:r>
        <w:rPr>
          <w:rFonts w:hint="eastAsia" w:ascii="仿宋_GB2312" w:hAnsi="仿宋_GB2312" w:eastAsia="仿宋_GB2312" w:cs="仿宋_GB2312"/>
          <w:b w:val="0"/>
          <w:bCs/>
          <w:sz w:val="32"/>
          <w:szCs w:val="32"/>
          <w:highlight w:val="none"/>
          <w:lang w:eastAsia="zh-CN"/>
        </w:rPr>
        <w:t>公开</w:t>
      </w:r>
      <w:r>
        <w:rPr>
          <w:rFonts w:hint="eastAsia" w:ascii="仿宋_GB2312" w:hAnsi="仿宋_GB2312" w:eastAsia="仿宋_GB2312" w:cs="仿宋_GB2312"/>
          <w:b w:val="0"/>
          <w:bCs/>
          <w:sz w:val="32"/>
          <w:szCs w:val="32"/>
          <w:highlight w:val="none"/>
          <w:lang w:val="en-US" w:eastAsia="zh-CN"/>
        </w:rPr>
        <w:t>36</w:t>
      </w:r>
      <w:r>
        <w:rPr>
          <w:rFonts w:hint="eastAsia" w:ascii="仿宋_GB2312" w:hAnsi="仿宋_GB2312" w:eastAsia="仿宋_GB2312" w:cs="仿宋_GB2312"/>
          <w:b w:val="0"/>
          <w:bCs/>
          <w:sz w:val="32"/>
          <w:szCs w:val="32"/>
          <w:highlight w:val="none"/>
          <w:lang w:eastAsia="zh-CN"/>
        </w:rPr>
        <w:t>条、执行公开</w:t>
      </w:r>
      <w:r>
        <w:rPr>
          <w:rFonts w:hint="eastAsia" w:ascii="仿宋_GB2312" w:hAnsi="仿宋_GB2312" w:eastAsia="仿宋_GB2312" w:cs="仿宋_GB2312"/>
          <w:b w:val="0"/>
          <w:bCs/>
          <w:sz w:val="32"/>
          <w:szCs w:val="32"/>
          <w:highlight w:val="none"/>
          <w:lang w:val="en-US" w:eastAsia="zh-CN"/>
        </w:rPr>
        <w:t>18</w:t>
      </w:r>
      <w:r>
        <w:rPr>
          <w:rFonts w:hint="eastAsia" w:ascii="仿宋_GB2312" w:hAnsi="仿宋_GB2312" w:eastAsia="仿宋_GB2312" w:cs="仿宋_GB2312"/>
          <w:b w:val="0"/>
          <w:bCs/>
          <w:sz w:val="32"/>
          <w:szCs w:val="32"/>
          <w:highlight w:val="none"/>
          <w:lang w:eastAsia="zh-CN"/>
        </w:rPr>
        <w:t>条、管理公开</w:t>
      </w:r>
      <w:r>
        <w:rPr>
          <w:rFonts w:hint="eastAsia" w:ascii="仿宋_GB2312" w:hAnsi="仿宋_GB2312" w:eastAsia="仿宋_GB2312" w:cs="仿宋_GB2312"/>
          <w:b w:val="0"/>
          <w:bCs/>
          <w:sz w:val="32"/>
          <w:szCs w:val="32"/>
          <w:highlight w:val="none"/>
          <w:lang w:val="en-US" w:eastAsia="zh-CN"/>
        </w:rPr>
        <w:t>68</w:t>
      </w:r>
      <w:r>
        <w:rPr>
          <w:rFonts w:hint="eastAsia" w:ascii="仿宋_GB2312" w:hAnsi="仿宋_GB2312" w:eastAsia="仿宋_GB2312" w:cs="仿宋_GB2312"/>
          <w:b w:val="0"/>
          <w:bCs/>
          <w:sz w:val="32"/>
          <w:szCs w:val="32"/>
          <w:highlight w:val="none"/>
        </w:rPr>
        <w:t>条</w:t>
      </w:r>
      <w:r>
        <w:rPr>
          <w:rFonts w:hint="eastAsia" w:ascii="仿宋_GB2312" w:hAnsi="仿宋_GB2312" w:eastAsia="仿宋_GB2312" w:cs="仿宋_GB2312"/>
          <w:b w:val="0"/>
          <w:bCs/>
          <w:sz w:val="32"/>
          <w:szCs w:val="32"/>
          <w:highlight w:val="none"/>
          <w:lang w:eastAsia="zh-CN"/>
        </w:rPr>
        <w:t>、重大建设项目批准和实施</w:t>
      </w:r>
      <w:r>
        <w:rPr>
          <w:rFonts w:hint="eastAsia" w:ascii="仿宋_GB2312" w:hAnsi="仿宋_GB2312" w:eastAsia="仿宋_GB2312" w:cs="仿宋_GB2312"/>
          <w:b w:val="0"/>
          <w:bCs/>
          <w:color w:val="auto"/>
          <w:sz w:val="32"/>
          <w:szCs w:val="32"/>
          <w:highlight w:val="none"/>
          <w:lang w:val="en-US" w:eastAsia="zh-CN"/>
        </w:rPr>
        <w:t>4</w:t>
      </w:r>
      <w:r>
        <w:rPr>
          <w:rFonts w:hint="eastAsia" w:ascii="仿宋_GB2312" w:hAnsi="仿宋_GB2312" w:eastAsia="仿宋_GB2312" w:cs="仿宋_GB2312"/>
          <w:b w:val="0"/>
          <w:bCs/>
          <w:sz w:val="32"/>
          <w:szCs w:val="32"/>
          <w:highlight w:val="none"/>
          <w:lang w:eastAsia="zh-CN"/>
        </w:rPr>
        <w:t>条、公共资源配</w:t>
      </w:r>
      <w:r>
        <w:rPr>
          <w:rFonts w:hint="eastAsia" w:ascii="仿宋_GB2312" w:hAnsi="仿宋_GB2312" w:eastAsia="仿宋_GB2312" w:cs="仿宋_GB2312"/>
          <w:b w:val="0"/>
          <w:bCs/>
          <w:color w:val="auto"/>
          <w:sz w:val="32"/>
          <w:szCs w:val="32"/>
          <w:highlight w:val="none"/>
          <w:lang w:val="en-US" w:eastAsia="zh-CN"/>
        </w:rPr>
        <w:t>置87条</w:t>
      </w:r>
      <w:r>
        <w:rPr>
          <w:rFonts w:hint="eastAsia" w:ascii="仿宋_GB2312" w:hAnsi="仿宋_GB2312" w:eastAsia="仿宋_GB2312" w:cs="仿宋_GB2312"/>
          <w:b w:val="0"/>
          <w:bCs/>
          <w:sz w:val="32"/>
          <w:szCs w:val="32"/>
          <w:highlight w:val="none"/>
          <w:lang w:val="en-US" w:eastAsia="zh-CN"/>
        </w:rPr>
        <w:t>、</w:t>
      </w:r>
      <w:r>
        <w:rPr>
          <w:rFonts w:hint="eastAsia" w:ascii="仿宋_GB2312" w:hAnsi="仿宋_GB2312" w:eastAsia="仿宋_GB2312" w:cs="仿宋_GB2312"/>
          <w:b w:val="0"/>
          <w:bCs/>
          <w:sz w:val="32"/>
          <w:szCs w:val="32"/>
          <w:highlight w:val="none"/>
        </w:rPr>
        <w:t>“六稳六保”专项工作</w:t>
      </w:r>
      <w:r>
        <w:rPr>
          <w:rFonts w:hint="eastAsia" w:ascii="仿宋_GB2312" w:hAnsi="仿宋_GB2312" w:eastAsia="仿宋_GB2312" w:cs="仿宋_GB2312"/>
          <w:b w:val="0"/>
          <w:bCs/>
          <w:color w:val="auto"/>
          <w:sz w:val="32"/>
          <w:szCs w:val="32"/>
          <w:highlight w:val="none"/>
          <w:lang w:val="en-US" w:eastAsia="zh-CN"/>
        </w:rPr>
        <w:t>6</w:t>
      </w:r>
      <w:r>
        <w:rPr>
          <w:rFonts w:hint="eastAsia" w:ascii="仿宋_GB2312" w:hAnsi="仿宋_GB2312" w:eastAsia="仿宋_GB2312" w:cs="仿宋_GB2312"/>
          <w:b w:val="0"/>
          <w:bCs/>
          <w:sz w:val="32"/>
          <w:szCs w:val="32"/>
          <w:highlight w:val="none"/>
        </w:rPr>
        <w:t>条</w:t>
      </w:r>
      <w:r>
        <w:rPr>
          <w:rFonts w:hint="eastAsia" w:ascii="仿宋_GB2312" w:hAnsi="仿宋_GB2312" w:eastAsia="仿宋_GB2312" w:cs="仿宋_GB2312"/>
          <w:b w:val="0"/>
          <w:bCs/>
          <w:sz w:val="32"/>
          <w:szCs w:val="32"/>
          <w:highlight w:val="none"/>
          <w:lang w:eastAsia="zh-CN"/>
        </w:rPr>
        <w:t>，涵盖我委机构简介、政策文件、发展规划、工作动态、财政信息、政府采购等内容。</w:t>
      </w:r>
    </w:p>
    <w:p w14:paraId="408B42C3">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jc w:val="both"/>
        <w:textAlignment w:val="auto"/>
        <w:rPr>
          <w:rFonts w:hint="eastAsia" w:ascii="楷体" w:hAnsi="楷体" w:eastAsia="楷体" w:cs="楷体"/>
          <w:b w:val="0"/>
          <w:bCs/>
          <w:sz w:val="32"/>
          <w:szCs w:val="32"/>
          <w:highlight w:val="none"/>
        </w:rPr>
      </w:pPr>
      <w:r>
        <w:rPr>
          <w:rFonts w:hint="eastAsia" w:ascii="楷体" w:hAnsi="楷体" w:eastAsia="楷体" w:cs="楷体"/>
          <w:b w:val="0"/>
          <w:bCs/>
          <w:sz w:val="32"/>
          <w:szCs w:val="32"/>
          <w:highlight w:val="none"/>
        </w:rPr>
        <w:t>依申请公开</w:t>
      </w:r>
    </w:p>
    <w:p w14:paraId="4C2B2F5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rPr>
      </w:pPr>
      <w:r>
        <w:rPr>
          <w:rFonts w:hint="eastAsia" w:ascii="仿宋_GB2312" w:hAnsi="仿宋_GB2312" w:eastAsia="仿宋_GB2312" w:cs="仿宋_GB2312"/>
          <w:i w:val="0"/>
          <w:iCs w:val="0"/>
          <w:caps w:val="0"/>
          <w:color w:val="000000"/>
          <w:spacing w:val="0"/>
          <w:sz w:val="32"/>
          <w:szCs w:val="32"/>
        </w:rPr>
        <w:t>根据《条例》和我市依申请公开制度相关规定，行政服务中心管委会明确依申请公开的职责、程序、公开方式和时限要求，落实专人负责信息公开申请收集与回复，申请指南及申请渠道均在平台发布，服务咨询电话保障接听、保障受理。</w:t>
      </w:r>
      <w:r>
        <w:rPr>
          <w:rFonts w:hint="eastAsia" w:ascii="仿宋_GB2312" w:hAnsi="仿宋_GB2312" w:eastAsia="仿宋_GB2312" w:cs="仿宋_GB2312"/>
          <w:b w:val="0"/>
          <w:bCs/>
          <w:sz w:val="32"/>
          <w:szCs w:val="32"/>
          <w:highlight w:val="none"/>
        </w:rPr>
        <w:t>经统计核查，202</w:t>
      </w:r>
      <w:r>
        <w:rPr>
          <w:rFonts w:hint="eastAsia" w:ascii="仿宋_GB2312" w:hAnsi="仿宋_GB2312" w:eastAsia="仿宋_GB2312" w:cs="仿宋_GB2312"/>
          <w:b w:val="0"/>
          <w:bCs/>
          <w:sz w:val="32"/>
          <w:szCs w:val="32"/>
          <w:highlight w:val="none"/>
          <w:lang w:val="en-US" w:eastAsia="zh-CN"/>
        </w:rPr>
        <w:t>3</w:t>
      </w:r>
      <w:r>
        <w:rPr>
          <w:rFonts w:hint="eastAsia" w:ascii="仿宋_GB2312" w:hAnsi="仿宋_GB2312" w:eastAsia="仿宋_GB2312" w:cs="仿宋_GB2312"/>
          <w:b w:val="0"/>
          <w:bCs/>
          <w:sz w:val="32"/>
          <w:szCs w:val="32"/>
          <w:highlight w:val="none"/>
        </w:rPr>
        <w:t>年</w:t>
      </w:r>
      <w:r>
        <w:rPr>
          <w:rFonts w:hint="eastAsia" w:ascii="仿宋_GB2312" w:hAnsi="仿宋_GB2312" w:eastAsia="仿宋_GB2312" w:cs="仿宋_GB2312"/>
          <w:b w:val="0"/>
          <w:bCs/>
          <w:sz w:val="32"/>
          <w:szCs w:val="32"/>
          <w:highlight w:val="none"/>
          <w:lang w:eastAsia="zh-CN"/>
        </w:rPr>
        <w:t>我</w:t>
      </w:r>
      <w:r>
        <w:rPr>
          <w:rFonts w:hint="eastAsia" w:ascii="仿宋_GB2312" w:hAnsi="仿宋_GB2312" w:eastAsia="仿宋_GB2312" w:cs="仿宋_GB2312"/>
          <w:i w:val="0"/>
          <w:iCs w:val="0"/>
          <w:caps w:val="0"/>
          <w:color w:val="000000"/>
          <w:spacing w:val="0"/>
          <w:sz w:val="32"/>
          <w:szCs w:val="32"/>
          <w:lang w:eastAsia="zh-CN"/>
        </w:rPr>
        <w:t>委</w:t>
      </w:r>
      <w:r>
        <w:rPr>
          <w:rFonts w:hint="eastAsia" w:ascii="仿宋_GB2312" w:hAnsi="仿宋_GB2312" w:eastAsia="仿宋_GB2312" w:cs="仿宋_GB2312"/>
          <w:i w:val="0"/>
          <w:iCs w:val="0"/>
          <w:caps w:val="0"/>
          <w:color w:val="000000"/>
          <w:spacing w:val="0"/>
          <w:sz w:val="32"/>
          <w:szCs w:val="32"/>
        </w:rPr>
        <w:t>收到依申请公开信息2条。</w:t>
      </w:r>
    </w:p>
    <w:p w14:paraId="5CD96F3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楷体" w:hAnsi="楷体" w:eastAsia="楷体" w:cs="楷体"/>
          <w:b w:val="0"/>
          <w:bCs/>
          <w:sz w:val="32"/>
          <w:szCs w:val="32"/>
          <w:highlight w:val="none"/>
        </w:rPr>
      </w:pPr>
      <w:r>
        <w:rPr>
          <w:rFonts w:hint="eastAsia" w:ascii="楷体" w:hAnsi="楷体" w:eastAsia="楷体" w:cs="楷体"/>
          <w:b w:val="0"/>
          <w:bCs/>
          <w:sz w:val="32"/>
          <w:szCs w:val="32"/>
          <w:highlight w:val="none"/>
        </w:rPr>
        <w:t>（三）政府信息管理</w:t>
      </w:r>
    </w:p>
    <w:p w14:paraId="4F7BA75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color w:val="auto"/>
          <w:sz w:val="32"/>
          <w:szCs w:val="32"/>
          <w:highlight w:val="none"/>
          <w:lang w:val="en-US" w:eastAsia="zh-CN"/>
        </w:rPr>
      </w:pPr>
      <w:r>
        <w:rPr>
          <w:rFonts w:hint="eastAsia" w:ascii="仿宋_GB2312" w:hAnsi="仿宋_GB2312" w:eastAsia="仿宋_GB2312" w:cs="仿宋_GB2312"/>
          <w:b w:val="0"/>
          <w:bCs/>
          <w:color w:val="auto"/>
          <w:sz w:val="32"/>
          <w:szCs w:val="32"/>
          <w:highlight w:val="none"/>
          <w:lang w:val="en-US" w:eastAsia="zh-CN"/>
        </w:rPr>
        <w:t>1.规范化标准化建设。健全领导机制，</w:t>
      </w:r>
      <w:r>
        <w:rPr>
          <w:rFonts w:hint="eastAsia" w:ascii="仿宋_GB2312" w:hAnsi="仿宋_GB2312" w:eastAsia="仿宋_GB2312" w:cs="仿宋_GB2312"/>
          <w:b w:val="0"/>
          <w:bCs/>
          <w:color w:val="auto"/>
          <w:sz w:val="32"/>
          <w:szCs w:val="32"/>
          <w:highlight w:val="none"/>
          <w:lang w:eastAsia="zh-CN"/>
        </w:rPr>
        <w:t>单位主要领导</w:t>
      </w:r>
      <w:r>
        <w:rPr>
          <w:rFonts w:hint="eastAsia" w:ascii="仿宋_GB2312" w:hAnsi="仿宋_GB2312" w:eastAsia="仿宋_GB2312" w:cs="仿宋_GB2312"/>
          <w:b w:val="0"/>
          <w:bCs/>
          <w:color w:val="auto"/>
          <w:sz w:val="32"/>
          <w:szCs w:val="32"/>
          <w:highlight w:val="none"/>
        </w:rPr>
        <w:t>任政务公开领导小组组长，分管领导为副组长，各股室</w:t>
      </w:r>
      <w:r>
        <w:rPr>
          <w:rFonts w:hint="eastAsia" w:ascii="仿宋_GB2312" w:hAnsi="仿宋_GB2312" w:eastAsia="仿宋_GB2312" w:cs="仿宋_GB2312"/>
          <w:b w:val="0"/>
          <w:bCs/>
          <w:color w:val="auto"/>
          <w:sz w:val="32"/>
          <w:szCs w:val="32"/>
          <w:highlight w:val="none"/>
          <w:lang w:eastAsia="zh-CN"/>
        </w:rPr>
        <w:t>长</w:t>
      </w:r>
      <w:r>
        <w:rPr>
          <w:rFonts w:hint="eastAsia" w:ascii="仿宋_GB2312" w:hAnsi="仿宋_GB2312" w:eastAsia="仿宋_GB2312" w:cs="仿宋_GB2312"/>
          <w:b w:val="0"/>
          <w:bCs/>
          <w:color w:val="auto"/>
          <w:sz w:val="32"/>
          <w:szCs w:val="32"/>
          <w:highlight w:val="none"/>
        </w:rPr>
        <w:t>为组员，</w:t>
      </w:r>
      <w:r>
        <w:rPr>
          <w:rFonts w:hint="eastAsia" w:ascii="仿宋_GB2312" w:hAnsi="仿宋_GB2312" w:eastAsia="仿宋_GB2312" w:cs="仿宋_GB2312"/>
          <w:b w:val="0"/>
          <w:bCs/>
          <w:color w:val="auto"/>
          <w:sz w:val="32"/>
          <w:szCs w:val="32"/>
          <w:highlight w:val="none"/>
          <w:lang w:eastAsia="zh-CN"/>
        </w:rPr>
        <w:t>综合</w:t>
      </w:r>
      <w:r>
        <w:rPr>
          <w:rFonts w:hint="eastAsia" w:ascii="仿宋_GB2312" w:hAnsi="仿宋_GB2312" w:eastAsia="仿宋_GB2312" w:cs="仿宋_GB2312"/>
          <w:b w:val="0"/>
          <w:bCs/>
          <w:color w:val="auto"/>
          <w:sz w:val="32"/>
          <w:szCs w:val="32"/>
          <w:highlight w:val="none"/>
        </w:rPr>
        <w:t>办公室负责日常工作</w:t>
      </w:r>
      <w:r>
        <w:rPr>
          <w:rFonts w:hint="eastAsia" w:ascii="仿宋_GB2312" w:hAnsi="仿宋_GB2312" w:eastAsia="仿宋_GB2312" w:cs="仿宋_GB2312"/>
          <w:b w:val="0"/>
          <w:bCs/>
          <w:color w:val="auto"/>
          <w:sz w:val="32"/>
          <w:szCs w:val="32"/>
          <w:highlight w:val="none"/>
          <w:lang w:val="en-US" w:eastAsia="zh-CN"/>
        </w:rPr>
        <w:t>；</w:t>
      </w:r>
      <w:r>
        <w:rPr>
          <w:rFonts w:hint="eastAsia" w:ascii="仿宋_GB2312" w:hAnsi="仿宋_GB2312" w:eastAsia="仿宋_GB2312" w:cs="仿宋_GB2312"/>
          <w:b w:val="0"/>
          <w:bCs/>
          <w:color w:val="auto"/>
          <w:sz w:val="32"/>
          <w:szCs w:val="32"/>
          <w:highlight w:val="none"/>
          <w:lang w:eastAsia="zh-CN"/>
        </w:rPr>
        <w:t>建立分工协作机制，各股室按职责上报各领域信息，办公室负责信息审核、公开和督导，指定</w:t>
      </w:r>
      <w:r>
        <w:rPr>
          <w:rFonts w:hint="eastAsia" w:ascii="仿宋_GB2312" w:hAnsi="仿宋_GB2312" w:eastAsia="仿宋_GB2312" w:cs="仿宋_GB2312"/>
          <w:b w:val="0"/>
          <w:bCs/>
          <w:color w:val="auto"/>
          <w:sz w:val="32"/>
          <w:szCs w:val="32"/>
          <w:highlight w:val="none"/>
        </w:rPr>
        <w:t>政务公开专职人员</w:t>
      </w:r>
      <w:r>
        <w:rPr>
          <w:rFonts w:hint="eastAsia" w:ascii="仿宋_GB2312" w:hAnsi="仿宋_GB2312" w:eastAsia="仿宋_GB2312" w:cs="仿宋_GB2312"/>
          <w:b w:val="0"/>
          <w:bCs/>
          <w:color w:val="auto"/>
          <w:sz w:val="32"/>
          <w:szCs w:val="32"/>
          <w:highlight w:val="none"/>
          <w:lang w:val="en-US" w:eastAsia="zh-CN"/>
        </w:rPr>
        <w:t>，</w:t>
      </w:r>
      <w:r>
        <w:rPr>
          <w:rFonts w:hint="eastAsia" w:ascii="仿宋_GB2312" w:hAnsi="仿宋_GB2312" w:eastAsia="仿宋_GB2312" w:cs="仿宋_GB2312"/>
          <w:b w:val="0"/>
          <w:bCs/>
          <w:color w:val="auto"/>
          <w:sz w:val="32"/>
          <w:szCs w:val="32"/>
          <w:highlight w:val="none"/>
          <w:lang w:eastAsia="zh-CN"/>
        </w:rPr>
        <w:t>确保信息公开及时性、时效性。</w:t>
      </w:r>
      <w:r>
        <w:rPr>
          <w:rFonts w:hint="eastAsia" w:ascii="仿宋_GB2312" w:hAnsi="仿宋_GB2312" w:eastAsia="仿宋_GB2312" w:cs="仿宋_GB2312"/>
          <w:b w:val="0"/>
          <w:bCs/>
          <w:color w:val="auto"/>
          <w:sz w:val="32"/>
          <w:szCs w:val="32"/>
          <w:highlight w:val="none"/>
          <w:lang w:val="en-US" w:eastAsia="zh-CN"/>
        </w:rPr>
        <w:t>2.数字化管理。加大数据公开力度及保证数据的准确性、时效性、真实性。3.规范信息审核发布机制。出台审核制度，凡公开信息一律先经副组长以上的领导签字同意后才公开。4.</w:t>
      </w:r>
      <w:r>
        <w:rPr>
          <w:rFonts w:hint="eastAsia" w:ascii="仿宋_GB2312" w:hAnsi="仿宋_GB2312" w:eastAsia="仿宋_GB2312" w:cs="仿宋_GB2312"/>
          <w:b w:val="0"/>
          <w:bCs/>
          <w:color w:val="auto"/>
          <w:sz w:val="32"/>
          <w:szCs w:val="32"/>
          <w:highlight w:val="none"/>
        </w:rPr>
        <w:t>规范性文件</w:t>
      </w:r>
      <w:r>
        <w:rPr>
          <w:rFonts w:hint="eastAsia" w:ascii="仿宋_GB2312" w:hAnsi="仿宋_GB2312" w:eastAsia="仿宋_GB2312" w:cs="仿宋_GB2312"/>
          <w:b w:val="0"/>
          <w:bCs/>
          <w:color w:val="auto"/>
          <w:sz w:val="32"/>
          <w:szCs w:val="32"/>
          <w:highlight w:val="none"/>
          <w:lang w:val="en-US" w:eastAsia="zh-CN"/>
        </w:rPr>
        <w:t>清理。我委2023年规范性文件清理为27件。</w:t>
      </w:r>
    </w:p>
    <w:p w14:paraId="4A0250A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楷体" w:hAnsi="楷体" w:eastAsia="楷体" w:cs="楷体"/>
          <w:b w:val="0"/>
          <w:bCs/>
          <w:sz w:val="32"/>
          <w:szCs w:val="32"/>
          <w:highlight w:val="none"/>
        </w:rPr>
      </w:pPr>
      <w:r>
        <w:rPr>
          <w:rFonts w:hint="eastAsia" w:ascii="楷体" w:hAnsi="楷体" w:eastAsia="楷体" w:cs="楷体"/>
          <w:b w:val="0"/>
          <w:bCs/>
          <w:sz w:val="32"/>
          <w:szCs w:val="32"/>
          <w:highlight w:val="none"/>
        </w:rPr>
        <w:t>（四）</w:t>
      </w:r>
      <w:r>
        <w:rPr>
          <w:rFonts w:hint="eastAsia" w:ascii="楷体" w:hAnsi="楷体" w:eastAsia="楷体" w:cs="楷体"/>
          <w:b w:val="0"/>
          <w:bCs/>
          <w:sz w:val="32"/>
          <w:szCs w:val="32"/>
          <w:highlight w:val="none"/>
          <w:lang w:val="en-US" w:eastAsia="zh-CN"/>
        </w:rPr>
        <w:t>政府信息公</w:t>
      </w:r>
      <w:r>
        <w:rPr>
          <w:rFonts w:hint="eastAsia"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t>开</w:t>
      </w:r>
      <w:r>
        <w:rPr>
          <w:rFonts w:hint="eastAsia" w:ascii="楷体" w:hAnsi="楷体" w:eastAsia="楷体" w:cs="楷体"/>
          <w:b w:val="0"/>
          <w:bCs/>
          <w:sz w:val="32"/>
          <w:szCs w:val="32"/>
          <w:highlight w:val="none"/>
        </w:rPr>
        <w:t>平台建设</w:t>
      </w:r>
    </w:p>
    <w:p w14:paraId="1EBCBF0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sz w:val="32"/>
          <w:szCs w:val="32"/>
          <w:highlight w:val="none"/>
        </w:rPr>
      </w:pPr>
      <w:r>
        <w:rPr>
          <w:rFonts w:hint="eastAsia" w:ascii="仿宋_GB2312" w:hAnsi="仿宋_GB2312" w:eastAsia="仿宋_GB2312" w:cs="仿宋_GB2312"/>
          <w:b w:val="0"/>
          <w:bCs/>
          <w:sz w:val="32"/>
          <w:szCs w:val="32"/>
          <w:highlight w:val="none"/>
          <w:lang w:eastAsia="zh-CN"/>
        </w:rPr>
        <w:t>我委</w:t>
      </w:r>
      <w:r>
        <w:rPr>
          <w:rFonts w:hint="eastAsia" w:ascii="仿宋_GB2312" w:hAnsi="仿宋_GB2312" w:eastAsia="仿宋_GB2312" w:cs="仿宋_GB2312"/>
          <w:b w:val="0"/>
          <w:bCs/>
          <w:sz w:val="32"/>
          <w:szCs w:val="32"/>
          <w:highlight w:val="none"/>
        </w:rPr>
        <w:t>政府公开信息</w:t>
      </w:r>
      <w:r>
        <w:rPr>
          <w:rFonts w:hint="eastAsia" w:ascii="仿宋_GB2312" w:hAnsi="仿宋_GB2312" w:eastAsia="仿宋_GB2312" w:cs="仿宋_GB2312"/>
          <w:b w:val="0"/>
          <w:bCs/>
          <w:sz w:val="32"/>
          <w:szCs w:val="32"/>
          <w:highlight w:val="none"/>
          <w:lang w:eastAsia="zh-CN"/>
        </w:rPr>
        <w:t>主要依托</w:t>
      </w:r>
      <w:r>
        <w:rPr>
          <w:rFonts w:hint="eastAsia" w:ascii="仿宋_GB2312" w:hAnsi="仿宋_GB2312" w:eastAsia="仿宋_GB2312" w:cs="仿宋_GB2312"/>
          <w:b w:val="0"/>
          <w:bCs/>
          <w:sz w:val="32"/>
          <w:szCs w:val="32"/>
          <w:highlight w:val="none"/>
        </w:rPr>
        <w:t>“高安市人民政府网”进行公开，</w:t>
      </w:r>
      <w:r>
        <w:rPr>
          <w:rFonts w:hint="eastAsia" w:ascii="仿宋_GB2312" w:hAnsi="仿宋_GB2312" w:eastAsia="仿宋_GB2312" w:cs="仿宋_GB2312"/>
          <w:b w:val="0"/>
          <w:bCs/>
          <w:sz w:val="32"/>
          <w:szCs w:val="32"/>
          <w:highlight w:val="none"/>
          <w:lang w:eastAsia="zh-CN"/>
        </w:rPr>
        <w:t>按照信息中心及上级要求，及时调整更新本单位栏目信息，同时积极与信息中心沟通解决栏目运行中的问题，</w:t>
      </w:r>
      <w:r>
        <w:rPr>
          <w:rFonts w:hint="eastAsia" w:ascii="仿宋_GB2312" w:hAnsi="仿宋_GB2312" w:eastAsia="仿宋_GB2312" w:cs="仿宋_GB2312"/>
          <w:b w:val="0"/>
          <w:bCs/>
          <w:sz w:val="32"/>
          <w:szCs w:val="32"/>
          <w:highlight w:val="none"/>
        </w:rPr>
        <w:t>确保政府公开信息的</w:t>
      </w:r>
      <w:r>
        <w:rPr>
          <w:rFonts w:hint="eastAsia" w:ascii="仿宋_GB2312" w:hAnsi="仿宋_GB2312" w:eastAsia="仿宋_GB2312" w:cs="仿宋_GB2312"/>
          <w:b w:val="0"/>
          <w:bCs/>
          <w:sz w:val="32"/>
          <w:szCs w:val="32"/>
          <w:highlight w:val="none"/>
          <w:lang w:eastAsia="zh-CN"/>
        </w:rPr>
        <w:t>科学性、时效性</w:t>
      </w:r>
      <w:r>
        <w:rPr>
          <w:rFonts w:hint="eastAsia" w:ascii="仿宋_GB2312" w:hAnsi="仿宋_GB2312" w:eastAsia="仿宋_GB2312" w:cs="仿宋_GB2312"/>
          <w:b w:val="0"/>
          <w:bCs/>
          <w:sz w:val="32"/>
          <w:szCs w:val="32"/>
          <w:highlight w:val="none"/>
        </w:rPr>
        <w:t>。</w:t>
      </w:r>
    </w:p>
    <w:p w14:paraId="289803D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楷体" w:hAnsi="楷体" w:eastAsia="楷体" w:cs="楷体"/>
          <w:b w:val="0"/>
          <w:bCs/>
          <w:sz w:val="32"/>
          <w:szCs w:val="32"/>
          <w:highlight w:val="none"/>
        </w:rPr>
      </w:pPr>
      <w:r>
        <w:rPr>
          <w:rFonts w:hint="eastAsia" w:ascii="楷体" w:hAnsi="楷体" w:eastAsia="楷体" w:cs="楷体"/>
          <w:b w:val="0"/>
          <w:bCs/>
          <w:sz w:val="32"/>
          <w:szCs w:val="32"/>
          <w:highlight w:val="none"/>
        </w:rPr>
        <w:t>（五）监督保障</w:t>
      </w:r>
    </w:p>
    <w:p w14:paraId="71A9B63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color w:val="auto"/>
          <w:sz w:val="32"/>
          <w:szCs w:val="32"/>
          <w:highlight w:val="none"/>
          <w:lang w:eastAsia="zh-CN"/>
        </w:rPr>
      </w:pPr>
      <w:r>
        <w:rPr>
          <w:rFonts w:hint="eastAsia" w:ascii="仿宋_GB2312" w:hAnsi="仿宋_GB2312" w:cs="仿宋_GB2312"/>
          <w:b w:val="0"/>
          <w:bCs/>
          <w:color w:val="auto"/>
          <w:sz w:val="32"/>
          <w:szCs w:val="32"/>
          <w:highlight w:val="none"/>
          <w:lang w:val="en-US" w:eastAsia="zh-CN"/>
        </w:rPr>
        <w:t>1.</w:t>
      </w:r>
      <w:r>
        <w:rPr>
          <w:rFonts w:hint="eastAsia" w:ascii="仿宋_GB2312" w:hAnsi="仿宋_GB2312" w:eastAsia="仿宋_GB2312" w:cs="仿宋_GB2312"/>
          <w:b w:val="0"/>
          <w:bCs/>
          <w:color w:val="auto"/>
          <w:sz w:val="32"/>
          <w:szCs w:val="32"/>
          <w:highlight w:val="none"/>
          <w:lang w:eastAsia="zh-CN"/>
        </w:rPr>
        <w:t>严格执行管委会信息公开保密审查、发布审查、政策解读等制度。</w:t>
      </w:r>
      <w:r>
        <w:rPr>
          <w:rFonts w:hint="eastAsia" w:ascii="仿宋_GB2312" w:hAnsi="仿宋_GB2312" w:cs="仿宋_GB2312"/>
          <w:b w:val="0"/>
          <w:bCs/>
          <w:color w:val="auto"/>
          <w:sz w:val="32"/>
          <w:szCs w:val="32"/>
          <w:highlight w:val="none"/>
          <w:lang w:val="en-US" w:eastAsia="zh-CN"/>
        </w:rPr>
        <w:t>2.</w:t>
      </w:r>
      <w:r>
        <w:rPr>
          <w:rFonts w:hint="eastAsia" w:ascii="仿宋_GB2312" w:hAnsi="仿宋_GB2312" w:eastAsia="仿宋_GB2312" w:cs="仿宋_GB2312"/>
          <w:b w:val="0"/>
          <w:bCs/>
          <w:color w:val="auto"/>
          <w:sz w:val="32"/>
          <w:szCs w:val="32"/>
          <w:highlight w:val="none"/>
          <w:lang w:eastAsia="zh-CN"/>
        </w:rPr>
        <w:t>高度重视信息公开考核工作，根据上级考核任务，及时明确各股室职责任务，定期督促各股室进行信息收集、整理、校对。</w:t>
      </w:r>
      <w:r>
        <w:rPr>
          <w:rFonts w:hint="eastAsia" w:ascii="仿宋_GB2312" w:hAnsi="仿宋_GB2312" w:cs="仿宋_GB2312"/>
          <w:b w:val="0"/>
          <w:bCs/>
          <w:color w:val="auto"/>
          <w:sz w:val="32"/>
          <w:szCs w:val="32"/>
          <w:highlight w:val="none"/>
          <w:lang w:val="en-US" w:eastAsia="zh-CN"/>
        </w:rPr>
        <w:t>3.</w:t>
      </w:r>
      <w:r>
        <w:rPr>
          <w:rFonts w:hint="eastAsia" w:ascii="仿宋_GB2312" w:hAnsi="仿宋_GB2312" w:eastAsia="仿宋_GB2312" w:cs="仿宋_GB2312"/>
          <w:b w:val="0"/>
          <w:bCs/>
          <w:color w:val="auto"/>
          <w:sz w:val="32"/>
          <w:szCs w:val="32"/>
          <w:highlight w:val="none"/>
          <w:lang w:eastAsia="zh-CN"/>
        </w:rPr>
        <w:t>周密组织社会评议工作，确保对外公开的信息有迹可寻、有政策支持、有数据支撑，有应对措施。</w:t>
      </w:r>
      <w:r>
        <w:rPr>
          <w:rFonts w:hint="eastAsia" w:ascii="仿宋_GB2312" w:hAnsi="仿宋_GB2312" w:cs="仿宋_GB2312"/>
          <w:b w:val="0"/>
          <w:bCs/>
          <w:color w:val="auto"/>
          <w:sz w:val="32"/>
          <w:szCs w:val="32"/>
          <w:highlight w:val="none"/>
          <w:lang w:val="en-US" w:eastAsia="zh-CN"/>
        </w:rPr>
        <w:t>4.</w:t>
      </w:r>
      <w:r>
        <w:rPr>
          <w:rFonts w:hint="eastAsia" w:ascii="仿宋_GB2312" w:hAnsi="仿宋_GB2312" w:eastAsia="仿宋_GB2312" w:cs="仿宋_GB2312"/>
          <w:b w:val="0"/>
          <w:bCs/>
          <w:color w:val="auto"/>
          <w:sz w:val="32"/>
          <w:szCs w:val="32"/>
          <w:highlight w:val="none"/>
          <w:lang w:eastAsia="zh-CN"/>
        </w:rPr>
        <w:t>加强责任追究，截至目前，我委未因政务公开工作受到业务主管部门通报。</w:t>
      </w:r>
    </w:p>
    <w:p w14:paraId="3345B10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sz w:val="32"/>
          <w:szCs w:val="32"/>
          <w:highlight w:val="none"/>
        </w:rPr>
      </w:pPr>
      <w:r>
        <w:rPr>
          <w:rFonts w:hint="eastAsia" w:ascii="黑体" w:hAnsi="黑体" w:eastAsia="黑体" w:cs="黑体"/>
          <w:b w:val="0"/>
          <w:bCs/>
          <w:sz w:val="32"/>
          <w:szCs w:val="32"/>
          <w:highlight w:val="none"/>
          <w:lang w:eastAsia="zh-CN"/>
        </w:rPr>
        <w:t>二、</w:t>
      </w:r>
      <w:r>
        <w:rPr>
          <w:rFonts w:hint="eastAsia" w:ascii="黑体" w:hAnsi="黑体" w:eastAsia="黑体" w:cs="黑体"/>
          <w:b w:val="0"/>
          <w:bCs/>
          <w:sz w:val="32"/>
          <w:szCs w:val="32"/>
          <w:highlight w:val="none"/>
        </w:rPr>
        <w:t>主动公开政府信息情况</w:t>
      </w:r>
    </w:p>
    <w:tbl>
      <w:tblPr>
        <w:tblStyle w:val="5"/>
        <w:tblW w:w="976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2397"/>
        <w:gridCol w:w="2455"/>
        <w:gridCol w:w="2455"/>
        <w:gridCol w:w="2455"/>
      </w:tblGrid>
      <w:tr w14:paraId="32C8A4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9762" w:type="dxa"/>
            <w:gridSpan w:val="4"/>
            <w:tcBorders>
              <w:top w:val="single" w:color="auto" w:sz="8" w:space="0"/>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14:paraId="7F60890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color w:val="000000"/>
                <w:kern w:val="0"/>
                <w:sz w:val="32"/>
                <w:szCs w:val="32"/>
                <w:lang w:val="en-US" w:eastAsia="zh-CN" w:bidi="ar"/>
              </w:rPr>
              <w:t>第二十条第（一）项</w:t>
            </w:r>
          </w:p>
        </w:tc>
      </w:tr>
      <w:tr w14:paraId="0A0149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13" w:hRule="atLeast"/>
          <w:jc w:val="center"/>
        </w:trPr>
        <w:tc>
          <w:tcPr>
            <w:tcW w:w="2397"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6840FC5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信息内容</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39BC13E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w:t>
            </w:r>
            <w:r>
              <w:rPr>
                <w:rFonts w:hint="eastAsia" w:ascii="楷体_GB2312" w:hAnsi="楷体_GB2312" w:eastAsia="楷体_GB2312" w:cs="楷体_GB2312"/>
                <w:b/>
                <w:bCs/>
                <w:kern w:val="0"/>
                <w:sz w:val="32"/>
                <w:szCs w:val="32"/>
                <w:lang w:val="en-US" w:eastAsia="zh-CN" w:bidi="ar"/>
              </w:rPr>
              <w:t>制发件数</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6C922BB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本年废止件数</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6615C81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现行有效件</w:t>
            </w:r>
            <w:r>
              <w:rPr>
                <w:rFonts w:hint="eastAsia" w:ascii="楷体_GB2312" w:hAnsi="楷体_GB2312" w:eastAsia="楷体_GB2312" w:cs="楷体_GB2312"/>
                <w:b/>
                <w:bCs/>
                <w:kern w:val="0"/>
                <w:sz w:val="32"/>
                <w:szCs w:val="32"/>
                <w:lang w:val="en-US" w:eastAsia="zh-CN" w:bidi="ar"/>
              </w:rPr>
              <w:t>数</w:t>
            </w:r>
          </w:p>
        </w:tc>
      </w:tr>
      <w:tr w14:paraId="50B603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397"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3D198E3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规    章</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14:paraId="7279942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14:paraId="71F6F71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14:paraId="16C6BE3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r>
      <w:tr w14:paraId="439970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397"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6DCEB02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color w:val="000000"/>
                <w:kern w:val="0"/>
                <w:sz w:val="32"/>
                <w:szCs w:val="32"/>
                <w:lang w:val="en-US" w:eastAsia="zh-CN" w:bidi="ar"/>
              </w:rPr>
            </w:pPr>
            <w:r>
              <w:rPr>
                <w:rFonts w:hint="eastAsia" w:ascii="楷体_GB2312" w:hAnsi="楷体_GB2312" w:eastAsia="楷体_GB2312" w:cs="楷体_GB2312"/>
                <w:b/>
                <w:bCs/>
                <w:color w:val="000000"/>
                <w:kern w:val="0"/>
                <w:sz w:val="32"/>
                <w:szCs w:val="32"/>
                <w:lang w:val="en-US" w:eastAsia="zh-CN" w:bidi="ar"/>
              </w:rPr>
              <w:t>行政规范性文件</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14:paraId="5B8FB1F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楷体_GB2312" w:hAnsi="楷体_GB2312" w:eastAsia="楷体_GB2312" w:cs="楷体_GB2312"/>
                <w:b/>
                <w:bCs/>
                <w:color w:val="000000"/>
                <w:kern w:val="0"/>
                <w:sz w:val="32"/>
                <w:szCs w:val="32"/>
                <w:lang w:val="en-US" w:eastAsia="zh-CN" w:bidi="ar"/>
              </w:rPr>
            </w:pPr>
            <w:r>
              <w:rPr>
                <w:rFonts w:hint="eastAsia" w:ascii="仿宋_GB2312" w:hAnsi="仿宋_GB2312" w:cs="仿宋_GB2312"/>
                <w:b w:val="0"/>
                <w:bCs w:val="0"/>
                <w:sz w:val="32"/>
                <w:szCs w:val="32"/>
                <w:lang w:val="en-US" w:eastAsia="zh-CN"/>
              </w:rPr>
              <w:t>18</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14:paraId="0FE64F0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color w:val="FF0000"/>
                <w:sz w:val="32"/>
                <w:szCs w:val="32"/>
                <w:lang w:val="en-US" w:eastAsia="zh-CN"/>
              </w:rPr>
            </w:pPr>
            <w:r>
              <w:rPr>
                <w:rFonts w:hint="eastAsia" w:ascii="仿宋_GB2312" w:hAnsi="仿宋_GB2312" w:cs="仿宋_GB2312"/>
                <w:b w:val="0"/>
                <w:bCs w:val="0"/>
                <w:sz w:val="32"/>
                <w:szCs w:val="32"/>
                <w:lang w:val="en-US" w:eastAsia="zh-CN"/>
              </w:rPr>
              <w:t>27</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14:paraId="09676BB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color w:val="FF0000"/>
                <w:sz w:val="32"/>
                <w:szCs w:val="32"/>
                <w:lang w:val="en-US" w:eastAsia="zh-CN"/>
              </w:rPr>
            </w:pPr>
            <w:r>
              <w:rPr>
                <w:rFonts w:hint="eastAsia" w:ascii="仿宋_GB2312" w:hAnsi="仿宋_GB2312" w:cs="仿宋_GB2312"/>
                <w:b w:val="0"/>
                <w:bCs w:val="0"/>
                <w:sz w:val="32"/>
                <w:szCs w:val="32"/>
                <w:lang w:val="en-US" w:eastAsia="zh-CN"/>
              </w:rPr>
              <w:t>54</w:t>
            </w:r>
          </w:p>
        </w:tc>
      </w:tr>
      <w:tr w14:paraId="68B2FB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762" w:type="dxa"/>
            <w:gridSpan w:val="4"/>
            <w:tcBorders>
              <w:top w:val="nil"/>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14:paraId="4C0D1B3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第二十条第（五）项</w:t>
            </w:r>
          </w:p>
        </w:tc>
      </w:tr>
      <w:tr w14:paraId="6CC2BB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397"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48EAAC8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信息内容</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14:paraId="39ECC9E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本年处理决定数量</w:t>
            </w:r>
          </w:p>
        </w:tc>
      </w:tr>
      <w:tr w14:paraId="3BA458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397"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023A58A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行政许可</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14:paraId="1156030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r>
      <w:tr w14:paraId="50B2AC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762" w:type="dxa"/>
            <w:gridSpan w:val="4"/>
            <w:tcBorders>
              <w:top w:val="nil"/>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14:paraId="5DDFE3B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第二十条第（六）项</w:t>
            </w:r>
          </w:p>
        </w:tc>
      </w:tr>
      <w:tr w14:paraId="03DF94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397"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45A7689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color w:val="000000"/>
                <w:kern w:val="0"/>
                <w:sz w:val="32"/>
                <w:szCs w:val="32"/>
                <w:lang w:val="en-US" w:eastAsia="zh-CN" w:bidi="ar"/>
              </w:rPr>
            </w:pPr>
            <w:r>
              <w:rPr>
                <w:rFonts w:hint="eastAsia" w:ascii="楷体_GB2312" w:hAnsi="楷体_GB2312" w:eastAsia="楷体_GB2312" w:cs="楷体_GB2312"/>
                <w:b/>
                <w:bCs/>
                <w:color w:val="000000"/>
                <w:kern w:val="0"/>
                <w:sz w:val="32"/>
                <w:szCs w:val="32"/>
                <w:lang w:val="en-US" w:eastAsia="zh-CN" w:bidi="ar"/>
              </w:rPr>
              <w:t>信息内容</w:t>
            </w:r>
          </w:p>
        </w:tc>
        <w:tc>
          <w:tcPr>
            <w:tcW w:w="7365" w:type="dxa"/>
            <w:gridSpan w:val="3"/>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5A25003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本年处理决定数量</w:t>
            </w:r>
          </w:p>
        </w:tc>
      </w:tr>
      <w:tr w14:paraId="12070D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397"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51465BC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color w:val="000000"/>
                <w:kern w:val="0"/>
                <w:sz w:val="32"/>
                <w:szCs w:val="32"/>
                <w:lang w:val="en-US" w:eastAsia="zh-CN" w:bidi="ar"/>
              </w:rPr>
            </w:pPr>
            <w:r>
              <w:rPr>
                <w:rFonts w:hint="eastAsia" w:ascii="楷体_GB2312" w:hAnsi="楷体_GB2312" w:eastAsia="楷体_GB2312" w:cs="楷体_GB2312"/>
                <w:b/>
                <w:bCs/>
                <w:color w:val="000000"/>
                <w:kern w:val="0"/>
                <w:sz w:val="32"/>
                <w:szCs w:val="32"/>
                <w:lang w:val="en-US" w:eastAsia="zh-CN" w:bidi="ar"/>
              </w:rPr>
              <w:t>行政处罚</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14:paraId="3C51F01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color w:val="000000"/>
                <w:kern w:val="0"/>
                <w:sz w:val="32"/>
                <w:szCs w:val="32"/>
                <w:lang w:val="en-US" w:eastAsia="zh-CN" w:bidi="ar"/>
              </w:rPr>
            </w:pPr>
            <w:r>
              <w:rPr>
                <w:rFonts w:hint="eastAsia" w:ascii="仿宋_GB2312" w:hAnsi="仿宋_GB2312" w:cs="仿宋_GB2312"/>
                <w:b w:val="0"/>
                <w:bCs w:val="0"/>
                <w:color w:val="000000"/>
                <w:kern w:val="0"/>
                <w:sz w:val="32"/>
                <w:szCs w:val="32"/>
                <w:lang w:val="en-US" w:eastAsia="zh-CN" w:bidi="ar"/>
              </w:rPr>
              <w:t>0</w:t>
            </w:r>
          </w:p>
        </w:tc>
      </w:tr>
      <w:tr w14:paraId="3A31C4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397"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7EE71B9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color w:val="000000"/>
                <w:kern w:val="0"/>
                <w:sz w:val="32"/>
                <w:szCs w:val="32"/>
                <w:lang w:val="en-US" w:eastAsia="zh-CN" w:bidi="ar"/>
              </w:rPr>
            </w:pPr>
            <w:r>
              <w:rPr>
                <w:rFonts w:hint="eastAsia" w:ascii="楷体_GB2312" w:hAnsi="楷体_GB2312" w:eastAsia="楷体_GB2312" w:cs="楷体_GB2312"/>
                <w:b/>
                <w:bCs/>
                <w:color w:val="000000"/>
                <w:kern w:val="0"/>
                <w:sz w:val="32"/>
                <w:szCs w:val="32"/>
                <w:lang w:val="en-US" w:eastAsia="zh-CN" w:bidi="ar"/>
              </w:rPr>
              <w:t>行政强制</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14:paraId="409626D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color w:val="000000"/>
                <w:kern w:val="0"/>
                <w:sz w:val="32"/>
                <w:szCs w:val="32"/>
                <w:lang w:val="en-US" w:eastAsia="zh-CN" w:bidi="ar"/>
              </w:rPr>
            </w:pPr>
            <w:r>
              <w:rPr>
                <w:rFonts w:hint="eastAsia" w:ascii="仿宋_GB2312" w:hAnsi="仿宋_GB2312" w:cs="仿宋_GB2312"/>
                <w:b w:val="0"/>
                <w:bCs w:val="0"/>
                <w:color w:val="000000"/>
                <w:kern w:val="0"/>
                <w:sz w:val="32"/>
                <w:szCs w:val="32"/>
                <w:lang w:val="en-US" w:eastAsia="zh-CN" w:bidi="ar"/>
              </w:rPr>
              <w:t>0</w:t>
            </w:r>
          </w:p>
        </w:tc>
      </w:tr>
      <w:tr w14:paraId="63BF95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762" w:type="dxa"/>
            <w:gridSpan w:val="4"/>
            <w:tcBorders>
              <w:top w:val="nil"/>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14:paraId="6DEF15C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第二十条第（八）项</w:t>
            </w:r>
          </w:p>
        </w:tc>
      </w:tr>
      <w:tr w14:paraId="6DC7AE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397"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7D72401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信息内容</w:t>
            </w:r>
          </w:p>
        </w:tc>
        <w:tc>
          <w:tcPr>
            <w:tcW w:w="736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14:paraId="2C99858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本年收费金额（单位：万元）</w:t>
            </w:r>
          </w:p>
        </w:tc>
      </w:tr>
      <w:tr w14:paraId="3C54FF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96" w:hRule="atLeast"/>
          <w:jc w:val="center"/>
        </w:trPr>
        <w:tc>
          <w:tcPr>
            <w:tcW w:w="2397"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0EB4605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行政事业性收费</w:t>
            </w:r>
          </w:p>
        </w:tc>
        <w:tc>
          <w:tcPr>
            <w:tcW w:w="736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14:paraId="646A9C3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r>
    </w:tbl>
    <w:p w14:paraId="3583C4A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color w:val="000000" w:themeColor="text1"/>
          <w:sz w:val="32"/>
          <w:szCs w:val="32"/>
          <w:highlight w:val="none"/>
          <w14:textFill>
            <w14:solidFill>
              <w14:schemeClr w14:val="tx1"/>
            </w14:solidFill>
          </w14:textFill>
        </w:rPr>
      </w:pPr>
      <w:r>
        <w:rPr>
          <w:rFonts w:hint="eastAsia" w:ascii="黑体" w:hAnsi="黑体" w:eastAsia="黑体" w:cs="黑体"/>
          <w:b w:val="0"/>
          <w:bCs/>
          <w:color w:val="000000" w:themeColor="text1"/>
          <w:sz w:val="32"/>
          <w:szCs w:val="32"/>
          <w:highlight w:val="none"/>
          <w:lang w:eastAsia="zh-CN"/>
          <w14:textFill>
            <w14:solidFill>
              <w14:schemeClr w14:val="tx1"/>
            </w14:solidFill>
          </w14:textFill>
        </w:rPr>
        <w:t>三、</w:t>
      </w:r>
      <w:r>
        <w:rPr>
          <w:rFonts w:hint="eastAsia" w:ascii="黑体" w:hAnsi="黑体" w:eastAsia="黑体" w:cs="黑体"/>
          <w:b w:val="0"/>
          <w:bCs/>
          <w:color w:val="000000" w:themeColor="text1"/>
          <w:sz w:val="32"/>
          <w:szCs w:val="32"/>
          <w:highlight w:val="none"/>
          <w14:textFill>
            <w14:solidFill>
              <w14:schemeClr w14:val="tx1"/>
            </w14:solidFill>
          </w14:textFill>
        </w:rPr>
        <w:t>收到和处理政府信息公开申请情况</w:t>
      </w:r>
    </w:p>
    <w:tbl>
      <w:tblPr>
        <w:tblStyle w:val="5"/>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780"/>
        <w:gridCol w:w="997"/>
        <w:gridCol w:w="4823"/>
        <w:gridCol w:w="439"/>
        <w:gridCol w:w="473"/>
        <w:gridCol w:w="380"/>
        <w:gridCol w:w="497"/>
        <w:gridCol w:w="438"/>
        <w:gridCol w:w="450"/>
        <w:gridCol w:w="471"/>
      </w:tblGrid>
      <w:tr w14:paraId="2BF3CC5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170" w:hRule="atLeast"/>
          <w:jc w:val="center"/>
        </w:trPr>
        <w:tc>
          <w:tcPr>
            <w:tcW w:w="6600" w:type="dxa"/>
            <w:gridSpan w:val="3"/>
            <w:vMerge w:val="restart"/>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14:paraId="5311FB0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（本列数据的勾稽关系为：第一项加第二项之和，等于第三项加第四项之和）</w:t>
            </w:r>
          </w:p>
        </w:tc>
        <w:tc>
          <w:tcPr>
            <w:tcW w:w="3148" w:type="dxa"/>
            <w:gridSpan w:val="7"/>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07309A1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申请人情况</w:t>
            </w:r>
          </w:p>
        </w:tc>
      </w:tr>
      <w:tr w14:paraId="71B5771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0" w:hRule="atLeast"/>
          <w:jc w:val="center"/>
        </w:trPr>
        <w:tc>
          <w:tcPr>
            <w:tcW w:w="6600"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14:paraId="6BE31893">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39" w:type="dxa"/>
            <w:vMerge w:val="restart"/>
            <w:tcBorders>
              <w:top w:val="single" w:color="auto" w:sz="8" w:space="0"/>
              <w:left w:val="single" w:color="auto" w:sz="8" w:space="0"/>
              <w:bottom w:val="single" w:color="auto" w:sz="8" w:space="0"/>
              <w:right w:val="single" w:color="auto" w:sz="8" w:space="0"/>
            </w:tcBorders>
            <w:shd w:val="clear" w:color="auto" w:fill="auto"/>
            <w:tcMar>
              <w:left w:w="57" w:type="dxa"/>
              <w:right w:w="57" w:type="dxa"/>
            </w:tcMar>
            <w:vAlign w:val="center"/>
          </w:tcPr>
          <w:p w14:paraId="2A1CB6A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自</w:t>
            </w:r>
          </w:p>
          <w:p w14:paraId="15A0917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p>
          <w:p w14:paraId="2AB89CD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然</w:t>
            </w:r>
          </w:p>
          <w:p w14:paraId="3BD052F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p>
          <w:p w14:paraId="7107F41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人</w:t>
            </w:r>
          </w:p>
        </w:tc>
        <w:tc>
          <w:tcPr>
            <w:tcW w:w="2238" w:type="dxa"/>
            <w:gridSpan w:val="5"/>
            <w:tcBorders>
              <w:top w:val="single" w:color="auto" w:sz="8" w:space="0"/>
              <w:left w:val="single" w:color="auto" w:sz="8" w:space="0"/>
              <w:bottom w:val="single" w:color="auto" w:sz="8" w:space="0"/>
              <w:right w:val="single" w:color="auto" w:sz="8" w:space="0"/>
            </w:tcBorders>
            <w:shd w:val="clear" w:color="auto" w:fill="auto"/>
            <w:tcMar>
              <w:left w:w="57" w:type="dxa"/>
              <w:right w:w="57" w:type="dxa"/>
            </w:tcMar>
            <w:vAlign w:val="center"/>
          </w:tcPr>
          <w:p w14:paraId="63495B7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法人或其他组织</w:t>
            </w:r>
          </w:p>
        </w:tc>
        <w:tc>
          <w:tcPr>
            <w:tcW w:w="471" w:type="dxa"/>
            <w:vMerge w:val="restart"/>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14:paraId="017D0FE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总计</w:t>
            </w:r>
          </w:p>
        </w:tc>
      </w:tr>
      <w:tr w14:paraId="380B0E5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740" w:hRule="atLeast"/>
          <w:jc w:val="center"/>
        </w:trPr>
        <w:tc>
          <w:tcPr>
            <w:tcW w:w="6600"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14:paraId="14E58044">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39" w:type="dxa"/>
            <w:vMerge w:val="continue"/>
            <w:tcBorders>
              <w:top w:val="single" w:color="auto" w:sz="8" w:space="0"/>
              <w:left w:val="single" w:color="auto" w:sz="8" w:space="0"/>
              <w:bottom w:val="single" w:color="auto" w:sz="8" w:space="0"/>
              <w:right w:val="single" w:color="auto" w:sz="8" w:space="0"/>
            </w:tcBorders>
            <w:shd w:val="clear" w:color="auto" w:fill="auto"/>
            <w:tcMar>
              <w:left w:w="57" w:type="dxa"/>
              <w:right w:w="57" w:type="dxa"/>
            </w:tcMar>
            <w:vAlign w:val="center"/>
          </w:tcPr>
          <w:p w14:paraId="4D3150D7">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仿宋_GB2312" w:eastAsia="仿宋_GB2312" w:cs="仿宋_GB2312"/>
                <w:sz w:val="32"/>
                <w:szCs w:val="32"/>
              </w:rPr>
            </w:pPr>
          </w:p>
        </w:tc>
        <w:tc>
          <w:tcPr>
            <w:tcW w:w="473" w:type="dxa"/>
            <w:tcBorders>
              <w:top w:val="single" w:color="auto" w:sz="8" w:space="0"/>
              <w:left w:val="single" w:color="auto" w:sz="8" w:space="0"/>
              <w:bottom w:val="single" w:color="auto" w:sz="8" w:space="0"/>
              <w:right w:val="single" w:color="auto" w:sz="8" w:space="0"/>
            </w:tcBorders>
            <w:shd w:val="clear" w:color="auto" w:fill="auto"/>
            <w:tcMar>
              <w:left w:w="57" w:type="dxa"/>
              <w:right w:w="57" w:type="dxa"/>
            </w:tcMar>
            <w:vAlign w:val="center"/>
          </w:tcPr>
          <w:p w14:paraId="51D1C8D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商业</w:t>
            </w:r>
          </w:p>
          <w:p w14:paraId="3C57C8A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企业</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7535481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科研</w:t>
            </w:r>
          </w:p>
          <w:p w14:paraId="6D3ECA5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机构</w:t>
            </w:r>
          </w:p>
        </w:tc>
        <w:tc>
          <w:tcPr>
            <w:tcW w:w="497"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4DDEA24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社会公益组织</w:t>
            </w:r>
          </w:p>
        </w:tc>
        <w:tc>
          <w:tcPr>
            <w:tcW w:w="438"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00AC712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法律服务机构</w:t>
            </w:r>
          </w:p>
        </w:tc>
        <w:tc>
          <w:tcPr>
            <w:tcW w:w="450"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4B55ACC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其他</w:t>
            </w:r>
          </w:p>
        </w:tc>
        <w:tc>
          <w:tcPr>
            <w:tcW w:w="471" w:type="dxa"/>
            <w:vMerge w:val="continue"/>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14:paraId="4EE29E02">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仿宋_GB2312" w:eastAsia="仿宋_GB2312" w:cs="仿宋_GB2312"/>
                <w:sz w:val="32"/>
                <w:szCs w:val="32"/>
              </w:rPr>
            </w:pPr>
          </w:p>
        </w:tc>
      </w:tr>
      <w:tr w14:paraId="13F6B69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90" w:hRule="atLeast"/>
          <w:jc w:val="center"/>
        </w:trPr>
        <w:tc>
          <w:tcPr>
            <w:tcW w:w="6600"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134D229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kern w:val="0"/>
                <w:sz w:val="32"/>
                <w:szCs w:val="32"/>
                <w:lang w:val="en-US" w:eastAsia="zh-CN" w:bidi="ar"/>
              </w:rPr>
              <w:t>一、本年新收政府信息公开申请数量</w:t>
            </w:r>
          </w:p>
        </w:tc>
        <w:tc>
          <w:tcPr>
            <w:tcW w:w="439"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41F8142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2</w:t>
            </w:r>
          </w:p>
        </w:tc>
        <w:tc>
          <w:tcPr>
            <w:tcW w:w="473"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699DD8C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6D8495B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04B1C8A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38E484A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3D002F6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063A562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2</w:t>
            </w:r>
          </w:p>
        </w:tc>
      </w:tr>
      <w:tr w14:paraId="13FBF30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30" w:hRule="atLeast"/>
          <w:jc w:val="center"/>
        </w:trPr>
        <w:tc>
          <w:tcPr>
            <w:tcW w:w="6600"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769A0EB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二、上年结转政府信息公开申请数量</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6EEC92C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1807F63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36F9B44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27BB523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0567FCF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21001E5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3085884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r>
      <w:tr w14:paraId="6D1E4B3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00" w:hRule="atLeast"/>
          <w:jc w:val="center"/>
        </w:trPr>
        <w:tc>
          <w:tcPr>
            <w:tcW w:w="780" w:type="dxa"/>
            <w:vMerge w:val="restart"/>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609135E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三、本年度办理结果</w:t>
            </w:r>
          </w:p>
        </w:tc>
        <w:tc>
          <w:tcPr>
            <w:tcW w:w="5820"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14:paraId="6914936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（一）予以公开</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252912E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4AA4A35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6105D4F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79CD769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6B0BD76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37E9167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71"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26892A7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r>
      <w:tr w14:paraId="5CA0E20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10"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1E39259A">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5820"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14:paraId="3C5A010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（二）部分公开（区分处理的，只计这一情形，不计其他情形）</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7180AA1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05ADCA2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4FDB0F3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2CBAA2E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326B7D6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26412AE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7C15A8F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r>
      <w:tr w14:paraId="0ADFC9E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70AFE503">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14:paraId="7B5B065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（三）不予公开</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61E9A5F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1.属于国家秘密</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3E09114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2D19DFC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588588C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5B67754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1EF47C0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46E9D9B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71"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406D4B7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r>
      <w:tr w14:paraId="4105C4B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18AD022C">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4D2CBD9F">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09AB91F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2.其他法律行政法规禁止公开</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2396537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03CE19B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11A5B2C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53BCFB1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2F7F97A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035025B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08467D9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r>
      <w:tr w14:paraId="75C5C90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20"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7A1ECFB3">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1497F743">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420C288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3.危及“三安全一稳定”</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392AC37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185FEAF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04A2655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2FEC3D9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22847A9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1873DED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39047D5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r>
      <w:tr w14:paraId="2E4D2BC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5E4568FA">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286BFBCB">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09CA6F2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4.保护第三方合法权益</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0FD197D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0D09C52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27E4911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7D9294C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21D5553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3400F08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3F5E37D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r>
      <w:tr w14:paraId="5F6CDDE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0816F25C">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6D2A4170">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53A1A25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5.属于三类内部事务信息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3C57189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05AA41D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6A687BB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3E28A97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75901A2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3F03EA7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3BC79E2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r>
      <w:tr w14:paraId="68B08CF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77A3C7D7">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3646EA98">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64BAA2D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6.属于四类过程性信息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7FB8592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05A2E2D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31EF56B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44C6425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527B9B3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19C8ED2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135E681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r>
      <w:tr w14:paraId="159C7FB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75"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780D5E51">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7BC4D6DF">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5D16E92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7.属于行政执法案卷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2C844BF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764BE4E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5A0502B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362C7ED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021EAB0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08AA02D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5A33DDC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r>
      <w:tr w14:paraId="2E806C3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90"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3B60A6C4">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678FF945">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521BAA3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8.属于行政查询事项</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6545E3D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5EC0770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1D7BE30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7D3B43C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58C33C6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007E661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5AF1BD0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r>
      <w:tr w14:paraId="726847A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60"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01BCBF32">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14:paraId="1DAE6B5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（四）无法提供</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78C3DEB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1.本机关不掌握相关政府信息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678BCEB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5574A51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056B517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05FFFEB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7DCD224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07E36C5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7C4B4E5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r>
      <w:tr w14:paraId="07C63DE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20"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7B7C3D6F">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5BECFCB0">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7B70DE8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2.没有现成信息需要另行制作</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0F80A32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221BFC8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0CCD329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23B735F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2D2C479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748ABA8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7AF3233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r>
      <w:tr w14:paraId="683F931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90"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1B6EDD35">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2FBA7036">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0BB8DB0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3.补正后申请内容仍不明确</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0DB1E41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6BAC1C7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7D98D52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4D16622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4BC6378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16F184A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068CD81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r>
      <w:tr w14:paraId="6DE5585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0DA7121A">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14:paraId="4A07F83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（五）不予处理</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0BF7F53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1.信访举报投诉类申请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7F7757C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7C440C8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71C4E44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20635B5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1CABDEF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4288FF2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42FB0BA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r>
      <w:tr w14:paraId="40595D6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4F3A729A">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5058C8D4">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2929576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2.重复申请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607EB72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67C58AF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232890F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569F4EE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23E9FBD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12FA372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3DF658D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r>
      <w:tr w14:paraId="11696F0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65AE8A8F">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11805CC4">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4BF9FF5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3.要求提供公开出版物</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705CD7A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096FB81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78729C6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7AE17CE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7B65B22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1D74DC5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2AD6C3D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r>
      <w:tr w14:paraId="415F805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39"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7685CA8D">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0375756D">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31FA9C9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4.无正当理由大量反复申请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3AB6F97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350D9A0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73F9FC0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78C5D67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19752DA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504DAD2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19F2C2E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r>
      <w:tr w14:paraId="5829B61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50"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07305360">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single" w:color="auto" w:sz="4" w:space="0"/>
              <w:right w:val="single" w:color="auto" w:sz="8" w:space="0"/>
            </w:tcBorders>
            <w:shd w:val="clear" w:color="auto" w:fill="auto"/>
            <w:tcMar>
              <w:left w:w="57" w:type="dxa"/>
              <w:right w:w="57" w:type="dxa"/>
            </w:tcMar>
            <w:vAlign w:val="center"/>
          </w:tcPr>
          <w:p w14:paraId="4D429F4C">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4" w:space="0"/>
              <w:right w:val="single" w:color="auto" w:sz="8" w:space="0"/>
            </w:tcBorders>
            <w:shd w:val="clear" w:color="auto" w:fill="auto"/>
            <w:tcMar>
              <w:left w:w="57" w:type="dxa"/>
              <w:right w:w="57" w:type="dxa"/>
            </w:tcMar>
            <w:vAlign w:val="center"/>
          </w:tcPr>
          <w:p w14:paraId="14E0AE7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5.要求行政机关确认或重新出具已获取信息</w:t>
            </w:r>
          </w:p>
        </w:tc>
        <w:tc>
          <w:tcPr>
            <w:tcW w:w="439" w:type="dxa"/>
            <w:tcBorders>
              <w:top w:val="nil"/>
              <w:left w:val="nil"/>
              <w:bottom w:val="single" w:color="auto" w:sz="4" w:space="0"/>
              <w:right w:val="single" w:color="auto" w:sz="8" w:space="0"/>
            </w:tcBorders>
            <w:shd w:val="clear" w:color="auto" w:fill="auto"/>
            <w:tcMar>
              <w:left w:w="57" w:type="dxa"/>
              <w:right w:w="57" w:type="dxa"/>
            </w:tcMar>
            <w:vAlign w:val="center"/>
          </w:tcPr>
          <w:p w14:paraId="0CA6DAF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73" w:type="dxa"/>
            <w:tcBorders>
              <w:top w:val="nil"/>
              <w:left w:val="nil"/>
              <w:bottom w:val="single" w:color="auto" w:sz="4" w:space="0"/>
              <w:right w:val="single" w:color="auto" w:sz="8" w:space="0"/>
            </w:tcBorders>
            <w:shd w:val="clear" w:color="auto" w:fill="auto"/>
            <w:tcMar>
              <w:left w:w="57" w:type="dxa"/>
              <w:right w:w="57" w:type="dxa"/>
            </w:tcMar>
            <w:vAlign w:val="center"/>
          </w:tcPr>
          <w:p w14:paraId="4FD6DA3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380" w:type="dxa"/>
            <w:tcBorders>
              <w:top w:val="nil"/>
              <w:left w:val="nil"/>
              <w:bottom w:val="single" w:color="auto" w:sz="4" w:space="0"/>
              <w:right w:val="single" w:color="auto" w:sz="8" w:space="0"/>
            </w:tcBorders>
            <w:shd w:val="clear" w:color="auto" w:fill="auto"/>
            <w:tcMar>
              <w:left w:w="57" w:type="dxa"/>
              <w:right w:w="57" w:type="dxa"/>
            </w:tcMar>
            <w:vAlign w:val="center"/>
          </w:tcPr>
          <w:p w14:paraId="1B60683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97" w:type="dxa"/>
            <w:tcBorders>
              <w:top w:val="nil"/>
              <w:left w:val="nil"/>
              <w:bottom w:val="single" w:color="auto" w:sz="4" w:space="0"/>
              <w:right w:val="single" w:color="auto" w:sz="8" w:space="0"/>
            </w:tcBorders>
            <w:shd w:val="clear" w:color="auto" w:fill="auto"/>
            <w:tcMar>
              <w:left w:w="57" w:type="dxa"/>
              <w:right w:w="57" w:type="dxa"/>
            </w:tcMar>
            <w:vAlign w:val="center"/>
          </w:tcPr>
          <w:p w14:paraId="5979E3F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38" w:type="dxa"/>
            <w:tcBorders>
              <w:top w:val="nil"/>
              <w:left w:val="nil"/>
              <w:bottom w:val="single" w:color="auto" w:sz="4" w:space="0"/>
              <w:right w:val="single" w:color="auto" w:sz="8" w:space="0"/>
            </w:tcBorders>
            <w:shd w:val="clear" w:color="auto" w:fill="auto"/>
            <w:tcMar>
              <w:left w:w="57" w:type="dxa"/>
              <w:right w:w="57" w:type="dxa"/>
            </w:tcMar>
            <w:vAlign w:val="center"/>
          </w:tcPr>
          <w:p w14:paraId="67FC891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50" w:type="dxa"/>
            <w:tcBorders>
              <w:top w:val="nil"/>
              <w:left w:val="nil"/>
              <w:bottom w:val="single" w:color="auto" w:sz="4" w:space="0"/>
              <w:right w:val="single" w:color="auto" w:sz="8" w:space="0"/>
            </w:tcBorders>
            <w:shd w:val="clear" w:color="auto" w:fill="auto"/>
            <w:tcMar>
              <w:left w:w="57" w:type="dxa"/>
              <w:right w:w="57" w:type="dxa"/>
            </w:tcMar>
            <w:vAlign w:val="center"/>
          </w:tcPr>
          <w:p w14:paraId="2186601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71" w:type="dxa"/>
            <w:tcBorders>
              <w:top w:val="nil"/>
              <w:left w:val="nil"/>
              <w:bottom w:val="single" w:color="auto" w:sz="4" w:space="0"/>
              <w:right w:val="single" w:color="auto" w:sz="8" w:space="0"/>
            </w:tcBorders>
            <w:shd w:val="clear" w:color="auto" w:fill="auto"/>
            <w:tcMar>
              <w:left w:w="57" w:type="dxa"/>
              <w:right w:w="57" w:type="dxa"/>
            </w:tcMar>
            <w:vAlign w:val="center"/>
          </w:tcPr>
          <w:p w14:paraId="2C11E14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r>
      <w:tr w14:paraId="2E55285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75" w:hRule="atLeast"/>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14:paraId="1D811C29">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9AE7D6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（六）其他处理</w:t>
            </w: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770AB7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1.申请人无正当理由逾期不补正、行政机关不再处理其政府信息公开申请</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6FDA42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5CA2AF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3F2F6F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FCA8C0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E80CC7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459FCC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0A8581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r>
      <w:tr w14:paraId="63038A6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90" w:hRule="atLeast"/>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14:paraId="0C1B1CB1">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7B93BE2">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501ADF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2.申请人逾期未按收费通知要求缴纳费用、行政机关不再处理其政府信息公开申请</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F8F1D2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8FF56E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9FC635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E00731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789140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D31C78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C8637F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r>
      <w:tr w14:paraId="79EBE39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14:paraId="3CEE3F1E">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B3D21AD">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E2676E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3.其他</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A29048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A8868D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7780F5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704084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5583C3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3C1356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87BF03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r>
      <w:tr w14:paraId="66C9565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14:paraId="70034542">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5820" w:type="dxa"/>
            <w:gridSpan w:val="2"/>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191BC4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（七）总计</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5509AD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FC5683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B230E6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6F18FB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596D3A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EDC99D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7E28C5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r>
      <w:tr w14:paraId="69E6AC6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90" w:hRule="atLeast"/>
          <w:jc w:val="center"/>
        </w:trPr>
        <w:tc>
          <w:tcPr>
            <w:tcW w:w="6600" w:type="dxa"/>
            <w:gridSpan w:val="3"/>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119714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四、结转下年度继续办理</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026DB9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2CE33B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38C34D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0524A4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EB6B70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185F61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D50AF7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kern w:val="0"/>
                <w:sz w:val="32"/>
                <w:szCs w:val="32"/>
                <w:lang w:val="en-US" w:eastAsia="zh-CN" w:bidi="ar"/>
              </w:rPr>
              <w:t>0</w:t>
            </w:r>
          </w:p>
        </w:tc>
      </w:tr>
    </w:tbl>
    <w:p w14:paraId="14A16A04">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color w:val="000000" w:themeColor="text1"/>
          <w:sz w:val="32"/>
          <w:szCs w:val="32"/>
          <w:highlight w:val="none"/>
          <w14:textFill>
            <w14:solidFill>
              <w14:schemeClr w14:val="tx1"/>
            </w14:solidFill>
          </w14:textFill>
        </w:rPr>
      </w:pPr>
      <w:r>
        <w:rPr>
          <w:rFonts w:hint="eastAsia" w:ascii="黑体" w:hAnsi="黑体" w:eastAsia="黑体" w:cs="黑体"/>
          <w:b w:val="0"/>
          <w:bCs/>
          <w:color w:val="000000" w:themeColor="text1"/>
          <w:sz w:val="32"/>
          <w:szCs w:val="32"/>
          <w:highlight w:val="none"/>
          <w14:textFill>
            <w14:solidFill>
              <w14:schemeClr w14:val="tx1"/>
            </w14:solidFill>
          </w14:textFill>
        </w:rPr>
        <w:t>政府信息公开行政复议、行政诉讼情况</w:t>
      </w:r>
    </w:p>
    <w:tbl>
      <w:tblPr>
        <w:tblStyle w:val="5"/>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14:paraId="1F2DDF7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274" w:hRule="atLeast"/>
          <w:jc w:val="center"/>
        </w:trPr>
        <w:tc>
          <w:tcPr>
            <w:tcW w:w="3245"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35BC95F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行政复议</w:t>
            </w:r>
          </w:p>
        </w:tc>
        <w:tc>
          <w:tcPr>
            <w:tcW w:w="6503" w:type="dxa"/>
            <w:gridSpan w:val="10"/>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304A2E0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行政诉讼</w:t>
            </w:r>
          </w:p>
        </w:tc>
      </w:tr>
      <w:tr w14:paraId="4905583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39" w:hRule="atLeast"/>
          <w:jc w:val="center"/>
        </w:trPr>
        <w:tc>
          <w:tcPr>
            <w:tcW w:w="649"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738DBCA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结果维持</w:t>
            </w:r>
          </w:p>
        </w:tc>
        <w:tc>
          <w:tcPr>
            <w:tcW w:w="649"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40B7D39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纠正</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019F6A0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其他</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结果</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21F0DAA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尚未</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审结</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5B2B826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总计</w:t>
            </w:r>
          </w:p>
        </w:tc>
        <w:tc>
          <w:tcPr>
            <w:tcW w:w="3248"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4CC5D22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未经复议直接起诉</w:t>
            </w:r>
          </w:p>
        </w:tc>
        <w:tc>
          <w:tcPr>
            <w:tcW w:w="3255"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2DEB67F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复议后起诉</w:t>
            </w:r>
          </w:p>
        </w:tc>
      </w:tr>
      <w:tr w14:paraId="6E3A444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49"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4BC32FA1">
            <w:pPr>
              <w:spacing w:line="240" w:lineRule="auto"/>
              <w:ind w:firstLine="0" w:firstLineChars="0"/>
              <w:rPr>
                <w:rFonts w:hint="eastAsia" w:ascii="楷体_GB2312" w:hAnsi="楷体_GB2312" w:eastAsia="楷体_GB2312" w:cs="楷体_GB2312"/>
                <w:b/>
                <w:bCs/>
                <w:sz w:val="32"/>
                <w:szCs w:val="32"/>
              </w:rPr>
            </w:pPr>
          </w:p>
        </w:tc>
        <w:tc>
          <w:tcPr>
            <w:tcW w:w="649"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2A4B8069">
            <w:pPr>
              <w:spacing w:line="240" w:lineRule="auto"/>
              <w:ind w:firstLine="0" w:firstLineChars="0"/>
              <w:rPr>
                <w:rFonts w:hint="eastAsia" w:ascii="楷体_GB2312" w:hAnsi="楷体_GB2312" w:eastAsia="楷体_GB2312" w:cs="楷体_GB2312"/>
                <w:b/>
                <w:bCs/>
                <w:sz w:val="32"/>
                <w:szCs w:val="32"/>
              </w:rPr>
            </w:pPr>
          </w:p>
        </w:tc>
        <w:tc>
          <w:tcPr>
            <w:tcW w:w="649"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2A395DEF">
            <w:pPr>
              <w:spacing w:line="240" w:lineRule="auto"/>
              <w:ind w:firstLine="0" w:firstLineChars="0"/>
              <w:rPr>
                <w:rFonts w:hint="eastAsia" w:ascii="楷体_GB2312" w:hAnsi="楷体_GB2312" w:eastAsia="楷体_GB2312" w:cs="楷体_GB2312"/>
                <w:b/>
                <w:bCs/>
                <w:sz w:val="32"/>
                <w:szCs w:val="32"/>
              </w:rPr>
            </w:pPr>
          </w:p>
        </w:tc>
        <w:tc>
          <w:tcPr>
            <w:tcW w:w="649"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2420EC18">
            <w:pPr>
              <w:spacing w:line="240" w:lineRule="auto"/>
              <w:ind w:firstLine="0" w:firstLineChars="0"/>
              <w:rPr>
                <w:rFonts w:hint="eastAsia" w:ascii="楷体_GB2312" w:hAnsi="楷体_GB2312" w:eastAsia="楷体_GB2312" w:cs="楷体_GB2312"/>
                <w:b/>
                <w:bCs/>
                <w:sz w:val="32"/>
                <w:szCs w:val="32"/>
              </w:rPr>
            </w:pPr>
          </w:p>
        </w:tc>
        <w:tc>
          <w:tcPr>
            <w:tcW w:w="649"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6BE2498D">
            <w:pPr>
              <w:spacing w:line="240" w:lineRule="auto"/>
              <w:ind w:firstLine="0" w:firstLineChars="0"/>
              <w:rPr>
                <w:rFonts w:hint="eastAsia" w:ascii="楷体_GB2312" w:hAnsi="楷体_GB2312" w:eastAsia="楷体_GB2312" w:cs="楷体_GB2312"/>
                <w:b/>
                <w:bCs/>
                <w:sz w:val="32"/>
                <w:szCs w:val="32"/>
              </w:rPr>
            </w:pP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3BE3209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维持</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22CEF3E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纠正</w:t>
            </w:r>
          </w:p>
        </w:tc>
        <w:tc>
          <w:tcPr>
            <w:tcW w:w="650"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6E7BE44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其他</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结果</w:t>
            </w:r>
          </w:p>
        </w:tc>
        <w:tc>
          <w:tcPr>
            <w:tcW w:w="650"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6BB7DE6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尚未</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审结</w:t>
            </w:r>
          </w:p>
        </w:tc>
        <w:tc>
          <w:tcPr>
            <w:tcW w:w="650"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6AD81BB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总计</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59AB11F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维持</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6C64744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纠正</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2BD39E6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其他</w:t>
            </w:r>
            <w:r>
              <w:rPr>
                <w:rFonts w:hint="eastAsia" w:ascii="楷体_GB2312" w:hAnsi="楷体_GB2312" w:eastAsia="楷体_GB2312" w:cs="楷体_GB2312"/>
                <w:b/>
                <w:bCs/>
                <w:color w:val="000000"/>
                <w:kern w:val="0"/>
                <w:sz w:val="32"/>
                <w:szCs w:val="32"/>
                <w:lang w:val="en-US" w:eastAsia="zh-CN" w:bidi="ar"/>
              </w:rPr>
              <w:br w:type="textWrapping"/>
            </w:r>
            <w:r>
              <w:rPr>
                <w:rFonts w:hint="eastAsia" w:ascii="楷体_GB2312" w:hAnsi="楷体_GB2312" w:eastAsia="楷体_GB2312" w:cs="楷体_GB2312"/>
                <w:b/>
                <w:bCs/>
                <w:color w:val="000000"/>
                <w:kern w:val="0"/>
                <w:sz w:val="32"/>
                <w:szCs w:val="32"/>
                <w:lang w:val="en-US" w:eastAsia="zh-CN" w:bidi="ar"/>
              </w:rPr>
              <w:t>结果</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63B3610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尚未</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审结</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44D3AE3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总计</w:t>
            </w:r>
          </w:p>
        </w:tc>
      </w:tr>
      <w:tr w14:paraId="5624F89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39" w:hRule="atLeast"/>
          <w:jc w:val="center"/>
        </w:trPr>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093FEAD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604A626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15ED22F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6179CB2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2E37D09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7EC91AE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26C6027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650"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7C67B98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650"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5B8693C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650"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10AD98A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77DBEF3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2C72047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7AA5748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3697E6D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4CCBA62A">
            <w:pPr>
              <w:spacing w:line="240" w:lineRule="auto"/>
              <w:ind w:firstLine="0" w:firstLineChars="0"/>
              <w:jc w:val="center"/>
              <w:rPr>
                <w:rFonts w:hint="default"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r>
    </w:tbl>
    <w:p w14:paraId="448C2C2D">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黑体" w:hAnsi="黑体" w:eastAsia="黑体" w:cs="黑体"/>
          <w:color w:val="auto"/>
          <w:sz w:val="32"/>
          <w:szCs w:val="32"/>
          <w:shd w:val="clear" w:fill="FFFFFF"/>
          <w:lang w:eastAsia="zh-CN"/>
        </w:rPr>
      </w:pPr>
    </w:p>
    <w:p w14:paraId="18EC318C">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黑体" w:hAnsi="黑体" w:eastAsia="黑体" w:cs="黑体"/>
          <w:color w:val="auto"/>
          <w:sz w:val="32"/>
          <w:szCs w:val="32"/>
          <w:shd w:val="clear" w:fill="FFFFFF"/>
          <w:lang w:eastAsia="zh-CN"/>
        </w:rPr>
      </w:pPr>
    </w:p>
    <w:p w14:paraId="2390E2CF">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黑体" w:hAnsi="黑体" w:eastAsia="黑体" w:cs="黑体"/>
          <w:color w:val="auto"/>
          <w:sz w:val="32"/>
          <w:szCs w:val="32"/>
          <w:shd w:val="clear" w:fill="FFFFFF"/>
          <w:lang w:eastAsia="zh-CN"/>
        </w:rPr>
      </w:pPr>
      <w:r>
        <w:rPr>
          <w:rFonts w:hint="eastAsia" w:ascii="黑体" w:hAnsi="黑体" w:eastAsia="黑体" w:cs="黑体"/>
          <w:color w:val="auto"/>
          <w:sz w:val="32"/>
          <w:szCs w:val="32"/>
          <w:shd w:val="clear" w:fill="FFFFFF"/>
          <w:lang w:eastAsia="zh-CN"/>
        </w:rPr>
        <w:t>五、存在的主要问题及改进情况</w:t>
      </w:r>
    </w:p>
    <w:p w14:paraId="652DB612">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b w:val="0"/>
          <w:bCs/>
          <w:color w:val="auto"/>
          <w:kern w:val="2"/>
          <w:sz w:val="32"/>
          <w:szCs w:val="32"/>
          <w:highlight w:val="none"/>
          <w:lang w:val="en-US" w:eastAsia="zh-CN" w:bidi="ar-SA"/>
        </w:rPr>
      </w:pPr>
      <w:r>
        <w:rPr>
          <w:rFonts w:hint="eastAsia" w:ascii="仿宋_GB2312" w:hAnsi="仿宋_GB2312" w:eastAsia="仿宋_GB2312" w:cs="仿宋_GB2312"/>
          <w:b w:val="0"/>
          <w:bCs/>
          <w:color w:val="auto"/>
          <w:kern w:val="2"/>
          <w:sz w:val="32"/>
          <w:szCs w:val="32"/>
          <w:highlight w:val="none"/>
          <w:lang w:val="en-US" w:eastAsia="zh-CN" w:bidi="ar-SA"/>
        </w:rPr>
        <w:t>主要问题：近年来，我委积极落实上级政务公开工作有关规定和要求，推动政务公开不断向前发展，但仍存</w:t>
      </w:r>
      <w:r>
        <w:rPr>
          <w:rFonts w:hint="eastAsia" w:ascii="仿宋_GB2312" w:hAnsi="仿宋_GB2312" w:cs="仿宋_GB2312"/>
          <w:b w:val="0"/>
          <w:bCs/>
          <w:color w:val="auto"/>
          <w:kern w:val="2"/>
          <w:sz w:val="32"/>
          <w:szCs w:val="32"/>
          <w:highlight w:val="none"/>
          <w:lang w:val="en-US" w:eastAsia="zh-CN" w:bidi="ar-SA"/>
        </w:rPr>
        <w:t>在</w:t>
      </w:r>
      <w:r>
        <w:rPr>
          <w:rFonts w:hint="eastAsia" w:ascii="仿宋_GB2312" w:hAnsi="仿宋_GB2312" w:eastAsia="仿宋_GB2312" w:cs="仿宋_GB2312"/>
          <w:b w:val="0"/>
          <w:bCs/>
          <w:color w:val="auto"/>
          <w:kern w:val="2"/>
          <w:sz w:val="32"/>
          <w:szCs w:val="32"/>
          <w:highlight w:val="none"/>
          <w:lang w:val="en-US" w:eastAsia="zh-CN" w:bidi="ar-SA"/>
        </w:rPr>
        <w:t>一些问题，一是主动公开的内容不够全面、方式还不够多样，与广大群众的美好需求还有一定差距；二是忙于日常业务和改革创新攻坚工作，政务公开的意识有所淡化；三是个别股室报送信息还够不及时，信息更新时效性有待提高。</w:t>
      </w:r>
    </w:p>
    <w:p w14:paraId="6A44438A">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b w:val="0"/>
          <w:bCs/>
          <w:color w:val="auto"/>
          <w:kern w:val="2"/>
          <w:sz w:val="32"/>
          <w:szCs w:val="32"/>
          <w:highlight w:val="none"/>
          <w:lang w:val="en-US" w:eastAsia="zh-CN" w:bidi="ar-SA"/>
        </w:rPr>
      </w:pPr>
      <w:r>
        <w:rPr>
          <w:rFonts w:hint="eastAsia" w:ascii="仿宋_GB2312" w:hAnsi="仿宋_GB2312" w:eastAsia="仿宋_GB2312" w:cs="仿宋_GB2312"/>
          <w:b w:val="0"/>
          <w:bCs/>
          <w:color w:val="auto"/>
          <w:kern w:val="2"/>
          <w:sz w:val="32"/>
          <w:szCs w:val="32"/>
          <w:highlight w:val="none"/>
          <w:lang w:val="en-US" w:eastAsia="zh-CN" w:bidi="ar-SA"/>
        </w:rPr>
        <w:t>改进措施：2024年，我委将针对政务公开的短板弱项拿出务实举措，加大改进力度</w:t>
      </w:r>
      <w:r>
        <w:rPr>
          <w:rFonts w:hint="eastAsia" w:ascii="仿宋_GB2312" w:hAnsi="仿宋_GB2312" w:cs="仿宋_GB2312"/>
          <w:b w:val="0"/>
          <w:bCs/>
          <w:color w:val="auto"/>
          <w:kern w:val="2"/>
          <w:sz w:val="32"/>
          <w:szCs w:val="32"/>
          <w:highlight w:val="none"/>
          <w:lang w:val="en-US" w:eastAsia="zh-CN" w:bidi="ar-SA"/>
        </w:rPr>
        <w:t>。</w:t>
      </w:r>
      <w:r>
        <w:rPr>
          <w:rFonts w:hint="eastAsia" w:ascii="仿宋_GB2312" w:hAnsi="仿宋_GB2312" w:eastAsia="仿宋_GB2312" w:cs="仿宋_GB2312"/>
          <w:b w:val="0"/>
          <w:bCs/>
          <w:color w:val="auto"/>
          <w:kern w:val="2"/>
          <w:sz w:val="32"/>
          <w:szCs w:val="32"/>
          <w:highlight w:val="none"/>
          <w:lang w:val="en-US" w:eastAsia="zh-CN" w:bidi="ar-SA"/>
        </w:rPr>
        <w:t>一是立足于服务群众、接受群众监督，结合我委职能和实际，拓宽宣传渠道、扩大公开内容，深化群众对政务服务的了解；二是压实责任，严格按照我委政务公开分工协作机制，落实到每个股室、每个人，着力提高信息公开质量</w:t>
      </w:r>
      <w:r>
        <w:rPr>
          <w:rFonts w:hint="eastAsia" w:ascii="仿宋_GB2312" w:hAnsi="仿宋_GB2312" w:cs="仿宋_GB2312"/>
          <w:b w:val="0"/>
          <w:bCs/>
          <w:color w:val="auto"/>
          <w:kern w:val="2"/>
          <w:sz w:val="32"/>
          <w:szCs w:val="32"/>
          <w:highlight w:val="none"/>
          <w:lang w:val="en-US" w:eastAsia="zh-CN" w:bidi="ar-SA"/>
        </w:rPr>
        <w:t>；</w:t>
      </w:r>
      <w:r>
        <w:rPr>
          <w:rFonts w:hint="eastAsia" w:ascii="仿宋_GB2312" w:hAnsi="仿宋_GB2312" w:eastAsia="仿宋_GB2312" w:cs="仿宋_GB2312"/>
          <w:b w:val="0"/>
          <w:bCs/>
          <w:color w:val="auto"/>
          <w:kern w:val="2"/>
          <w:sz w:val="32"/>
          <w:szCs w:val="32"/>
          <w:highlight w:val="none"/>
          <w:lang w:val="en-US" w:eastAsia="zh-CN" w:bidi="ar-SA"/>
        </w:rPr>
        <w:t>三是加大创新力度，不定期开展政务公开专题学习，强化公开意识，注重总结推广新做法、新经验，不断提高政务公开内容的丰富性、形式的多样性，让更多群众能接受</w:t>
      </w:r>
      <w:r>
        <w:rPr>
          <w:rFonts w:hint="eastAsia" w:ascii="仿宋_GB2312" w:hAnsi="仿宋_GB2312" w:cs="仿宋_GB2312"/>
          <w:b w:val="0"/>
          <w:bCs/>
          <w:color w:val="auto"/>
          <w:kern w:val="2"/>
          <w:sz w:val="32"/>
          <w:szCs w:val="32"/>
          <w:highlight w:val="none"/>
          <w:lang w:val="en-US" w:eastAsia="zh-CN" w:bidi="ar-SA"/>
        </w:rPr>
        <w:t>、</w:t>
      </w:r>
      <w:r>
        <w:rPr>
          <w:rFonts w:hint="eastAsia" w:ascii="仿宋_GB2312" w:hAnsi="仿宋_GB2312" w:eastAsia="仿宋_GB2312" w:cs="仿宋_GB2312"/>
          <w:b w:val="0"/>
          <w:bCs/>
          <w:color w:val="auto"/>
          <w:kern w:val="2"/>
          <w:sz w:val="32"/>
          <w:szCs w:val="32"/>
          <w:highlight w:val="none"/>
          <w:lang w:val="en-US" w:eastAsia="zh-CN" w:bidi="ar-SA"/>
        </w:rPr>
        <w:t>能理解。</w:t>
      </w:r>
    </w:p>
    <w:p w14:paraId="2FCD38EB">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黑体" w:hAnsi="黑体" w:eastAsia="黑体" w:cs="黑体"/>
          <w:color w:val="auto"/>
          <w:sz w:val="32"/>
          <w:szCs w:val="32"/>
          <w:shd w:val="clear" w:fill="FFFFFF"/>
          <w:lang w:eastAsia="zh-CN"/>
        </w:rPr>
      </w:pPr>
      <w:r>
        <w:rPr>
          <w:rFonts w:hint="eastAsia" w:ascii="黑体" w:hAnsi="黑体" w:eastAsia="黑体" w:cs="黑体"/>
          <w:color w:val="auto"/>
          <w:sz w:val="32"/>
          <w:szCs w:val="32"/>
          <w:shd w:val="clear" w:fill="FFFFFF"/>
          <w:lang w:eastAsia="zh-CN"/>
        </w:rPr>
        <w:t>六、其他需要报告的事项</w:t>
      </w:r>
    </w:p>
    <w:p w14:paraId="05B5A004">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b w:val="0"/>
          <w:bCs/>
          <w:color w:val="auto"/>
          <w:kern w:val="2"/>
          <w:sz w:val="32"/>
          <w:szCs w:val="32"/>
          <w:highlight w:val="none"/>
          <w:lang w:val="en-US" w:eastAsia="zh-CN" w:bidi="ar-SA"/>
        </w:rPr>
      </w:pPr>
      <w:r>
        <w:rPr>
          <w:rFonts w:hint="eastAsia" w:ascii="仿宋_GB2312" w:hAnsi="仿宋_GB2312" w:eastAsia="仿宋_GB2312" w:cs="仿宋_GB2312"/>
          <w:b w:val="0"/>
          <w:bCs/>
          <w:color w:val="auto"/>
          <w:kern w:val="2"/>
          <w:sz w:val="32"/>
          <w:szCs w:val="32"/>
          <w:highlight w:val="none"/>
          <w:lang w:val="en-US" w:eastAsia="zh-CN" w:bidi="ar-SA"/>
        </w:rPr>
        <w:t>我委2023年未收取任何信息处理费，也没有其他需要报告的事项。</w:t>
      </w:r>
    </w:p>
    <w:p w14:paraId="5CC74804">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b w:val="0"/>
          <w:bCs/>
          <w:color w:val="auto"/>
          <w:kern w:val="2"/>
          <w:sz w:val="32"/>
          <w:szCs w:val="32"/>
          <w:highlight w:val="none"/>
          <w:lang w:val="en-US" w:eastAsia="zh-CN" w:bidi="ar-SA"/>
        </w:rPr>
      </w:pPr>
    </w:p>
    <w:p w14:paraId="67517301">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color w:val="auto"/>
          <w:sz w:val="32"/>
          <w:szCs w:val="32"/>
          <w:highlight w:val="none"/>
          <w:shd w:val="clear" w:fill="FFFFFF"/>
          <w:lang w:val="en-US" w:eastAsia="zh-CN"/>
        </w:rPr>
      </w:pPr>
      <w:r>
        <w:rPr>
          <w:rFonts w:hint="eastAsia" w:ascii="仿宋_GB2312" w:hAnsi="仿宋_GB2312" w:eastAsia="仿宋_GB2312" w:cs="仿宋_GB2312"/>
          <w:color w:val="auto"/>
          <w:sz w:val="32"/>
          <w:szCs w:val="32"/>
          <w:shd w:val="clear" w:fill="FFFFFF"/>
          <w:lang w:val="en-US" w:eastAsia="zh-CN"/>
        </w:rPr>
        <w:t xml:space="preserve">                    </w:t>
      </w:r>
      <w:r>
        <w:rPr>
          <w:rFonts w:hint="eastAsia" w:ascii="仿宋_GB2312" w:hAnsi="仿宋_GB2312" w:eastAsia="仿宋_GB2312" w:cs="仿宋_GB2312"/>
          <w:color w:val="auto"/>
          <w:sz w:val="32"/>
          <w:szCs w:val="32"/>
          <w:highlight w:val="none"/>
          <w:shd w:val="clear" w:fill="FFFFFF"/>
          <w:lang w:val="en-US" w:eastAsia="zh-CN"/>
        </w:rPr>
        <w:t>高安市行政服务中心管委会</w:t>
      </w:r>
    </w:p>
    <w:p w14:paraId="486D40ED">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right="0" w:firstLine="420"/>
        <w:jc w:val="both"/>
        <w:textAlignment w:val="auto"/>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color w:val="auto"/>
          <w:sz w:val="32"/>
          <w:szCs w:val="32"/>
          <w:highlight w:val="none"/>
          <w:shd w:val="clear" w:fill="FFFFFF"/>
          <w:lang w:val="en-US" w:eastAsia="zh-CN"/>
        </w:rPr>
        <w:t xml:space="preserve">                     </w:t>
      </w:r>
      <w:r>
        <w:rPr>
          <w:rFonts w:hint="eastAsia" w:ascii="仿宋_GB2312" w:hAnsi="仿宋_GB2312" w:cs="仿宋_GB2312"/>
          <w:color w:val="auto"/>
          <w:sz w:val="32"/>
          <w:szCs w:val="32"/>
          <w:highlight w:val="none"/>
          <w:shd w:val="clear" w:fill="FFFFFF"/>
          <w:lang w:val="en-US" w:eastAsia="zh-CN"/>
        </w:rPr>
        <w:t xml:space="preserve"> </w:t>
      </w:r>
      <w:r>
        <w:rPr>
          <w:rFonts w:hint="eastAsia" w:ascii="仿宋_GB2312" w:hAnsi="仿宋_GB2312" w:eastAsia="仿宋_GB2312" w:cs="仿宋_GB2312"/>
          <w:color w:val="auto"/>
          <w:sz w:val="32"/>
          <w:szCs w:val="32"/>
          <w:highlight w:val="none"/>
          <w:shd w:val="clear" w:fill="FFFFFF"/>
          <w:lang w:val="en-US" w:eastAsia="zh-CN"/>
        </w:rPr>
        <w:t xml:space="preserve"> </w:t>
      </w:r>
      <w:r>
        <w:rPr>
          <w:rFonts w:hint="eastAsia" w:ascii="仿宋_GB2312" w:hAnsi="仿宋_GB2312" w:cs="仿宋_GB2312"/>
          <w:color w:val="auto"/>
          <w:sz w:val="32"/>
          <w:szCs w:val="32"/>
          <w:highlight w:val="none"/>
          <w:shd w:val="clear" w:fill="FFFFFF"/>
          <w:lang w:val="en-US" w:eastAsia="zh-CN"/>
        </w:rPr>
        <w:t xml:space="preserve"> </w:t>
      </w:r>
      <w:r>
        <w:rPr>
          <w:rFonts w:hint="eastAsia" w:ascii="仿宋_GB2312" w:hAnsi="仿宋_GB2312" w:eastAsia="仿宋_GB2312" w:cs="仿宋_GB2312"/>
          <w:color w:val="auto"/>
          <w:sz w:val="32"/>
          <w:szCs w:val="32"/>
          <w:highlight w:val="none"/>
          <w:shd w:val="clear" w:fill="FFFFFF"/>
          <w:lang w:val="en-US" w:eastAsia="zh-CN"/>
        </w:rPr>
        <w:t>202</w:t>
      </w:r>
      <w:r>
        <w:rPr>
          <w:rFonts w:hint="eastAsia" w:ascii="仿宋_GB2312" w:hAnsi="仿宋_GB2312" w:cs="仿宋_GB2312"/>
          <w:color w:val="auto"/>
          <w:sz w:val="32"/>
          <w:szCs w:val="32"/>
          <w:highlight w:val="none"/>
          <w:shd w:val="clear" w:fill="FFFFFF"/>
          <w:lang w:val="en-US" w:eastAsia="zh-CN"/>
        </w:rPr>
        <w:t>4</w:t>
      </w:r>
      <w:r>
        <w:rPr>
          <w:rFonts w:hint="eastAsia" w:ascii="仿宋_GB2312" w:hAnsi="仿宋_GB2312" w:eastAsia="仿宋_GB2312" w:cs="仿宋_GB2312"/>
          <w:color w:val="auto"/>
          <w:sz w:val="32"/>
          <w:szCs w:val="32"/>
          <w:highlight w:val="none"/>
          <w:shd w:val="clear" w:fill="FFFFFF"/>
          <w:lang w:val="en-US" w:eastAsia="zh-CN"/>
        </w:rPr>
        <w:t>年1月</w:t>
      </w:r>
      <w:r>
        <w:rPr>
          <w:rFonts w:hint="eastAsia" w:ascii="仿宋_GB2312" w:hAnsi="仿宋_GB2312" w:cs="仿宋_GB2312"/>
          <w:color w:val="auto"/>
          <w:sz w:val="32"/>
          <w:szCs w:val="32"/>
          <w:highlight w:val="none"/>
          <w:shd w:val="clear" w:fill="FFFFFF"/>
          <w:lang w:val="en-US" w:eastAsia="zh-CN"/>
        </w:rPr>
        <w:t>11</w:t>
      </w:r>
      <w:r>
        <w:rPr>
          <w:rFonts w:hint="eastAsia" w:ascii="仿宋_GB2312" w:hAnsi="仿宋_GB2312" w:eastAsia="仿宋_GB2312" w:cs="仿宋_GB2312"/>
          <w:color w:val="auto"/>
          <w:sz w:val="32"/>
          <w:szCs w:val="32"/>
          <w:highlight w:val="none"/>
          <w:shd w:val="clear" w:fill="FFFFFF"/>
          <w:lang w:val="en-US" w:eastAsia="zh-CN"/>
        </w:rPr>
        <w:t>日</w:t>
      </w: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monospace">
    <w:altName w:val="Segoe Print"/>
    <w:panose1 w:val="00000000000000000000"/>
    <w:charset w:val="00"/>
    <w:family w:val="auto"/>
    <w:pitch w:val="default"/>
    <w:sig w:usb0="00000000" w:usb1="00000000" w:usb2="00000000" w:usb3="00000000" w:csb0="0000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B554645"/>
    <w:multiLevelType w:val="singleLevel"/>
    <w:tmpl w:val="8B554645"/>
    <w:lvl w:ilvl="0" w:tentative="0">
      <w:start w:val="2"/>
      <w:numFmt w:val="chineseCounting"/>
      <w:suff w:val="nothing"/>
      <w:lvlText w:val="（%1）"/>
      <w:lvlJc w:val="left"/>
      <w:rPr>
        <w:rFonts w:hint="eastAsia"/>
      </w:rPr>
    </w:lvl>
  </w:abstractNum>
  <w:abstractNum w:abstractNumId="1">
    <w:nsid w:val="FD0EB45A"/>
    <w:multiLevelType w:val="singleLevel"/>
    <w:tmpl w:val="FD0EB45A"/>
    <w:lvl w:ilvl="0" w:tentative="0">
      <w:start w:val="4"/>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Q2ODZkY2RkYWVmMDcwNzAwMzE5ZjFiOWNhZjkxNzUifQ=="/>
  </w:docVars>
  <w:rsids>
    <w:rsidRoot w:val="1D797C00"/>
    <w:rsid w:val="012D0479"/>
    <w:rsid w:val="020350F4"/>
    <w:rsid w:val="03752D1B"/>
    <w:rsid w:val="040715B1"/>
    <w:rsid w:val="05976809"/>
    <w:rsid w:val="084C69F1"/>
    <w:rsid w:val="08C06BDC"/>
    <w:rsid w:val="0A8D0153"/>
    <w:rsid w:val="0BF91683"/>
    <w:rsid w:val="0C0D2575"/>
    <w:rsid w:val="0D374B59"/>
    <w:rsid w:val="0FE95EB3"/>
    <w:rsid w:val="118A1825"/>
    <w:rsid w:val="11B30526"/>
    <w:rsid w:val="11E15093"/>
    <w:rsid w:val="12244F80"/>
    <w:rsid w:val="128A690E"/>
    <w:rsid w:val="19A96B9D"/>
    <w:rsid w:val="1A18186E"/>
    <w:rsid w:val="1BCC1302"/>
    <w:rsid w:val="1C2257C1"/>
    <w:rsid w:val="1CB2592C"/>
    <w:rsid w:val="1D797C00"/>
    <w:rsid w:val="1DC67833"/>
    <w:rsid w:val="1E2D1660"/>
    <w:rsid w:val="21182154"/>
    <w:rsid w:val="22C00CF5"/>
    <w:rsid w:val="23B75C54"/>
    <w:rsid w:val="23C6058D"/>
    <w:rsid w:val="24D17130"/>
    <w:rsid w:val="2530507E"/>
    <w:rsid w:val="25E5790C"/>
    <w:rsid w:val="26A56376"/>
    <w:rsid w:val="26EE37E2"/>
    <w:rsid w:val="27767BD4"/>
    <w:rsid w:val="296F6FD1"/>
    <w:rsid w:val="2A094D30"/>
    <w:rsid w:val="2B204A27"/>
    <w:rsid w:val="2BBD43D2"/>
    <w:rsid w:val="30F10937"/>
    <w:rsid w:val="327D275F"/>
    <w:rsid w:val="362116BB"/>
    <w:rsid w:val="374B4BD9"/>
    <w:rsid w:val="3A1B019E"/>
    <w:rsid w:val="3AB467C6"/>
    <w:rsid w:val="3E3D6EFA"/>
    <w:rsid w:val="3F903FA0"/>
    <w:rsid w:val="40824EDC"/>
    <w:rsid w:val="4248191D"/>
    <w:rsid w:val="42F205FF"/>
    <w:rsid w:val="42FA41C0"/>
    <w:rsid w:val="443866F2"/>
    <w:rsid w:val="478D4573"/>
    <w:rsid w:val="4B1864C7"/>
    <w:rsid w:val="519E11A0"/>
    <w:rsid w:val="51A74CAA"/>
    <w:rsid w:val="535F6294"/>
    <w:rsid w:val="53856A26"/>
    <w:rsid w:val="55757E11"/>
    <w:rsid w:val="5C66006D"/>
    <w:rsid w:val="5D3728DB"/>
    <w:rsid w:val="5F334654"/>
    <w:rsid w:val="5FC37153"/>
    <w:rsid w:val="614442C4"/>
    <w:rsid w:val="62D2496B"/>
    <w:rsid w:val="64C566C3"/>
    <w:rsid w:val="6879569D"/>
    <w:rsid w:val="69886D18"/>
    <w:rsid w:val="69B82132"/>
    <w:rsid w:val="6B8F25DF"/>
    <w:rsid w:val="6CB56076"/>
    <w:rsid w:val="6F3E2352"/>
    <w:rsid w:val="70943D4B"/>
    <w:rsid w:val="71873658"/>
    <w:rsid w:val="71CB54AB"/>
    <w:rsid w:val="72F13724"/>
    <w:rsid w:val="73FF7401"/>
    <w:rsid w:val="740F5D00"/>
    <w:rsid w:val="74CB2EA4"/>
    <w:rsid w:val="75AF5D58"/>
    <w:rsid w:val="7B430CF1"/>
    <w:rsid w:val="7D8C697F"/>
    <w:rsid w:val="7DD10836"/>
    <w:rsid w:val="7E611239"/>
    <w:rsid w:val="7F767D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spacing w:line="600" w:lineRule="exact"/>
      <w:ind w:firstLine="200" w:firstLineChars="200"/>
      <w:jc w:val="both"/>
    </w:pPr>
    <w:rPr>
      <w:rFonts w:ascii="Times New Roman" w:hAnsi="Times New Roman" w:eastAsia="仿宋_GB2312" w:cs="Times New Roman"/>
      <w:kern w:val="2"/>
      <w:sz w:val="32"/>
      <w:szCs w:val="32"/>
      <w:lang w:val="en-US" w:eastAsia="zh-CN" w:bidi="ar-SA"/>
    </w:rPr>
  </w:style>
  <w:style w:type="paragraph" w:styleId="2">
    <w:name w:val="heading 3"/>
    <w:basedOn w:val="1"/>
    <w:next w:val="1"/>
    <w:autoRedefine/>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0"/>
    <w:pPr>
      <w:spacing w:after="120" w:line="560" w:lineRule="exact"/>
    </w:pPr>
  </w:style>
  <w:style w:type="paragraph" w:styleId="4">
    <w:name w:val="Normal (Web)"/>
    <w:qFormat/>
    <w:uiPriority w:val="0"/>
    <w:pPr>
      <w:widowControl w:val="0"/>
      <w:spacing w:before="0" w:beforeAutospacing="1" w:after="0" w:afterAutospacing="1" w:line="600" w:lineRule="exact"/>
      <w:ind w:left="0" w:right="0" w:firstLine="200" w:firstLineChars="200"/>
      <w:jc w:val="left"/>
    </w:pPr>
    <w:rPr>
      <w:rFonts w:ascii="Times New Roman" w:hAnsi="Times New Roman" w:eastAsia="仿宋_GB2312" w:cs="Times New Roman"/>
      <w:kern w:val="0"/>
      <w:sz w:val="24"/>
      <w:szCs w:val="32"/>
      <w:lang w:val="en-US" w:eastAsia="zh-CN" w:bidi="ar"/>
    </w:rPr>
  </w:style>
  <w:style w:type="character" w:styleId="7">
    <w:name w:val="FollowedHyperlink"/>
    <w:basedOn w:val="6"/>
    <w:qFormat/>
    <w:uiPriority w:val="0"/>
    <w:rPr>
      <w:color w:val="800080"/>
      <w:u w:val="none"/>
    </w:rPr>
  </w:style>
  <w:style w:type="character" w:styleId="8">
    <w:name w:val="HTML Definition"/>
    <w:basedOn w:val="6"/>
    <w:qFormat/>
    <w:uiPriority w:val="0"/>
  </w:style>
  <w:style w:type="character" w:styleId="9">
    <w:name w:val="HTML Typewriter"/>
    <w:basedOn w:val="6"/>
    <w:qFormat/>
    <w:uiPriority w:val="0"/>
    <w:rPr>
      <w:rFonts w:hint="default" w:ascii="monospace" w:hAnsi="monospace" w:eastAsia="monospace" w:cs="monospace"/>
      <w:sz w:val="20"/>
    </w:rPr>
  </w:style>
  <w:style w:type="character" w:styleId="10">
    <w:name w:val="HTML Acronym"/>
    <w:basedOn w:val="6"/>
    <w:qFormat/>
    <w:uiPriority w:val="0"/>
  </w:style>
  <w:style w:type="character" w:styleId="11">
    <w:name w:val="HTML Variable"/>
    <w:basedOn w:val="6"/>
    <w:qFormat/>
    <w:uiPriority w:val="0"/>
  </w:style>
  <w:style w:type="character" w:styleId="12">
    <w:name w:val="Hyperlink"/>
    <w:basedOn w:val="6"/>
    <w:qFormat/>
    <w:uiPriority w:val="0"/>
    <w:rPr>
      <w:color w:val="0000FF"/>
      <w:u w:val="none"/>
    </w:rPr>
  </w:style>
  <w:style w:type="character" w:styleId="13">
    <w:name w:val="HTML Code"/>
    <w:basedOn w:val="6"/>
    <w:qFormat/>
    <w:uiPriority w:val="0"/>
    <w:rPr>
      <w:rFonts w:hint="default" w:ascii="monospace" w:hAnsi="monospace" w:eastAsia="monospace" w:cs="monospace"/>
      <w:sz w:val="20"/>
    </w:rPr>
  </w:style>
  <w:style w:type="character" w:styleId="14">
    <w:name w:val="HTML Cite"/>
    <w:basedOn w:val="6"/>
    <w:qFormat/>
    <w:uiPriority w:val="0"/>
  </w:style>
  <w:style w:type="character" w:styleId="15">
    <w:name w:val="HTML Keyboard"/>
    <w:basedOn w:val="6"/>
    <w:qFormat/>
    <w:uiPriority w:val="0"/>
    <w:rPr>
      <w:rFonts w:ascii="monospace" w:hAnsi="monospace" w:eastAsia="monospace" w:cs="monospace"/>
      <w:sz w:val="20"/>
    </w:rPr>
  </w:style>
  <w:style w:type="character" w:styleId="16">
    <w:name w:val="HTML Sample"/>
    <w:basedOn w:val="6"/>
    <w:qFormat/>
    <w:uiPriority w:val="0"/>
    <w:rPr>
      <w:rFonts w:hint="default" w:ascii="monospace" w:hAnsi="monospace" w:eastAsia="monospace" w:cs="monospac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2740</Words>
  <Characters>2844</Characters>
  <Lines>0</Lines>
  <Paragraphs>0</Paragraphs>
  <TotalTime>66</TotalTime>
  <ScaleCrop>false</ScaleCrop>
  <LinksUpToDate>false</LinksUpToDate>
  <CharactersWithSpaces>2892</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2021-01-25T02:45:00Z</dcterms:created>
  <dc:creator>多多不是狗</dc:creator>
  <cp:lastModifiedBy>HD</cp:lastModifiedBy>
  <cp:lastPrinted>2024-01-11T08:44:00Z</cp:lastPrinted>
  <dcterms:modified xsi:type="dcterms:W3CDTF">2024-08-14T07:08:03Z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E971DC83F168495B8A0AACBA3D9D281A_13</vt:lpwstr>
  </property>
</Properties>
</file>