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8FC1A2">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right="0"/>
        <w:jc w:val="center"/>
        <w:textAlignment w:val="auto"/>
        <w:rPr>
          <w:rFonts w:hint="eastAsia" w:ascii="方正小标宋简体" w:hAnsi="方正小标宋简体" w:eastAsia="方正小标宋简体" w:cs="方正小标宋简体"/>
          <w:b/>
          <w:bCs/>
          <w:kern w:val="0"/>
          <w:sz w:val="44"/>
          <w:szCs w:val="44"/>
          <w:lang w:val="en-US" w:eastAsia="zh-CN" w:bidi="ar"/>
        </w:rPr>
      </w:pPr>
      <w:r>
        <w:rPr>
          <w:rFonts w:hint="eastAsia" w:ascii="方正小标宋简体" w:hAnsi="方正小标宋简体" w:eastAsia="方正小标宋简体" w:cs="方正小标宋简体"/>
          <w:b/>
          <w:bCs/>
          <w:kern w:val="0"/>
          <w:sz w:val="44"/>
          <w:szCs w:val="44"/>
          <w:lang w:val="en-US" w:eastAsia="zh-CN" w:bidi="ar"/>
        </w:rPr>
        <w:t>高安市建山镇人民政府2025年政府信息公开工作年度报告</w:t>
      </w:r>
    </w:p>
    <w:p w14:paraId="215D77DE">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right="0"/>
        <w:jc w:val="both"/>
        <w:textAlignment w:val="auto"/>
        <w:rPr>
          <w:rFonts w:hint="eastAsia" w:ascii="方正仿宋_GB2312" w:hAnsi="方正仿宋_GB2312" w:eastAsia="方正仿宋_GB2312" w:cs="方正仿宋_GB2312"/>
          <w:b/>
          <w:bCs/>
          <w:kern w:val="0"/>
          <w:sz w:val="32"/>
          <w:szCs w:val="32"/>
          <w:lang w:val="en-US" w:eastAsia="zh-CN" w:bidi="ar"/>
        </w:rPr>
      </w:pPr>
    </w:p>
    <w:p w14:paraId="39F5EB5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一、总体情况</w:t>
      </w:r>
    </w:p>
    <w:p w14:paraId="5E6AFBC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2025年，建山镇坚持以习近平新时代中国特色社会主义思想为指导，全面贯彻党的二十大和二十届历次全会精神，严格遵循《中华人民共和国政府信息公开条例》和《国务院办公厅政府信息与政务公开办公室关于政府信息公开年度报告有关事项的通知》，认真落实上级关于政务公开工作重点任务要求，准确把握政府信息公开工作的职责定位和面临的形势要求，充分发挥政府信息对人民群众生产生活和经济社会活动的服务作用，坚持及时、准确、规范公开政府信息，切实保障人民群众依法获取政府信息。现将本年度工作情况报告如下：</w:t>
      </w:r>
    </w:p>
    <w:p w14:paraId="19E75ED1">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方正楷体_GB2312" w:hAnsi="方正楷体_GB2312" w:eastAsia="方正楷体_GB2312" w:cs="方正楷体_GB2312"/>
          <w:b/>
          <w:bCs/>
          <w:kern w:val="0"/>
          <w:sz w:val="32"/>
          <w:szCs w:val="32"/>
          <w:lang w:val="en-US" w:eastAsia="zh-CN" w:bidi="ar"/>
        </w:rPr>
      </w:pPr>
      <w:r>
        <w:rPr>
          <w:rFonts w:hint="eastAsia" w:ascii="方正楷体_GB2312" w:hAnsi="方正楷体_GB2312" w:eastAsia="方正楷体_GB2312" w:cs="方正楷体_GB2312"/>
          <w:b/>
          <w:bCs/>
          <w:kern w:val="0"/>
          <w:sz w:val="32"/>
          <w:szCs w:val="32"/>
          <w:lang w:val="en-US" w:eastAsia="zh-CN" w:bidi="ar"/>
        </w:rPr>
        <w:t>主动公开</w:t>
      </w:r>
    </w:p>
    <w:p w14:paraId="635435FE">
      <w:pPr>
        <w:keepNext w:val="0"/>
        <w:keepLines w:val="0"/>
        <w:pageBreakBefore w:val="0"/>
        <w:widowControl/>
        <w:numPr>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紧紧围绕镇域中心工作、重点攻坚领域以及群众普遍关注的民生热点问题，借助政府网站相关栏目，规范内容，创新形式，突出重点，坚持“应公开尽公开”原则，按时公开财政预算、决算信息，政策文件、规划计划、办事服务、权责清单等事项，取得了较好进展，全年累计向社会公众推送各类有价值信息1023条。</w:t>
      </w:r>
    </w:p>
    <w:p w14:paraId="7AD9260B">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方正楷体_GB2312" w:hAnsi="方正楷体_GB2312" w:eastAsia="方正楷体_GB2312" w:cs="方正楷体_GB2312"/>
          <w:b/>
          <w:bCs/>
          <w:kern w:val="0"/>
          <w:sz w:val="32"/>
          <w:szCs w:val="32"/>
          <w:lang w:val="en-US" w:eastAsia="zh-CN" w:bidi="ar"/>
        </w:rPr>
      </w:pPr>
      <w:r>
        <w:rPr>
          <w:rFonts w:hint="eastAsia" w:ascii="方正楷体_GB2312" w:hAnsi="方正楷体_GB2312" w:eastAsia="方正楷体_GB2312" w:cs="方正楷体_GB2312"/>
          <w:b/>
          <w:bCs/>
          <w:kern w:val="0"/>
          <w:sz w:val="32"/>
          <w:szCs w:val="32"/>
          <w:lang w:val="en-US" w:eastAsia="zh-CN" w:bidi="ar"/>
        </w:rPr>
        <w:t>依申请公开</w:t>
      </w:r>
    </w:p>
    <w:p w14:paraId="541F7578">
      <w:pPr>
        <w:keepNext w:val="0"/>
        <w:keepLines w:val="0"/>
        <w:pageBreakBefore w:val="0"/>
        <w:widowControl/>
        <w:numPr>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2025年，我镇共收到政府信息公开申请0件。没有不予公开的政府信息情况。</w:t>
      </w:r>
    </w:p>
    <w:p w14:paraId="07DD8EF8">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方正楷体_GB2312" w:hAnsi="方正楷体_GB2312" w:eastAsia="方正楷体_GB2312" w:cs="方正楷体_GB2312"/>
          <w:b/>
          <w:bCs/>
          <w:kern w:val="0"/>
          <w:sz w:val="32"/>
          <w:szCs w:val="32"/>
          <w:lang w:val="en-US" w:eastAsia="zh-CN" w:bidi="ar"/>
        </w:rPr>
      </w:pPr>
      <w:r>
        <w:rPr>
          <w:rFonts w:hint="eastAsia" w:ascii="方正楷体_GB2312" w:hAnsi="方正楷体_GB2312" w:eastAsia="方正楷体_GB2312" w:cs="方正楷体_GB2312"/>
          <w:b/>
          <w:bCs/>
          <w:kern w:val="0"/>
          <w:sz w:val="32"/>
          <w:szCs w:val="32"/>
          <w:lang w:val="en-US" w:eastAsia="zh-CN" w:bidi="ar"/>
        </w:rPr>
        <w:t>政府信息管理</w:t>
      </w:r>
    </w:p>
    <w:p w14:paraId="436E3CB2">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方正仿宋_GB2312" w:hAnsi="方正仿宋_GB2312" w:eastAsia="方正仿宋_GB2312" w:cs="方正仿宋_GB2312"/>
          <w:kern w:val="0"/>
          <w:sz w:val="32"/>
          <w:szCs w:val="32"/>
          <w:lang w:val="en-US" w:eastAsia="zh-CN" w:bidi="ar"/>
        </w:rPr>
      </w:pPr>
      <w:r>
        <w:rPr>
          <w:rFonts w:hint="default" w:ascii="方正仿宋_GB2312" w:hAnsi="方正仿宋_GB2312" w:eastAsia="方正仿宋_GB2312" w:cs="方正仿宋_GB2312"/>
          <w:kern w:val="0"/>
          <w:sz w:val="32"/>
          <w:szCs w:val="32"/>
          <w:lang w:val="en-US" w:eastAsia="zh-CN" w:bidi="ar"/>
        </w:rPr>
        <w:t>一是保障工作落实。为进一步做好政府信息公开工作，我镇严格按照</w:t>
      </w:r>
      <w:r>
        <w:rPr>
          <w:rFonts w:hint="eastAsia" w:ascii="方正仿宋_GB2312" w:hAnsi="方正仿宋_GB2312" w:eastAsia="方正仿宋_GB2312" w:cs="方正仿宋_GB2312"/>
          <w:kern w:val="0"/>
          <w:sz w:val="32"/>
          <w:szCs w:val="32"/>
          <w:lang w:val="en-US" w:eastAsia="zh-CN" w:bidi="ar"/>
        </w:rPr>
        <w:t>“</w:t>
      </w:r>
      <w:r>
        <w:rPr>
          <w:rFonts w:hint="default" w:ascii="方正仿宋_GB2312" w:hAnsi="方正仿宋_GB2312" w:eastAsia="方正仿宋_GB2312" w:cs="方正仿宋_GB2312"/>
          <w:kern w:val="0"/>
          <w:sz w:val="32"/>
          <w:szCs w:val="32"/>
          <w:lang w:val="en-US" w:eastAsia="zh-CN" w:bidi="ar"/>
        </w:rPr>
        <w:t>统一领导、综合协调、部门负责、分类管理</w:t>
      </w:r>
      <w:r>
        <w:rPr>
          <w:rFonts w:hint="eastAsia" w:ascii="方正仿宋_GB2312" w:hAnsi="方正仿宋_GB2312" w:eastAsia="方正仿宋_GB2312" w:cs="方正仿宋_GB2312"/>
          <w:kern w:val="0"/>
          <w:sz w:val="32"/>
          <w:szCs w:val="32"/>
          <w:lang w:val="en-US" w:eastAsia="zh-CN" w:bidi="ar"/>
        </w:rPr>
        <w:t>”</w:t>
      </w:r>
      <w:r>
        <w:rPr>
          <w:rFonts w:hint="default" w:ascii="方正仿宋_GB2312" w:hAnsi="方正仿宋_GB2312" w:eastAsia="方正仿宋_GB2312" w:cs="方正仿宋_GB2312"/>
          <w:kern w:val="0"/>
          <w:sz w:val="32"/>
          <w:szCs w:val="32"/>
          <w:lang w:val="en-US" w:eastAsia="zh-CN" w:bidi="ar"/>
        </w:rPr>
        <w:t>的原则，明确政府信息管理各项职责，规范政府信息管理各个方面，为政府信息公开工作提供强有力的组织保障。二是信息务求实效。明确各部门信息工作职责，规范信息审核和报送，由专人负责信息管理，</w:t>
      </w:r>
      <w:r>
        <w:rPr>
          <w:rFonts w:ascii="仿宋_GB2312" w:hAnsi="宋体" w:eastAsia="仿宋_GB2312" w:cs="仿宋_GB2312"/>
          <w:i w:val="0"/>
          <w:iCs w:val="0"/>
          <w:caps w:val="0"/>
          <w:color w:val="000000"/>
          <w:spacing w:val="0"/>
          <w:sz w:val="32"/>
          <w:szCs w:val="32"/>
          <w:shd w:val="clear" w:fill="FFFFFF"/>
        </w:rPr>
        <w:t>积极推进</w:t>
      </w:r>
      <w:r>
        <w:rPr>
          <w:rFonts w:hint="default" w:ascii="仿宋_GB2312" w:hAnsi="宋体" w:eastAsia="仿宋_GB2312" w:cs="仿宋_GB2312"/>
          <w:i w:val="0"/>
          <w:iCs w:val="0"/>
          <w:caps w:val="0"/>
          <w:color w:val="000000"/>
          <w:spacing w:val="0"/>
          <w:sz w:val="32"/>
          <w:szCs w:val="32"/>
          <w:shd w:val="clear" w:fill="FFFFFF"/>
        </w:rPr>
        <w:t>“三审三校”制度落实，分级审核、先审后发，确保公开信息全面、及时、准确、规范</w:t>
      </w:r>
      <w:r>
        <w:rPr>
          <w:rFonts w:hint="default" w:ascii="方正仿宋_GB2312" w:hAnsi="方正仿宋_GB2312" w:eastAsia="方正仿宋_GB2312" w:cs="方正仿宋_GB2312"/>
          <w:kern w:val="0"/>
          <w:sz w:val="32"/>
          <w:szCs w:val="32"/>
          <w:lang w:val="en-US" w:eastAsia="zh-CN" w:bidi="ar"/>
        </w:rPr>
        <w:t>。</w:t>
      </w:r>
    </w:p>
    <w:p w14:paraId="1C1749D3">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方正楷体_GB2312" w:hAnsi="方正楷体_GB2312" w:eastAsia="方正楷体_GB2312" w:cs="方正楷体_GB2312"/>
          <w:b/>
          <w:bCs/>
          <w:kern w:val="0"/>
          <w:sz w:val="32"/>
          <w:szCs w:val="32"/>
          <w:lang w:val="en-US" w:eastAsia="zh-CN" w:bidi="ar"/>
        </w:rPr>
      </w:pPr>
      <w:r>
        <w:rPr>
          <w:rFonts w:hint="eastAsia" w:ascii="方正楷体_GB2312" w:hAnsi="方正楷体_GB2312" w:eastAsia="方正楷体_GB2312" w:cs="方正楷体_GB2312"/>
          <w:b/>
          <w:bCs/>
          <w:kern w:val="0"/>
          <w:sz w:val="32"/>
          <w:szCs w:val="32"/>
          <w:lang w:val="en-US" w:eastAsia="zh-CN" w:bidi="ar"/>
        </w:rPr>
        <w:t>政府信息公开平台建设</w:t>
      </w:r>
    </w:p>
    <w:p w14:paraId="6CB047FF">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方正仿宋_GB2312" w:hAnsi="方正仿宋_GB2312" w:eastAsia="方正仿宋_GB2312" w:cs="方正仿宋_GB2312"/>
          <w:kern w:val="0"/>
          <w:sz w:val="32"/>
          <w:szCs w:val="32"/>
          <w:lang w:val="en-US" w:eastAsia="zh-CN" w:bidi="ar"/>
        </w:rPr>
      </w:pPr>
      <w:r>
        <w:rPr>
          <w:rFonts w:hint="default" w:ascii="方正仿宋_GB2312" w:hAnsi="方正仿宋_GB2312" w:eastAsia="方正仿宋_GB2312" w:cs="方正仿宋_GB2312"/>
          <w:kern w:val="0"/>
          <w:sz w:val="32"/>
          <w:szCs w:val="32"/>
          <w:lang w:val="en-US" w:eastAsia="zh-CN" w:bidi="ar"/>
        </w:rPr>
        <w:t>一是</w:t>
      </w:r>
      <w:r>
        <w:rPr>
          <w:rFonts w:hint="eastAsia" w:ascii="方正仿宋_GB2312" w:hAnsi="方正仿宋_GB2312" w:eastAsia="方正仿宋_GB2312" w:cs="方正仿宋_GB2312"/>
          <w:kern w:val="0"/>
          <w:sz w:val="32"/>
          <w:szCs w:val="32"/>
          <w:lang w:val="en-US" w:eastAsia="zh-CN" w:bidi="ar"/>
        </w:rPr>
        <w:t>使用</w:t>
      </w:r>
      <w:r>
        <w:rPr>
          <w:rFonts w:hint="default" w:ascii="方正仿宋_GB2312" w:hAnsi="方正仿宋_GB2312" w:eastAsia="方正仿宋_GB2312" w:cs="方正仿宋_GB2312"/>
          <w:kern w:val="0"/>
          <w:sz w:val="32"/>
          <w:szCs w:val="32"/>
          <w:lang w:val="en-US" w:eastAsia="zh-CN" w:bidi="ar"/>
        </w:rPr>
        <w:t>更加</w:t>
      </w:r>
      <w:r>
        <w:rPr>
          <w:rFonts w:hint="eastAsia" w:ascii="方正仿宋_GB2312" w:hAnsi="方正仿宋_GB2312" w:eastAsia="方正仿宋_GB2312" w:cs="方正仿宋_GB2312"/>
          <w:kern w:val="0"/>
          <w:sz w:val="32"/>
          <w:szCs w:val="32"/>
          <w:lang w:val="en-US" w:eastAsia="zh-CN" w:bidi="ar"/>
        </w:rPr>
        <w:t>便捷</w:t>
      </w:r>
      <w:r>
        <w:rPr>
          <w:rFonts w:hint="default" w:ascii="方正仿宋_GB2312" w:hAnsi="方正仿宋_GB2312" w:eastAsia="方正仿宋_GB2312" w:cs="方正仿宋_GB2312"/>
          <w:kern w:val="0"/>
          <w:sz w:val="32"/>
          <w:szCs w:val="32"/>
          <w:lang w:val="en-US" w:eastAsia="zh-CN" w:bidi="ar"/>
        </w:rPr>
        <w:t>。按照高安市政府门户网站的最新功能设置，及时在此基础上管理和使用好各个栏目，充分公开各类信息，便于居民群众更加便捷、快速、直接知晓相关信息。二是渠道更加多元。</w:t>
      </w:r>
      <w:r>
        <w:rPr>
          <w:rFonts w:hint="eastAsia" w:ascii="方正仿宋_GB2312" w:hAnsi="方正仿宋_GB2312" w:eastAsia="方正仿宋_GB2312" w:cs="方正仿宋_GB2312"/>
          <w:kern w:val="0"/>
          <w:sz w:val="32"/>
          <w:szCs w:val="32"/>
          <w:lang w:val="en-US" w:eastAsia="zh-CN" w:bidi="ar"/>
        </w:rPr>
        <w:t>除政府管网外，还通过</w:t>
      </w:r>
      <w:r>
        <w:rPr>
          <w:rFonts w:hint="default" w:ascii="方正仿宋_GB2312" w:hAnsi="方正仿宋_GB2312" w:eastAsia="方正仿宋_GB2312" w:cs="方正仿宋_GB2312"/>
          <w:kern w:val="0"/>
          <w:sz w:val="32"/>
          <w:szCs w:val="32"/>
          <w:lang w:val="en-US" w:eastAsia="zh-CN" w:bidi="ar"/>
        </w:rPr>
        <w:t>线下各类</w:t>
      </w:r>
      <w:r>
        <w:rPr>
          <w:rFonts w:hint="eastAsia" w:ascii="方正仿宋_GB2312" w:hAnsi="方正仿宋_GB2312" w:eastAsia="方正仿宋_GB2312" w:cs="方正仿宋_GB2312"/>
          <w:kern w:val="0"/>
          <w:sz w:val="32"/>
          <w:szCs w:val="32"/>
          <w:lang w:val="en-US" w:eastAsia="zh-CN" w:bidi="ar"/>
        </w:rPr>
        <w:t>公开栏</w:t>
      </w:r>
      <w:r>
        <w:rPr>
          <w:rFonts w:hint="default" w:ascii="方正仿宋_GB2312" w:hAnsi="方正仿宋_GB2312" w:eastAsia="方正仿宋_GB2312" w:cs="方正仿宋_GB2312"/>
          <w:kern w:val="0"/>
          <w:sz w:val="32"/>
          <w:szCs w:val="32"/>
          <w:lang w:val="en-US" w:eastAsia="zh-CN" w:bidi="ar"/>
        </w:rPr>
        <w:t>、宣传栏、电子屏等多渠道公开政府信息，方便居民群众办事，力促政府信息公开渠道多元化。三是增强公开意识。认真组织信息公开工作人员进行相关业务知识的学习及交流，增强信息公开工作意识，进一步加深对信息公开工作的自觉性、积极性，提升服务居民群众的能力与水平。</w:t>
      </w:r>
    </w:p>
    <w:p w14:paraId="5B44CB3D">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方正楷体_GB2312" w:hAnsi="方正楷体_GB2312" w:eastAsia="方正楷体_GB2312" w:cs="方正楷体_GB2312"/>
          <w:b/>
          <w:bCs/>
          <w:kern w:val="0"/>
          <w:sz w:val="32"/>
          <w:szCs w:val="32"/>
          <w:lang w:val="en-US" w:eastAsia="zh-CN" w:bidi="ar"/>
        </w:rPr>
      </w:pPr>
      <w:r>
        <w:rPr>
          <w:rFonts w:hint="eastAsia" w:ascii="方正楷体_GB2312" w:hAnsi="方正楷体_GB2312" w:eastAsia="方正楷体_GB2312" w:cs="方正楷体_GB2312"/>
          <w:b/>
          <w:bCs/>
          <w:kern w:val="0"/>
          <w:sz w:val="32"/>
          <w:szCs w:val="32"/>
          <w:lang w:val="en-US" w:eastAsia="zh-CN" w:bidi="ar"/>
        </w:rPr>
        <w:t>监督保障</w:t>
      </w:r>
    </w:p>
    <w:p w14:paraId="7B1F2709">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一是信息检查常态化。针对已发布信息，不定时回头看，对已公开信息认真复查审查，及时清理过期、错误或敏感信息。</w:t>
      </w:r>
    </w:p>
    <w:p w14:paraId="2A0DD3F3">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二是监督管理严格化。进一步建立完善信息安全监督机制，定期对政务公开信息管理工作进行检查和评估，及时发现并解决存在的问题。强化责任追究，对发现的问题严肃追究相关责任人责任。</w:t>
      </w:r>
    </w:p>
    <w:p w14:paraId="7743B7A6">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三是制度执行长效化。严格落实政务公开三审三校制度，明确初审、复审、终审及校对责任，明确信息内容的准确性、时效性、保密性，确保涉密信息不泄露、错误信息不上网。</w:t>
      </w:r>
    </w:p>
    <w:p w14:paraId="3157F0E0">
      <w:pPr>
        <w:keepNext w:val="0"/>
        <w:keepLines w:val="0"/>
        <w:pageBreakBefore w:val="0"/>
        <w:widowControl/>
        <w:numPr>
          <w:ilvl w:val="0"/>
          <w:numId w:val="2"/>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kern w:val="0"/>
          <w:sz w:val="32"/>
          <w:szCs w:val="32"/>
          <w:lang w:val="en-US" w:eastAsia="zh-CN" w:bidi="ar"/>
        </w:rPr>
        <w:t>主动公开政府信息情况</w:t>
      </w:r>
    </w:p>
    <w:tbl>
      <w:tblPr>
        <w:tblStyle w:val="6"/>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55"/>
        <w:gridCol w:w="2455"/>
        <w:gridCol w:w="2455"/>
        <w:gridCol w:w="2455"/>
      </w:tblGrid>
      <w:tr w14:paraId="605A3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2FE85C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color w:val="000000"/>
                <w:kern w:val="0"/>
                <w:sz w:val="28"/>
                <w:szCs w:val="28"/>
                <w:lang w:val="en-US" w:eastAsia="zh-CN" w:bidi="ar"/>
              </w:rPr>
              <w:t>第二十条第（一）项</w:t>
            </w:r>
          </w:p>
        </w:tc>
      </w:tr>
      <w:tr w14:paraId="30BE2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005F42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信息内容</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14:paraId="792091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本年</w:t>
            </w:r>
            <w:r>
              <w:rPr>
                <w:rFonts w:hint="eastAsia" w:ascii="楷体_GB2312" w:hAnsi="楷体_GB2312" w:eastAsia="楷体_GB2312" w:cs="楷体_GB2312"/>
                <w:b/>
                <w:bCs/>
                <w:kern w:val="0"/>
                <w:sz w:val="28"/>
                <w:szCs w:val="28"/>
                <w:lang w:val="en-US" w:eastAsia="zh-CN" w:bidi="ar"/>
              </w:rPr>
              <w:t>制发件数</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14:paraId="538E9F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本年废止件数</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14:paraId="19C7B9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现行有效件</w:t>
            </w:r>
            <w:r>
              <w:rPr>
                <w:rFonts w:hint="eastAsia" w:ascii="楷体_GB2312" w:hAnsi="楷体_GB2312" w:eastAsia="楷体_GB2312" w:cs="楷体_GB2312"/>
                <w:b/>
                <w:bCs/>
                <w:kern w:val="0"/>
                <w:sz w:val="28"/>
                <w:szCs w:val="28"/>
                <w:lang w:val="en-US" w:eastAsia="zh-CN" w:bidi="ar"/>
              </w:rPr>
              <w:t>数</w:t>
            </w:r>
          </w:p>
        </w:tc>
      </w:tr>
      <w:tr w14:paraId="2BA53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64567D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规   章</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765D4F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5B3192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164AB3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r>
      <w:tr w14:paraId="25889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2A402A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行政规范性文件</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414C2B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b w:val="0"/>
                <w:bCs w:val="0"/>
                <w:sz w:val="28"/>
                <w:szCs w:val="28"/>
                <w:lang w:val="en-US"/>
              </w:rPr>
            </w:pPr>
            <w:r>
              <w:rPr>
                <w:rFonts w:hint="eastAsia" w:ascii="仿宋_GB2312" w:hAnsi="仿宋_GB2312" w:cs="仿宋_GB2312"/>
                <w:b w:val="0"/>
                <w:bCs w:val="0"/>
                <w:color w:val="000000"/>
                <w:kern w:val="0"/>
                <w:sz w:val="28"/>
                <w:szCs w:val="28"/>
                <w:lang w:val="en-US" w:eastAsia="zh-CN" w:bidi="ar"/>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5D2084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b w:val="0"/>
                <w:bCs w:val="0"/>
                <w:sz w:val="28"/>
                <w:szCs w:val="28"/>
                <w:lang w:val="en-US"/>
              </w:rPr>
            </w:pPr>
            <w:r>
              <w:rPr>
                <w:rFonts w:hint="eastAsia" w:ascii="仿宋_GB2312" w:hAnsi="仿宋_GB2312" w:cs="仿宋_GB2312"/>
                <w:b w:val="0"/>
                <w:bCs w:val="0"/>
                <w:color w:val="000000"/>
                <w:kern w:val="0"/>
                <w:sz w:val="28"/>
                <w:szCs w:val="28"/>
                <w:lang w:val="en-US" w:eastAsia="zh-CN" w:bidi="ar"/>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6E8143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b w:val="0"/>
                <w:bCs w:val="0"/>
                <w:sz w:val="28"/>
                <w:szCs w:val="28"/>
                <w:lang w:val="en-US"/>
              </w:rPr>
            </w:pPr>
            <w:r>
              <w:rPr>
                <w:rFonts w:hint="eastAsia" w:ascii="仿宋_GB2312" w:hAnsi="仿宋_GB2312" w:cs="仿宋_GB2312"/>
                <w:b w:val="0"/>
                <w:bCs w:val="0"/>
                <w:kern w:val="0"/>
                <w:sz w:val="28"/>
                <w:szCs w:val="28"/>
                <w:lang w:val="en-US" w:eastAsia="zh-CN" w:bidi="ar"/>
              </w:rPr>
              <w:t>0</w:t>
            </w:r>
          </w:p>
        </w:tc>
      </w:tr>
      <w:tr w14:paraId="1E84D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526760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第二十条第（五）项</w:t>
            </w:r>
          </w:p>
        </w:tc>
      </w:tr>
      <w:tr w14:paraId="73F08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1E51F5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信息内容</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14:paraId="22FFF7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本年处理决定数量</w:t>
            </w:r>
          </w:p>
        </w:tc>
      </w:tr>
      <w:tr w14:paraId="7CBEF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56E5AA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行政许可</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14:paraId="203F06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b w:val="0"/>
                <w:bCs w:val="0"/>
                <w:sz w:val="28"/>
                <w:szCs w:val="28"/>
                <w:lang w:val="en-US"/>
              </w:rPr>
            </w:pPr>
            <w:r>
              <w:rPr>
                <w:rFonts w:hint="eastAsia" w:ascii="楷体_GB2312" w:hAnsi="楷体_GB2312" w:eastAsia="楷体_GB2312" w:cs="楷体_GB2312"/>
                <w:b/>
                <w:bCs/>
                <w:kern w:val="0"/>
                <w:sz w:val="28"/>
                <w:szCs w:val="28"/>
                <w:lang w:val="en-US" w:eastAsia="zh-CN" w:bidi="ar"/>
              </w:rPr>
              <w:t>0</w:t>
            </w:r>
          </w:p>
        </w:tc>
      </w:tr>
      <w:tr w14:paraId="64C2E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288D20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第二十条第（六）项</w:t>
            </w:r>
          </w:p>
        </w:tc>
      </w:tr>
      <w:tr w14:paraId="4B380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7FB86A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color w:val="000000"/>
                <w:kern w:val="0"/>
                <w:sz w:val="28"/>
                <w:szCs w:val="28"/>
                <w:lang w:val="en-US" w:eastAsia="zh-CN" w:bidi="ar"/>
              </w:rPr>
            </w:pPr>
            <w:r>
              <w:rPr>
                <w:rFonts w:hint="eastAsia" w:ascii="楷体_GB2312" w:hAnsi="楷体_GB2312" w:eastAsia="楷体_GB2312" w:cs="楷体_GB2312"/>
                <w:b/>
                <w:bCs/>
                <w:color w:val="000000"/>
                <w:kern w:val="0"/>
                <w:sz w:val="28"/>
                <w:szCs w:val="28"/>
                <w:lang w:val="en-US" w:eastAsia="zh-CN" w:bidi="ar"/>
              </w:rPr>
              <w:t>信息内容</w:t>
            </w:r>
          </w:p>
        </w:tc>
        <w:tc>
          <w:tcPr>
            <w:tcW w:w="73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237C38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本年处理决定数量</w:t>
            </w:r>
          </w:p>
        </w:tc>
      </w:tr>
      <w:tr w14:paraId="20C11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6FFA6B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color w:val="000000"/>
                <w:kern w:val="0"/>
                <w:sz w:val="28"/>
                <w:szCs w:val="28"/>
                <w:lang w:val="en-US" w:eastAsia="zh-CN" w:bidi="ar"/>
              </w:rPr>
            </w:pPr>
            <w:r>
              <w:rPr>
                <w:rFonts w:hint="eastAsia" w:ascii="楷体_GB2312" w:hAnsi="楷体_GB2312" w:eastAsia="楷体_GB2312" w:cs="楷体_GB2312"/>
                <w:b/>
                <w:bCs/>
                <w:color w:val="000000"/>
                <w:kern w:val="0"/>
                <w:sz w:val="28"/>
                <w:szCs w:val="28"/>
                <w:lang w:val="en-US" w:eastAsia="zh-CN" w:bidi="ar"/>
              </w:rPr>
              <w:t>行政处罚</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14:paraId="6E1D14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b w:val="0"/>
                <w:bCs w:val="0"/>
                <w:color w:val="000000"/>
                <w:kern w:val="0"/>
                <w:sz w:val="28"/>
                <w:szCs w:val="28"/>
                <w:lang w:val="en-US" w:eastAsia="zh-CN" w:bidi="ar"/>
              </w:rPr>
            </w:pPr>
            <w:r>
              <w:rPr>
                <w:rFonts w:hint="eastAsia" w:ascii="仿宋_GB2312" w:hAnsi="仿宋_GB2312" w:cs="仿宋_GB2312"/>
                <w:b w:val="0"/>
                <w:bCs w:val="0"/>
                <w:color w:val="000000"/>
                <w:kern w:val="0"/>
                <w:sz w:val="28"/>
                <w:szCs w:val="28"/>
                <w:lang w:val="en-US" w:eastAsia="zh-CN" w:bidi="ar"/>
              </w:rPr>
              <w:t>0</w:t>
            </w:r>
          </w:p>
        </w:tc>
      </w:tr>
      <w:tr w14:paraId="73A45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7B184C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color w:val="000000"/>
                <w:kern w:val="0"/>
                <w:sz w:val="28"/>
                <w:szCs w:val="28"/>
                <w:lang w:val="en-US" w:eastAsia="zh-CN" w:bidi="ar"/>
              </w:rPr>
            </w:pPr>
            <w:r>
              <w:rPr>
                <w:rFonts w:hint="eastAsia" w:ascii="楷体_GB2312" w:hAnsi="楷体_GB2312" w:eastAsia="楷体_GB2312" w:cs="楷体_GB2312"/>
                <w:b/>
                <w:bCs/>
                <w:color w:val="000000"/>
                <w:kern w:val="0"/>
                <w:sz w:val="28"/>
                <w:szCs w:val="28"/>
                <w:lang w:val="en-US" w:eastAsia="zh-CN" w:bidi="ar"/>
              </w:rPr>
              <w:t>行政强制</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14:paraId="351D8A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b w:val="0"/>
                <w:bCs w:val="0"/>
                <w:color w:val="000000"/>
                <w:kern w:val="0"/>
                <w:sz w:val="28"/>
                <w:szCs w:val="28"/>
                <w:lang w:val="en-US" w:eastAsia="zh-CN" w:bidi="ar"/>
              </w:rPr>
            </w:pPr>
            <w:r>
              <w:rPr>
                <w:rFonts w:hint="eastAsia" w:ascii="仿宋_GB2312" w:hAnsi="仿宋_GB2312" w:cs="仿宋_GB2312"/>
                <w:b w:val="0"/>
                <w:bCs w:val="0"/>
                <w:color w:val="000000"/>
                <w:kern w:val="0"/>
                <w:sz w:val="28"/>
                <w:szCs w:val="28"/>
                <w:lang w:val="en-US" w:eastAsia="zh-CN" w:bidi="ar"/>
              </w:rPr>
              <w:t>0</w:t>
            </w:r>
          </w:p>
        </w:tc>
      </w:tr>
      <w:tr w14:paraId="7029E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2EB87D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第二十条第（八）项</w:t>
            </w:r>
          </w:p>
        </w:tc>
      </w:tr>
      <w:tr w14:paraId="7D1B8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6A4FB5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信息内容</w:t>
            </w:r>
          </w:p>
        </w:tc>
        <w:tc>
          <w:tcPr>
            <w:tcW w:w="7365" w:type="dxa"/>
            <w:gridSpan w:val="3"/>
            <w:tcBorders>
              <w:top w:val="nil"/>
              <w:left w:val="nil"/>
              <w:bottom w:val="single" w:color="auto" w:sz="8" w:space="0"/>
              <w:right w:val="single" w:color="000000" w:sz="8" w:space="0"/>
            </w:tcBorders>
            <w:noWrap w:val="0"/>
            <w:tcMar>
              <w:left w:w="57" w:type="dxa"/>
              <w:right w:w="57" w:type="dxa"/>
            </w:tcMar>
            <w:vAlign w:val="center"/>
          </w:tcPr>
          <w:p w14:paraId="101C32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本年收费金额（单位：万元）</w:t>
            </w:r>
          </w:p>
        </w:tc>
      </w:tr>
      <w:tr w14:paraId="21BF7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61E610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行政事业性收费</w:t>
            </w:r>
          </w:p>
        </w:tc>
        <w:tc>
          <w:tcPr>
            <w:tcW w:w="7365" w:type="dxa"/>
            <w:gridSpan w:val="3"/>
            <w:tcBorders>
              <w:top w:val="nil"/>
              <w:left w:val="nil"/>
              <w:bottom w:val="single" w:color="auto" w:sz="8" w:space="0"/>
              <w:right w:val="single" w:color="000000" w:sz="8" w:space="0"/>
            </w:tcBorders>
            <w:noWrap w:val="0"/>
            <w:tcMar>
              <w:left w:w="57" w:type="dxa"/>
              <w:right w:w="57" w:type="dxa"/>
            </w:tcMar>
            <w:vAlign w:val="center"/>
          </w:tcPr>
          <w:p w14:paraId="00E40F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0</w:t>
            </w:r>
          </w:p>
        </w:tc>
      </w:tr>
    </w:tbl>
    <w:p w14:paraId="1C1B45D4">
      <w:pPr>
        <w:keepNext w:val="0"/>
        <w:keepLines w:val="0"/>
        <w:pageBreakBefore w:val="0"/>
        <w:widowControl/>
        <w:numPr>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三、收到和处理政府信息公开申请情况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568854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2A803E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14:paraId="6E0062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申请人情况</w:t>
            </w:r>
          </w:p>
        </w:tc>
      </w:tr>
      <w:tr w14:paraId="24EA91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15B17331">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39" w:type="dxa"/>
            <w:vMerge w:val="restart"/>
            <w:tcBorders>
              <w:top w:val="nil"/>
              <w:left w:val="nil"/>
              <w:bottom w:val="single" w:color="auto" w:sz="8" w:space="0"/>
              <w:right w:val="single" w:color="auto" w:sz="8" w:space="0"/>
            </w:tcBorders>
            <w:noWrap w:val="0"/>
            <w:tcMar>
              <w:left w:w="57" w:type="dxa"/>
              <w:right w:w="57" w:type="dxa"/>
            </w:tcMar>
            <w:vAlign w:val="center"/>
          </w:tcPr>
          <w:p w14:paraId="35875E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自</w:t>
            </w:r>
          </w:p>
          <w:p w14:paraId="3CD5DB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p>
          <w:p w14:paraId="2417E8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然</w:t>
            </w:r>
          </w:p>
          <w:p w14:paraId="177952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p>
          <w:p w14:paraId="461144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人</w:t>
            </w:r>
          </w:p>
        </w:tc>
        <w:tc>
          <w:tcPr>
            <w:tcW w:w="2238" w:type="dxa"/>
            <w:gridSpan w:val="5"/>
            <w:tcBorders>
              <w:top w:val="single" w:color="auto" w:sz="8" w:space="0"/>
              <w:left w:val="nil"/>
              <w:bottom w:val="single" w:color="auto" w:sz="8" w:space="0"/>
              <w:right w:val="single" w:color="auto" w:sz="8" w:space="0"/>
            </w:tcBorders>
            <w:noWrap w:val="0"/>
            <w:tcMar>
              <w:left w:w="57" w:type="dxa"/>
              <w:right w:w="57" w:type="dxa"/>
            </w:tcMar>
            <w:vAlign w:val="center"/>
          </w:tcPr>
          <w:p w14:paraId="6447D9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noWrap w:val="0"/>
            <w:tcMar>
              <w:left w:w="57" w:type="dxa"/>
              <w:right w:w="57" w:type="dxa"/>
            </w:tcMar>
            <w:vAlign w:val="center"/>
          </w:tcPr>
          <w:p w14:paraId="1D4957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总计</w:t>
            </w:r>
          </w:p>
        </w:tc>
      </w:tr>
      <w:tr w14:paraId="4777EC2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5403FE56">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39" w:type="dxa"/>
            <w:vMerge w:val="continue"/>
            <w:tcBorders>
              <w:top w:val="nil"/>
              <w:left w:val="nil"/>
              <w:bottom w:val="single" w:color="auto" w:sz="8" w:space="0"/>
              <w:right w:val="single" w:color="auto" w:sz="8" w:space="0"/>
            </w:tcBorders>
            <w:noWrap w:val="0"/>
            <w:tcMar>
              <w:left w:w="57" w:type="dxa"/>
              <w:right w:w="57" w:type="dxa"/>
            </w:tcMar>
            <w:vAlign w:val="center"/>
          </w:tcPr>
          <w:p w14:paraId="628D927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28"/>
                <w:szCs w:val="28"/>
              </w:rPr>
            </w:pPr>
          </w:p>
        </w:tc>
        <w:tc>
          <w:tcPr>
            <w:tcW w:w="473" w:type="dxa"/>
            <w:tcBorders>
              <w:top w:val="nil"/>
              <w:left w:val="nil"/>
              <w:bottom w:val="single" w:color="auto" w:sz="8" w:space="0"/>
              <w:right w:val="single" w:color="auto" w:sz="8" w:space="0"/>
            </w:tcBorders>
            <w:noWrap w:val="0"/>
            <w:tcMar>
              <w:left w:w="57" w:type="dxa"/>
              <w:right w:w="57" w:type="dxa"/>
            </w:tcMar>
            <w:vAlign w:val="center"/>
          </w:tcPr>
          <w:p w14:paraId="34F101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商业</w:t>
            </w:r>
          </w:p>
          <w:p w14:paraId="10D463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企业</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697926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科研</w:t>
            </w:r>
          </w:p>
          <w:p w14:paraId="7A7B81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机构</w:t>
            </w:r>
          </w:p>
        </w:tc>
        <w:tc>
          <w:tcPr>
            <w:tcW w:w="497" w:type="dxa"/>
            <w:tcBorders>
              <w:top w:val="single" w:color="auto" w:sz="8" w:space="0"/>
              <w:left w:val="nil"/>
              <w:bottom w:val="single" w:color="auto" w:sz="8" w:space="0"/>
              <w:right w:val="single" w:color="auto" w:sz="8" w:space="0"/>
            </w:tcBorders>
            <w:noWrap w:val="0"/>
            <w:tcMar>
              <w:left w:w="57" w:type="dxa"/>
              <w:right w:w="57" w:type="dxa"/>
            </w:tcMar>
            <w:vAlign w:val="center"/>
          </w:tcPr>
          <w:p w14:paraId="563214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社会公益组织</w:t>
            </w:r>
          </w:p>
        </w:tc>
        <w:tc>
          <w:tcPr>
            <w:tcW w:w="438" w:type="dxa"/>
            <w:tcBorders>
              <w:top w:val="single" w:color="auto" w:sz="8" w:space="0"/>
              <w:left w:val="nil"/>
              <w:bottom w:val="single" w:color="auto" w:sz="8" w:space="0"/>
              <w:right w:val="single" w:color="auto" w:sz="8" w:space="0"/>
            </w:tcBorders>
            <w:noWrap w:val="0"/>
            <w:tcMar>
              <w:left w:w="57" w:type="dxa"/>
              <w:right w:w="57" w:type="dxa"/>
            </w:tcMar>
            <w:vAlign w:val="center"/>
          </w:tcPr>
          <w:p w14:paraId="23505C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法律服务机构</w:t>
            </w:r>
          </w:p>
        </w:tc>
        <w:tc>
          <w:tcPr>
            <w:tcW w:w="450" w:type="dxa"/>
            <w:tcBorders>
              <w:top w:val="single" w:color="auto" w:sz="8" w:space="0"/>
              <w:left w:val="nil"/>
              <w:bottom w:val="single" w:color="auto" w:sz="8" w:space="0"/>
              <w:right w:val="single" w:color="auto" w:sz="8" w:space="0"/>
            </w:tcBorders>
            <w:noWrap w:val="0"/>
            <w:tcMar>
              <w:left w:w="57" w:type="dxa"/>
              <w:right w:w="57" w:type="dxa"/>
            </w:tcMar>
            <w:vAlign w:val="center"/>
          </w:tcPr>
          <w:p w14:paraId="0BE54B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其他</w:t>
            </w:r>
          </w:p>
        </w:tc>
        <w:tc>
          <w:tcPr>
            <w:tcW w:w="471" w:type="dxa"/>
            <w:vMerge w:val="continue"/>
            <w:tcBorders>
              <w:top w:val="single" w:color="auto" w:sz="8" w:space="0"/>
              <w:left w:val="nil"/>
              <w:bottom w:val="outset" w:color="auto" w:sz="8" w:space="0"/>
              <w:right w:val="single" w:color="auto" w:sz="8" w:space="0"/>
            </w:tcBorders>
            <w:noWrap w:val="0"/>
            <w:tcMar>
              <w:left w:w="57" w:type="dxa"/>
              <w:right w:w="57" w:type="dxa"/>
            </w:tcMar>
            <w:vAlign w:val="center"/>
          </w:tcPr>
          <w:p w14:paraId="22198203">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28"/>
                <w:szCs w:val="28"/>
              </w:rPr>
            </w:pPr>
          </w:p>
        </w:tc>
      </w:tr>
      <w:tr w14:paraId="71A3DC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7BE2C7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一、本年新收政府信息公开申请数量</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0F6AEA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693947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69504B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6E1705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7B72DF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617727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0A3F0F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34CB4E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25E476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二、上年结转政府信息公开申请数量</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272225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5D224E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6EB989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394BC7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7D78E9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5F4955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107E62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5B1A08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noWrap w:val="0"/>
            <w:tcMar>
              <w:left w:w="57" w:type="dxa"/>
              <w:right w:w="57" w:type="dxa"/>
            </w:tcMar>
            <w:vAlign w:val="center"/>
          </w:tcPr>
          <w:p w14:paraId="635971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三、本年度办理结果</w:t>
            </w:r>
          </w:p>
        </w:tc>
        <w:tc>
          <w:tcPr>
            <w:tcW w:w="5820" w:type="dxa"/>
            <w:gridSpan w:val="2"/>
            <w:tcBorders>
              <w:top w:val="nil"/>
              <w:left w:val="nil"/>
              <w:bottom w:val="single" w:color="auto" w:sz="8" w:space="0"/>
              <w:right w:val="single" w:color="auto" w:sz="8" w:space="0"/>
            </w:tcBorders>
            <w:noWrap w:val="0"/>
            <w:tcMar>
              <w:left w:w="57" w:type="dxa"/>
              <w:right w:w="57" w:type="dxa"/>
            </w:tcMar>
            <w:vAlign w:val="center"/>
          </w:tcPr>
          <w:p w14:paraId="1036C8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（一）予以公开</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4AC1F8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30C45E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6B1FA8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52F62F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58F813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7CE861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single" w:color="auto" w:sz="8" w:space="0"/>
              <w:left w:val="nil"/>
              <w:bottom w:val="single" w:color="auto" w:sz="8" w:space="0"/>
              <w:right w:val="single" w:color="auto" w:sz="8" w:space="0"/>
            </w:tcBorders>
            <w:noWrap w:val="0"/>
            <w:tcMar>
              <w:left w:w="57" w:type="dxa"/>
              <w:right w:w="57" w:type="dxa"/>
            </w:tcMar>
            <w:vAlign w:val="top"/>
          </w:tcPr>
          <w:p w14:paraId="5AC404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7E3BE3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458FBE1A">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5820" w:type="dxa"/>
            <w:gridSpan w:val="2"/>
            <w:tcBorders>
              <w:top w:val="nil"/>
              <w:left w:val="nil"/>
              <w:bottom w:val="single" w:color="auto" w:sz="8" w:space="0"/>
              <w:right w:val="single" w:color="auto" w:sz="8" w:space="0"/>
            </w:tcBorders>
            <w:noWrap w:val="0"/>
            <w:tcMar>
              <w:left w:w="57" w:type="dxa"/>
              <w:right w:w="57" w:type="dxa"/>
            </w:tcMar>
            <w:vAlign w:val="center"/>
          </w:tcPr>
          <w:p w14:paraId="11394C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71DA00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759ABE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419087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538581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628CC1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1E5850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38FBC5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5AC2A8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03EE8B4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14:paraId="712DA3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（三）不予公开</w:t>
            </w:r>
          </w:p>
        </w:tc>
        <w:tc>
          <w:tcPr>
            <w:tcW w:w="4823" w:type="dxa"/>
            <w:tcBorders>
              <w:top w:val="nil"/>
              <w:left w:val="nil"/>
              <w:bottom w:val="single" w:color="auto" w:sz="8" w:space="0"/>
              <w:right w:val="single" w:color="auto" w:sz="8" w:space="0"/>
            </w:tcBorders>
            <w:noWrap w:val="0"/>
            <w:tcMar>
              <w:left w:w="57" w:type="dxa"/>
              <w:right w:w="57" w:type="dxa"/>
            </w:tcMar>
            <w:vAlign w:val="top"/>
          </w:tcPr>
          <w:p w14:paraId="0155DA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1.属于国家秘密</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597519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5B9C0E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7139FC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7A913C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227F97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6284E9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single" w:color="auto" w:sz="8" w:space="0"/>
              <w:left w:val="nil"/>
              <w:bottom w:val="single" w:color="auto" w:sz="8" w:space="0"/>
              <w:right w:val="single" w:color="auto" w:sz="8" w:space="0"/>
            </w:tcBorders>
            <w:noWrap w:val="0"/>
            <w:tcMar>
              <w:left w:w="57" w:type="dxa"/>
              <w:right w:w="57" w:type="dxa"/>
            </w:tcMar>
            <w:vAlign w:val="top"/>
          </w:tcPr>
          <w:p w14:paraId="4535B3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668B770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2F6773C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5CA68BD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77B447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2.其他法律行政法规禁止公开</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42040F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3CF4EC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7C17DD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342434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512299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042343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49FBA2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5A3835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33BE29D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483A3438">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1A2242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3.危及“三安全一稳定”</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1E4902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71D0E8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6FFF6C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2BCB15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3CF38C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1F29EF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49A3F4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17E27F5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1CA0E15F">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22AEA5AE">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025F41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4.保护第三方合法权益</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05419F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0523E9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5CAD36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4075E0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753022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527FF6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3A3EDF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7B3F59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2571E7A3">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40395AB1">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14F1D5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5.属于三类内部事务信息</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23DD75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6F75DB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6FEE33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0E37A5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6FF826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7EF149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370CAC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321F828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1D5262AC">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0F13CBD2">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26886D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6.属于四类过程性信息</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10BAA3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019DCC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4EE38F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530C8F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551107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06CDF1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1B556B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60054C1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8F1622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1580F308">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195796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7.属于行政执法案卷</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10BC8B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159A84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3D7D15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6B2CC5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737A77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3BFE76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7010BF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166151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49F3DA01">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2B941B28">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74AE0D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8.属于行政查询事项</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364B72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70DAD4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5564FB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69860B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5CBD2E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793F9A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55C868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5485BE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4197C0A">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14:paraId="60A068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（四）无法提供</w:t>
            </w:r>
          </w:p>
        </w:tc>
        <w:tc>
          <w:tcPr>
            <w:tcW w:w="4823" w:type="dxa"/>
            <w:tcBorders>
              <w:top w:val="nil"/>
              <w:left w:val="nil"/>
              <w:bottom w:val="single" w:color="auto" w:sz="8" w:space="0"/>
              <w:right w:val="single" w:color="auto" w:sz="8" w:space="0"/>
            </w:tcBorders>
            <w:noWrap w:val="0"/>
            <w:tcMar>
              <w:left w:w="57" w:type="dxa"/>
              <w:right w:w="57" w:type="dxa"/>
            </w:tcMar>
            <w:vAlign w:val="top"/>
          </w:tcPr>
          <w:p w14:paraId="036884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1.本机关不掌握相关政府信息</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6A2029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521C31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1B5B79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0199B4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681B7A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468180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502DD7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761880B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7550431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62149DF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7649BE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2.没有现成信息需要另行制作</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2C8764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3496A4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5C6477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0B4E4D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0C53C8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407CC3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615AD4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5B3277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03545449">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58124EA2">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1B47CF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3.补正后申请内容仍不明确</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4F8F58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59B898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3F9577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6032E0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22774B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0572ED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2FBD6F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0DDFE6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1821CF28">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14:paraId="427858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（五）不予处理</w:t>
            </w:r>
          </w:p>
        </w:tc>
        <w:tc>
          <w:tcPr>
            <w:tcW w:w="4823" w:type="dxa"/>
            <w:tcBorders>
              <w:top w:val="nil"/>
              <w:left w:val="nil"/>
              <w:bottom w:val="single" w:color="auto" w:sz="8" w:space="0"/>
              <w:right w:val="single" w:color="auto" w:sz="8" w:space="0"/>
            </w:tcBorders>
            <w:noWrap w:val="0"/>
            <w:tcMar>
              <w:left w:w="57" w:type="dxa"/>
              <w:right w:w="57" w:type="dxa"/>
            </w:tcMar>
            <w:vAlign w:val="top"/>
          </w:tcPr>
          <w:p w14:paraId="0B7605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1.信访举报投诉类申请</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4F856A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73E21D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5D62F8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240BC9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442B94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703773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0F975D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201196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11BA1D0B">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29579DDF">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2E07B4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2.重复申请</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3EE19A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475ABD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42DFB5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61FEDF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6EAF0A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15165F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2BBD82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7D00D1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38675B88">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3889B3A0">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70661A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3.要求提供公开出版物</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7E0EFA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7EB8CE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64F9BB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0D7017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18D1F5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33D4BF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7A9A6B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7743EDE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73EBC35D">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3D55570A">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37D76E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4.无正当理由大量反复申请</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64858E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7C1C73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6ED407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6C2DE3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2D1B3B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11ACBE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78E040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0"/>
                <w:sz w:val="28"/>
                <w:szCs w:val="28"/>
                <w:lang w:val="en-US" w:eastAsia="zh-CN" w:bidi="ar"/>
              </w:rPr>
              <w:t> </w:t>
            </w:r>
            <w:r>
              <w:rPr>
                <w:rFonts w:hint="eastAsia" w:ascii="仿宋_GB2312" w:hAnsi="仿宋_GB2312" w:cs="仿宋_GB2312"/>
                <w:kern w:val="0"/>
                <w:sz w:val="28"/>
                <w:szCs w:val="28"/>
                <w:lang w:val="en-US" w:eastAsia="zh-CN" w:bidi="ar"/>
              </w:rPr>
              <w:t>0</w:t>
            </w:r>
          </w:p>
        </w:tc>
      </w:tr>
      <w:tr w14:paraId="05CD92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CC71F94">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nil"/>
              <w:left w:val="nil"/>
              <w:bottom w:val="single" w:color="auto" w:sz="4" w:space="0"/>
              <w:right w:val="single" w:color="auto" w:sz="8" w:space="0"/>
            </w:tcBorders>
            <w:noWrap w:val="0"/>
            <w:tcMar>
              <w:left w:w="57" w:type="dxa"/>
              <w:right w:w="57" w:type="dxa"/>
            </w:tcMar>
            <w:vAlign w:val="center"/>
          </w:tcPr>
          <w:p w14:paraId="4621AF76">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nil"/>
              <w:left w:val="nil"/>
              <w:bottom w:val="single" w:color="auto" w:sz="4" w:space="0"/>
              <w:right w:val="single" w:color="auto" w:sz="8" w:space="0"/>
            </w:tcBorders>
            <w:noWrap w:val="0"/>
            <w:tcMar>
              <w:left w:w="57" w:type="dxa"/>
              <w:right w:w="57" w:type="dxa"/>
            </w:tcMar>
            <w:vAlign w:val="center"/>
          </w:tcPr>
          <w:p w14:paraId="5847E7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both"/>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5.要求行政机关确认或重新出具已获取信息</w:t>
            </w:r>
          </w:p>
        </w:tc>
        <w:tc>
          <w:tcPr>
            <w:tcW w:w="439" w:type="dxa"/>
            <w:tcBorders>
              <w:top w:val="nil"/>
              <w:left w:val="nil"/>
              <w:bottom w:val="single" w:color="auto" w:sz="4" w:space="0"/>
              <w:right w:val="single" w:color="auto" w:sz="8" w:space="0"/>
            </w:tcBorders>
            <w:noWrap w:val="0"/>
            <w:tcMar>
              <w:left w:w="57" w:type="dxa"/>
              <w:right w:w="57" w:type="dxa"/>
            </w:tcMar>
            <w:vAlign w:val="center"/>
          </w:tcPr>
          <w:p w14:paraId="1D0A9E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73" w:type="dxa"/>
            <w:tcBorders>
              <w:top w:val="nil"/>
              <w:left w:val="nil"/>
              <w:bottom w:val="single" w:color="auto" w:sz="4" w:space="0"/>
              <w:right w:val="single" w:color="auto" w:sz="8" w:space="0"/>
            </w:tcBorders>
            <w:noWrap w:val="0"/>
            <w:tcMar>
              <w:left w:w="57" w:type="dxa"/>
              <w:right w:w="57" w:type="dxa"/>
            </w:tcMar>
            <w:vAlign w:val="center"/>
          </w:tcPr>
          <w:p w14:paraId="41C303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380" w:type="dxa"/>
            <w:tcBorders>
              <w:top w:val="nil"/>
              <w:left w:val="nil"/>
              <w:bottom w:val="single" w:color="auto" w:sz="4" w:space="0"/>
              <w:right w:val="single" w:color="auto" w:sz="8" w:space="0"/>
            </w:tcBorders>
            <w:noWrap w:val="0"/>
            <w:tcMar>
              <w:left w:w="57" w:type="dxa"/>
              <w:right w:w="57" w:type="dxa"/>
            </w:tcMar>
            <w:vAlign w:val="center"/>
          </w:tcPr>
          <w:p w14:paraId="67F638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97" w:type="dxa"/>
            <w:tcBorders>
              <w:top w:val="nil"/>
              <w:left w:val="nil"/>
              <w:bottom w:val="single" w:color="auto" w:sz="4" w:space="0"/>
              <w:right w:val="single" w:color="auto" w:sz="8" w:space="0"/>
            </w:tcBorders>
            <w:noWrap w:val="0"/>
            <w:tcMar>
              <w:left w:w="57" w:type="dxa"/>
              <w:right w:w="57" w:type="dxa"/>
            </w:tcMar>
            <w:vAlign w:val="center"/>
          </w:tcPr>
          <w:p w14:paraId="0A8F5B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38" w:type="dxa"/>
            <w:tcBorders>
              <w:top w:val="nil"/>
              <w:left w:val="nil"/>
              <w:bottom w:val="single" w:color="auto" w:sz="4" w:space="0"/>
              <w:right w:val="single" w:color="auto" w:sz="8" w:space="0"/>
            </w:tcBorders>
            <w:noWrap w:val="0"/>
            <w:tcMar>
              <w:left w:w="57" w:type="dxa"/>
              <w:right w:w="57" w:type="dxa"/>
            </w:tcMar>
            <w:vAlign w:val="center"/>
          </w:tcPr>
          <w:p w14:paraId="7F1EA4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50" w:type="dxa"/>
            <w:tcBorders>
              <w:top w:val="nil"/>
              <w:left w:val="nil"/>
              <w:bottom w:val="single" w:color="auto" w:sz="4" w:space="0"/>
              <w:right w:val="single" w:color="auto" w:sz="8" w:space="0"/>
            </w:tcBorders>
            <w:noWrap w:val="0"/>
            <w:tcMar>
              <w:left w:w="57" w:type="dxa"/>
              <w:right w:w="57" w:type="dxa"/>
            </w:tcMar>
            <w:vAlign w:val="center"/>
          </w:tcPr>
          <w:p w14:paraId="0A8CF6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71" w:type="dxa"/>
            <w:tcBorders>
              <w:top w:val="nil"/>
              <w:left w:val="nil"/>
              <w:bottom w:val="single" w:color="auto" w:sz="4" w:space="0"/>
              <w:right w:val="single" w:color="auto" w:sz="8" w:space="0"/>
            </w:tcBorders>
            <w:noWrap w:val="0"/>
            <w:tcMar>
              <w:left w:w="57" w:type="dxa"/>
              <w:right w:w="57" w:type="dxa"/>
            </w:tcMar>
            <w:vAlign w:val="center"/>
          </w:tcPr>
          <w:p w14:paraId="3E1A16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r>
      <w:tr w14:paraId="798A82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14:paraId="625B5BEF">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restart"/>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BE89C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69454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both"/>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12E20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CB673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292D5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CB332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EEE11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B7C33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9ED7B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r>
      <w:tr w14:paraId="5B4756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14:paraId="5DB2705A">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12DCEBE">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83DE9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both"/>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A3565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5F01D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7F1CE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7F6E4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2FA34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B2E06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23FE8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kern w:val="0"/>
                <w:sz w:val="28"/>
                <w:szCs w:val="28"/>
                <w:lang w:val="en-US" w:eastAsia="zh-CN" w:bidi="ar"/>
              </w:rPr>
              <w:t>0</w:t>
            </w:r>
          </w:p>
        </w:tc>
      </w:tr>
      <w:tr w14:paraId="587127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14:paraId="367542B3">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997" w:type="dxa"/>
            <w:vMerge w:val="continue"/>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089CCFA">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35042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9C156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20B83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4E725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8530E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6DDF8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54963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04C97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r>
      <w:tr w14:paraId="72FE2F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14:paraId="356B9CDC">
            <w:pPr>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5820" w:type="dxa"/>
            <w:gridSpan w:val="2"/>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AE608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4CEF1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52E3D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31457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F49A1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88E1B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FEC83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0842A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r>
      <w:tr w14:paraId="639AFCB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BA97E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31CDF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E0745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4D43B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B465C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B87F5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24918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328E8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cs="仿宋_GB2312"/>
                <w:kern w:val="0"/>
                <w:sz w:val="28"/>
                <w:szCs w:val="28"/>
                <w:lang w:val="en-US" w:eastAsia="zh-CN" w:bidi="ar"/>
              </w:rPr>
              <w:t>0</w:t>
            </w:r>
          </w:p>
        </w:tc>
      </w:tr>
    </w:tbl>
    <w:p w14:paraId="0B14150A">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四、政府信息公开行政复议、行政诉讼情况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35FE415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191B5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4163C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行政诉讼</w:t>
            </w:r>
          </w:p>
        </w:tc>
      </w:tr>
      <w:tr w14:paraId="6F40A82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075F04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6EC9DD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结果</w:t>
            </w:r>
          </w:p>
          <w:p w14:paraId="4E7202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994BA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其他</w:t>
            </w:r>
          </w:p>
          <w:p w14:paraId="6A3CA0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C7B59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尚未</w:t>
            </w:r>
          </w:p>
          <w:p w14:paraId="17C63B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93B07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391D8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C2E9C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复议后起诉</w:t>
            </w:r>
          </w:p>
        </w:tc>
      </w:tr>
      <w:tr w14:paraId="188979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E02DA46">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B691678">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24C7104">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DF0FE4C">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4E0A44F">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楷体_GB2312" w:hAnsi="楷体_GB2312" w:eastAsia="楷体_GB2312" w:cs="楷体_GB2312"/>
                <w:b/>
                <w:bCs/>
                <w:sz w:val="28"/>
                <w:szCs w:val="28"/>
              </w:rPr>
            </w:pP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4A916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结果</w:t>
            </w:r>
          </w:p>
          <w:p w14:paraId="56A0C6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维持</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8C123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结果</w:t>
            </w:r>
          </w:p>
          <w:p w14:paraId="29977C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39C32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其他</w:t>
            </w:r>
          </w:p>
          <w:p w14:paraId="553F46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8E1C4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尚未</w:t>
            </w:r>
          </w:p>
          <w:p w14:paraId="7CBCB6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9696D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A55AF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结果</w:t>
            </w:r>
          </w:p>
          <w:p w14:paraId="511C46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A8AE6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结果</w:t>
            </w:r>
          </w:p>
          <w:p w14:paraId="17C20D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11AB7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color w:val="000000"/>
                <w:kern w:val="0"/>
                <w:sz w:val="28"/>
                <w:szCs w:val="28"/>
                <w:lang w:val="en-US" w:eastAsia="zh-CN" w:bidi="ar"/>
              </w:rPr>
            </w:pPr>
            <w:r>
              <w:rPr>
                <w:rFonts w:hint="eastAsia" w:ascii="楷体_GB2312" w:hAnsi="楷体_GB2312" w:eastAsia="楷体_GB2312" w:cs="楷体_GB2312"/>
                <w:b/>
                <w:bCs/>
                <w:color w:val="000000"/>
                <w:kern w:val="0"/>
                <w:sz w:val="28"/>
                <w:szCs w:val="28"/>
                <w:lang w:val="en-US" w:eastAsia="zh-CN" w:bidi="ar"/>
              </w:rPr>
              <w:t>其他</w:t>
            </w:r>
          </w:p>
          <w:p w14:paraId="7D364F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98E00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kern w:val="0"/>
                <w:sz w:val="28"/>
                <w:szCs w:val="28"/>
                <w:lang w:val="en-US" w:eastAsia="zh-CN" w:bidi="ar"/>
              </w:rPr>
            </w:pPr>
            <w:r>
              <w:rPr>
                <w:rFonts w:hint="eastAsia" w:ascii="楷体_GB2312" w:hAnsi="楷体_GB2312" w:eastAsia="楷体_GB2312" w:cs="楷体_GB2312"/>
                <w:b/>
                <w:bCs/>
                <w:kern w:val="0"/>
                <w:sz w:val="28"/>
                <w:szCs w:val="28"/>
                <w:lang w:val="en-US" w:eastAsia="zh-CN" w:bidi="ar"/>
              </w:rPr>
              <w:t>尚未</w:t>
            </w:r>
          </w:p>
          <w:p w14:paraId="226AB8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kern w:val="0"/>
                <w:sz w:val="28"/>
                <w:szCs w:val="28"/>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28E11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000000"/>
                <w:kern w:val="0"/>
                <w:sz w:val="28"/>
                <w:szCs w:val="28"/>
                <w:lang w:val="en-US" w:eastAsia="zh-CN" w:bidi="ar"/>
              </w:rPr>
              <w:t>总计</w:t>
            </w:r>
          </w:p>
        </w:tc>
      </w:tr>
      <w:tr w14:paraId="2C3DCB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1DF66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2"/>
                <w:szCs w:val="22"/>
              </w:rPr>
            </w:pPr>
            <w:r>
              <w:rPr>
                <w:rFonts w:hint="eastAsia" w:ascii="仿宋_GB2312" w:hAnsi="仿宋_GB2312" w:cs="仿宋_GB2312"/>
                <w:kern w:val="0"/>
                <w:sz w:val="22"/>
                <w:szCs w:val="22"/>
                <w:lang w:val="en-US" w:eastAsia="zh-CN" w:bidi="ar"/>
              </w:rPr>
              <w:t>0</w:t>
            </w:r>
            <w:r>
              <w:rPr>
                <w:rFonts w:hint="eastAsia" w:ascii="仿宋_GB2312" w:hAnsi="仿宋_GB2312" w:eastAsia="仿宋_GB2312" w:cs="仿宋_GB2312"/>
                <w:kern w:val="0"/>
                <w:sz w:val="22"/>
                <w:szCs w:val="22"/>
                <w:lang w:val="en-US" w:eastAsia="zh-CN" w:bidi="ar"/>
              </w:rPr>
              <w:t> </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C68D5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sz w:val="22"/>
                <w:szCs w:val="22"/>
                <w:lang w:val="en-US"/>
              </w:rPr>
            </w:pPr>
            <w:r>
              <w:rPr>
                <w:rFonts w:hint="eastAsia" w:ascii="仿宋_GB2312" w:hAnsi="仿宋_GB2312" w:eastAsia="仿宋_GB2312" w:cs="仿宋_GB2312"/>
                <w:kern w:val="0"/>
                <w:sz w:val="22"/>
                <w:szCs w:val="22"/>
                <w:lang w:val="en-US" w:eastAsia="zh-CN" w:bidi="ar"/>
              </w:rPr>
              <w:t> </w:t>
            </w:r>
            <w:r>
              <w:rPr>
                <w:rFonts w:hint="eastAsia" w:ascii="仿宋_GB2312" w:hAnsi="仿宋_GB2312" w:cs="仿宋_GB2312"/>
                <w:kern w:val="0"/>
                <w:sz w:val="22"/>
                <w:szCs w:val="22"/>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9525F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2"/>
                <w:szCs w:val="22"/>
              </w:rPr>
            </w:pPr>
            <w:r>
              <w:rPr>
                <w:rFonts w:hint="eastAsia" w:ascii="仿宋_GB2312" w:hAnsi="仿宋_GB2312" w:cs="仿宋_GB2312"/>
                <w:kern w:val="0"/>
                <w:sz w:val="22"/>
                <w:szCs w:val="22"/>
                <w:lang w:val="en-US" w:eastAsia="zh-CN" w:bidi="ar"/>
              </w:rPr>
              <w:t>0</w:t>
            </w:r>
            <w:r>
              <w:rPr>
                <w:rFonts w:hint="eastAsia" w:ascii="仿宋_GB2312" w:hAnsi="仿宋_GB2312" w:eastAsia="仿宋_GB2312" w:cs="仿宋_GB2312"/>
                <w:kern w:val="0"/>
                <w:sz w:val="22"/>
                <w:szCs w:val="22"/>
                <w:lang w:val="en-US" w:eastAsia="zh-CN" w:bidi="ar"/>
              </w:rPr>
              <w:t> </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04078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2"/>
                <w:szCs w:val="22"/>
              </w:rPr>
            </w:pPr>
            <w:r>
              <w:rPr>
                <w:rFonts w:hint="eastAsia" w:ascii="仿宋_GB2312" w:hAnsi="仿宋_GB2312" w:cs="仿宋_GB2312"/>
                <w:kern w:val="0"/>
                <w:sz w:val="22"/>
                <w:szCs w:val="22"/>
                <w:lang w:val="en-US" w:eastAsia="zh-CN" w:bidi="ar"/>
              </w:rPr>
              <w:t>0</w:t>
            </w:r>
            <w:r>
              <w:rPr>
                <w:rFonts w:hint="eastAsia" w:ascii="仿宋_GB2312" w:hAnsi="仿宋_GB2312" w:eastAsia="仿宋_GB2312" w:cs="仿宋_GB2312"/>
                <w:kern w:val="0"/>
                <w:sz w:val="22"/>
                <w:szCs w:val="22"/>
                <w:lang w:val="en-US" w:eastAsia="zh-CN" w:bidi="ar"/>
              </w:rPr>
              <w:t> </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3A158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2"/>
                <w:szCs w:val="22"/>
              </w:rPr>
            </w:pPr>
            <w:r>
              <w:rPr>
                <w:rFonts w:hint="eastAsia" w:ascii="仿宋_GB2312" w:hAnsi="仿宋_GB2312" w:cs="仿宋_GB2312"/>
                <w:kern w:val="0"/>
                <w:sz w:val="22"/>
                <w:szCs w:val="22"/>
                <w:lang w:val="en-US" w:eastAsia="zh-CN" w:bidi="ar"/>
              </w:rPr>
              <w:t>0</w:t>
            </w:r>
            <w:r>
              <w:rPr>
                <w:rFonts w:hint="eastAsia" w:ascii="仿宋_GB2312" w:hAnsi="仿宋_GB2312" w:eastAsia="仿宋_GB2312" w:cs="仿宋_GB2312"/>
                <w:kern w:val="0"/>
                <w:sz w:val="22"/>
                <w:szCs w:val="22"/>
                <w:lang w:val="en-US" w:eastAsia="zh-CN" w:bidi="ar"/>
              </w:rPr>
              <w:t> </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95906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2"/>
                <w:szCs w:val="22"/>
              </w:rPr>
            </w:pPr>
            <w:r>
              <w:rPr>
                <w:rFonts w:hint="eastAsia" w:ascii="仿宋_GB2312" w:hAnsi="仿宋_GB2312" w:cs="仿宋_GB2312"/>
                <w:kern w:val="0"/>
                <w:sz w:val="22"/>
                <w:szCs w:val="22"/>
                <w:lang w:val="en-US" w:eastAsia="zh-CN" w:bidi="ar"/>
              </w:rPr>
              <w:t>0</w:t>
            </w:r>
            <w:r>
              <w:rPr>
                <w:rFonts w:hint="eastAsia" w:ascii="仿宋_GB2312" w:hAnsi="仿宋_GB2312" w:eastAsia="仿宋_GB2312" w:cs="仿宋_GB2312"/>
                <w:kern w:val="0"/>
                <w:sz w:val="22"/>
                <w:szCs w:val="22"/>
                <w:lang w:val="en-US" w:eastAsia="zh-CN" w:bidi="ar"/>
              </w:rPr>
              <w:t> </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75AF5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sz w:val="22"/>
                <w:szCs w:val="22"/>
                <w:lang w:val="en-US"/>
              </w:rPr>
            </w:pPr>
            <w:r>
              <w:rPr>
                <w:rFonts w:hint="eastAsia" w:ascii="仿宋_GB2312" w:hAnsi="仿宋_GB2312" w:eastAsia="仿宋_GB2312" w:cs="仿宋_GB2312"/>
                <w:kern w:val="0"/>
                <w:sz w:val="22"/>
                <w:szCs w:val="22"/>
                <w:lang w:val="en-US" w:eastAsia="zh-CN" w:bidi="ar"/>
              </w:rPr>
              <w:t> </w:t>
            </w:r>
            <w:r>
              <w:rPr>
                <w:rFonts w:hint="eastAsia" w:ascii="仿宋_GB2312" w:hAnsi="仿宋_GB2312" w:cs="仿宋_GB2312"/>
                <w:kern w:val="0"/>
                <w:sz w:val="22"/>
                <w:szCs w:val="22"/>
                <w:lang w:val="en-US" w:eastAsia="zh-CN" w:bidi="ar"/>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508B9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2"/>
                <w:szCs w:val="22"/>
              </w:rPr>
            </w:pPr>
            <w:r>
              <w:rPr>
                <w:rFonts w:hint="eastAsia" w:ascii="仿宋_GB2312" w:hAnsi="仿宋_GB2312" w:cs="仿宋_GB2312"/>
                <w:kern w:val="0"/>
                <w:sz w:val="22"/>
                <w:szCs w:val="22"/>
                <w:lang w:val="en-US" w:eastAsia="zh-CN" w:bidi="ar"/>
              </w:rPr>
              <w:t>0</w:t>
            </w:r>
            <w:r>
              <w:rPr>
                <w:rFonts w:hint="eastAsia" w:ascii="仿宋_GB2312" w:hAnsi="仿宋_GB2312" w:eastAsia="仿宋_GB2312" w:cs="仿宋_GB2312"/>
                <w:kern w:val="0"/>
                <w:sz w:val="22"/>
                <w:szCs w:val="22"/>
                <w:lang w:val="en-US" w:eastAsia="zh-CN" w:bidi="ar"/>
              </w:rPr>
              <w:t> </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1E77F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2"/>
                <w:szCs w:val="22"/>
              </w:rPr>
            </w:pPr>
            <w:r>
              <w:rPr>
                <w:rFonts w:hint="eastAsia" w:ascii="仿宋_GB2312" w:hAnsi="仿宋_GB2312" w:cs="仿宋_GB2312"/>
                <w:kern w:val="0"/>
                <w:sz w:val="22"/>
                <w:szCs w:val="22"/>
                <w:lang w:val="en-US" w:eastAsia="zh-CN" w:bidi="ar"/>
              </w:rPr>
              <w:t>0</w:t>
            </w:r>
            <w:r>
              <w:rPr>
                <w:rFonts w:hint="eastAsia" w:ascii="仿宋_GB2312" w:hAnsi="仿宋_GB2312" w:eastAsia="仿宋_GB2312" w:cs="仿宋_GB2312"/>
                <w:kern w:val="0"/>
                <w:sz w:val="22"/>
                <w:szCs w:val="22"/>
                <w:lang w:val="en-US" w:eastAsia="zh-CN" w:bidi="ar"/>
              </w:rPr>
              <w:t> </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14:paraId="57948C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sz w:val="22"/>
                <w:szCs w:val="22"/>
                <w:lang w:val="en-US"/>
              </w:rPr>
            </w:pPr>
            <w:r>
              <w:rPr>
                <w:rFonts w:hint="eastAsia" w:ascii="仿宋_GB2312" w:hAnsi="仿宋_GB2312" w:eastAsia="仿宋_GB2312" w:cs="仿宋_GB2312"/>
                <w:kern w:val="0"/>
                <w:sz w:val="22"/>
                <w:szCs w:val="22"/>
                <w:lang w:val="en-US" w:eastAsia="zh-CN" w:bidi="ar"/>
              </w:rPr>
              <w:t> </w:t>
            </w:r>
            <w:r>
              <w:rPr>
                <w:rFonts w:hint="eastAsia" w:ascii="仿宋_GB2312" w:hAnsi="仿宋_GB2312" w:cs="仿宋_GB2312"/>
                <w:kern w:val="0"/>
                <w:sz w:val="22"/>
                <w:szCs w:val="22"/>
                <w:lang w:val="en-US" w:eastAsia="zh-CN" w:bidi="ar"/>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637E1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sz w:val="22"/>
                <w:szCs w:val="22"/>
                <w:lang w:val="en-US"/>
              </w:rPr>
            </w:pPr>
            <w:r>
              <w:rPr>
                <w:rFonts w:hint="eastAsia" w:ascii="仿宋_GB2312" w:hAnsi="仿宋_GB2312" w:eastAsia="仿宋_GB2312" w:cs="仿宋_GB2312"/>
                <w:kern w:val="0"/>
                <w:sz w:val="22"/>
                <w:szCs w:val="22"/>
                <w:lang w:val="en-US" w:eastAsia="zh-CN" w:bidi="ar"/>
              </w:rPr>
              <w:t> </w:t>
            </w:r>
            <w:r>
              <w:rPr>
                <w:rFonts w:hint="eastAsia" w:ascii="仿宋_GB2312" w:hAnsi="仿宋_GB2312" w:cs="仿宋_GB2312"/>
                <w:kern w:val="0"/>
                <w:sz w:val="22"/>
                <w:szCs w:val="22"/>
                <w:lang w:val="en-US" w:eastAsia="zh-CN" w:bidi="ar"/>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534CC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2"/>
                <w:szCs w:val="22"/>
              </w:rPr>
            </w:pPr>
            <w:r>
              <w:rPr>
                <w:rFonts w:hint="eastAsia" w:ascii="仿宋_GB2312" w:hAnsi="仿宋_GB2312" w:cs="仿宋_GB2312"/>
                <w:kern w:val="0"/>
                <w:sz w:val="22"/>
                <w:szCs w:val="22"/>
                <w:lang w:val="en-US" w:eastAsia="zh-CN" w:bidi="ar"/>
              </w:rPr>
              <w:t>0</w:t>
            </w:r>
            <w:r>
              <w:rPr>
                <w:rFonts w:hint="eastAsia" w:ascii="仿宋_GB2312" w:hAnsi="仿宋_GB2312" w:eastAsia="仿宋_GB2312" w:cs="仿宋_GB2312"/>
                <w:kern w:val="0"/>
                <w:sz w:val="22"/>
                <w:szCs w:val="22"/>
                <w:lang w:val="en-US" w:eastAsia="zh-CN" w:bidi="ar"/>
              </w:rPr>
              <w:t> </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FD196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2"/>
                <w:szCs w:val="22"/>
              </w:rPr>
            </w:pPr>
            <w:r>
              <w:rPr>
                <w:rFonts w:hint="eastAsia" w:ascii="仿宋_GB2312" w:hAnsi="仿宋_GB2312" w:cs="仿宋_GB2312"/>
                <w:kern w:val="0"/>
                <w:sz w:val="22"/>
                <w:szCs w:val="22"/>
                <w:lang w:val="en-US" w:eastAsia="zh-CN" w:bidi="ar"/>
              </w:rPr>
              <w:t>0</w:t>
            </w:r>
            <w:r>
              <w:rPr>
                <w:rFonts w:hint="eastAsia" w:ascii="仿宋_GB2312" w:hAnsi="仿宋_GB2312" w:eastAsia="仿宋_GB2312" w:cs="仿宋_GB2312"/>
                <w:kern w:val="0"/>
                <w:sz w:val="22"/>
                <w:szCs w:val="22"/>
                <w:lang w:val="en-US" w:eastAsia="zh-CN" w:bidi="ar"/>
              </w:rPr>
              <w:t> </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53288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sz w:val="22"/>
                <w:szCs w:val="22"/>
              </w:rPr>
            </w:pPr>
            <w:r>
              <w:rPr>
                <w:rFonts w:hint="eastAsia" w:ascii="仿宋_GB2312" w:hAnsi="仿宋_GB2312" w:cs="仿宋_GB2312"/>
                <w:kern w:val="0"/>
                <w:sz w:val="22"/>
                <w:szCs w:val="22"/>
                <w:lang w:val="en-US" w:eastAsia="zh-CN" w:bidi="ar"/>
              </w:rPr>
              <w:t>0</w:t>
            </w:r>
            <w:r>
              <w:rPr>
                <w:rFonts w:hint="eastAsia" w:ascii="仿宋_GB2312" w:hAnsi="仿宋_GB2312" w:eastAsia="仿宋_GB2312" w:cs="仿宋_GB2312"/>
                <w:kern w:val="0"/>
                <w:sz w:val="22"/>
                <w:szCs w:val="22"/>
                <w:lang w:val="en-US" w:eastAsia="zh-CN" w:bidi="ar"/>
              </w:rPr>
              <w:t> </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210CD33">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sz w:val="22"/>
                <w:szCs w:val="22"/>
                <w:lang w:val="en-US" w:eastAsia="zh-CN"/>
              </w:rPr>
            </w:pPr>
            <w:r>
              <w:rPr>
                <w:rFonts w:hint="eastAsia" w:ascii="仿宋_GB2312" w:hAnsi="仿宋_GB2312" w:cs="仿宋_GB2312"/>
                <w:sz w:val="22"/>
                <w:szCs w:val="22"/>
                <w:lang w:val="en-US" w:eastAsia="zh-CN"/>
              </w:rPr>
              <w:t>0</w:t>
            </w:r>
          </w:p>
        </w:tc>
      </w:tr>
    </w:tbl>
    <w:p w14:paraId="4E4E7F18">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left"/>
        <w:textAlignment w:val="auto"/>
        <w:rPr>
          <w:rFonts w:ascii="Calibri" w:hAnsi="Calibri" w:eastAsia="宋体" w:cs="Times New Roman"/>
          <w:sz w:val="21"/>
          <w:szCs w:val="24"/>
        </w:rPr>
      </w:pPr>
    </w:p>
    <w:p w14:paraId="68905894">
      <w:pPr>
        <w:pStyle w:val="2"/>
        <w:keepNext w:val="0"/>
        <w:keepLines w:val="0"/>
        <w:pageBreakBefore w:val="0"/>
        <w:numPr>
          <w:numId w:val="0"/>
        </w:numPr>
        <w:wordWrap/>
        <w:overflowPunct/>
        <w:topLinePunct w:val="0"/>
        <w:bidi w:val="0"/>
        <w:spacing w:line="560" w:lineRule="exact"/>
        <w:ind w:firstLine="640" w:firstLineChars="200"/>
        <w:rPr>
          <w:rFonts w:hint="default"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五、存在的主要问题及改进情况</w:t>
      </w:r>
    </w:p>
    <w:p w14:paraId="3EF9BCFB">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textAlignment w:val="baseline"/>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b/>
          <w:bCs/>
          <w:kern w:val="0"/>
          <w:sz w:val="32"/>
          <w:szCs w:val="32"/>
          <w:lang w:val="en-US" w:eastAsia="zh-CN" w:bidi="ar"/>
        </w:rPr>
        <w:t>存在问题：</w:t>
      </w:r>
      <w:r>
        <w:rPr>
          <w:rFonts w:hint="eastAsia" w:ascii="方正仿宋_GB2312" w:hAnsi="方正仿宋_GB2312" w:eastAsia="方正仿宋_GB2312" w:cs="方正仿宋_GB2312"/>
          <w:kern w:val="0"/>
          <w:sz w:val="32"/>
          <w:szCs w:val="32"/>
          <w:lang w:val="en-US" w:eastAsia="zh-CN" w:bidi="ar"/>
        </w:rPr>
        <w:t>一是工作存在不严谨的问题，工作人员在完成政务信息公开工作时，疏忽大意、不够细心，工作浮于表面，做好政务公开工作的责任感不够强。二是审核制度落实不到位。政务公开信息发布流程未严格落实审核制度，没有做好信息上传前的审核把关，只走过场不走心，忽视审查程序的重要作用。</w:t>
      </w:r>
    </w:p>
    <w:p w14:paraId="03DEDD05">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textAlignment w:val="baseline"/>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b/>
          <w:bCs/>
          <w:kern w:val="0"/>
          <w:sz w:val="32"/>
          <w:szCs w:val="32"/>
          <w:lang w:val="en-US" w:eastAsia="zh-CN" w:bidi="ar"/>
        </w:rPr>
        <w:t>改进措施：</w:t>
      </w:r>
      <w:r>
        <w:rPr>
          <w:rFonts w:hint="eastAsia" w:ascii="方正仿宋_GB2312" w:hAnsi="方正仿宋_GB2312" w:eastAsia="方正仿宋_GB2312" w:cs="方正仿宋_GB2312"/>
          <w:kern w:val="0"/>
          <w:sz w:val="32"/>
          <w:szCs w:val="32"/>
          <w:lang w:val="en-US" w:eastAsia="zh-CN" w:bidi="ar"/>
        </w:rPr>
        <w:t>一是加强安全教育培训。结合具体业务工作，对镇政务公开工作方面存在的隐患进行排查梳理，找出有针对性</w:t>
      </w:r>
      <w:bookmarkStart w:id="0" w:name="_GoBack"/>
      <w:r>
        <w:rPr>
          <w:rFonts w:hint="eastAsia" w:ascii="方正仿宋_GB2312" w:hAnsi="方正仿宋_GB2312" w:eastAsia="方正仿宋_GB2312" w:cs="方正仿宋_GB2312"/>
          <w:kern w:val="0"/>
          <w:sz w:val="32"/>
          <w:szCs w:val="32"/>
          <w:lang w:val="en-US" w:eastAsia="zh-CN" w:bidi="ar"/>
        </w:rPr>
        <w:t>的</w:t>
      </w:r>
      <w:bookmarkEnd w:id="0"/>
      <w:r>
        <w:rPr>
          <w:rFonts w:hint="eastAsia" w:ascii="方正仿宋_GB2312" w:hAnsi="方正仿宋_GB2312" w:eastAsia="方正仿宋_GB2312" w:cs="方正仿宋_GB2312"/>
          <w:kern w:val="0"/>
          <w:sz w:val="32"/>
          <w:szCs w:val="32"/>
          <w:lang w:val="en-US" w:eastAsia="zh-CN" w:bidi="ar"/>
        </w:rPr>
        <w:t>解决措施。同时</w:t>
      </w:r>
      <w:r>
        <w:rPr>
          <w:rFonts w:hint="eastAsia" w:ascii="方正仿宋_GB2312" w:hAnsi="方正仿宋_GB2312" w:eastAsia="方正仿宋_GB2312" w:cs="方正仿宋_GB2312"/>
          <w:kern w:val="0"/>
          <w:sz w:val="32"/>
          <w:szCs w:val="32"/>
          <w:lang w:val="en-US" w:eastAsia="en-US" w:bidi="ar"/>
        </w:rPr>
        <w:t>组织</w:t>
      </w:r>
      <w:r>
        <w:rPr>
          <w:rFonts w:hint="eastAsia" w:ascii="方正仿宋_GB2312" w:hAnsi="方正仿宋_GB2312" w:eastAsia="方正仿宋_GB2312" w:cs="方正仿宋_GB2312"/>
          <w:kern w:val="0"/>
          <w:sz w:val="32"/>
          <w:szCs w:val="32"/>
          <w:lang w:val="en-US" w:eastAsia="zh-CN" w:bidi="ar"/>
        </w:rPr>
        <w:t>镇、村两级有关</w:t>
      </w:r>
      <w:r>
        <w:rPr>
          <w:rFonts w:hint="eastAsia" w:ascii="方正仿宋_GB2312" w:hAnsi="方正仿宋_GB2312" w:eastAsia="方正仿宋_GB2312" w:cs="方正仿宋_GB2312"/>
          <w:kern w:val="0"/>
          <w:sz w:val="32"/>
          <w:szCs w:val="32"/>
          <w:lang w:val="en-US" w:eastAsia="en-US" w:bidi="ar"/>
        </w:rPr>
        <w:t>工作人员参加教育</w:t>
      </w:r>
      <w:r>
        <w:rPr>
          <w:rFonts w:hint="eastAsia" w:ascii="方正仿宋_GB2312" w:hAnsi="方正仿宋_GB2312" w:eastAsia="方正仿宋_GB2312" w:cs="方正仿宋_GB2312"/>
          <w:kern w:val="0"/>
          <w:sz w:val="32"/>
          <w:szCs w:val="32"/>
          <w:lang w:val="en-US" w:eastAsia="zh-CN" w:bidi="ar"/>
        </w:rPr>
        <w:t>培训</w:t>
      </w:r>
      <w:r>
        <w:rPr>
          <w:rFonts w:hint="eastAsia" w:ascii="方正仿宋_GB2312" w:hAnsi="方正仿宋_GB2312" w:eastAsia="方正仿宋_GB2312" w:cs="方正仿宋_GB2312"/>
          <w:kern w:val="0"/>
          <w:sz w:val="32"/>
          <w:szCs w:val="32"/>
          <w:lang w:val="en-US" w:eastAsia="en-US" w:bidi="ar"/>
        </w:rPr>
        <w:t>，</w:t>
      </w:r>
      <w:r>
        <w:rPr>
          <w:rFonts w:hint="eastAsia" w:ascii="方正仿宋_GB2312" w:hAnsi="方正仿宋_GB2312" w:eastAsia="方正仿宋_GB2312" w:cs="方正仿宋_GB2312"/>
          <w:kern w:val="0"/>
          <w:sz w:val="32"/>
          <w:szCs w:val="32"/>
          <w:lang w:val="en-US" w:eastAsia="zh-CN" w:bidi="ar"/>
        </w:rPr>
        <w:t>进一步增强其</w:t>
      </w:r>
      <w:r>
        <w:rPr>
          <w:rFonts w:hint="eastAsia" w:ascii="方正仿宋_GB2312" w:hAnsi="方正仿宋_GB2312" w:eastAsia="方正仿宋_GB2312" w:cs="方正仿宋_GB2312"/>
          <w:kern w:val="0"/>
          <w:sz w:val="32"/>
          <w:szCs w:val="32"/>
          <w:lang w:val="en-US" w:eastAsia="en-US" w:bidi="ar"/>
        </w:rPr>
        <w:t>个人</w:t>
      </w:r>
      <w:r>
        <w:rPr>
          <w:rFonts w:hint="eastAsia" w:ascii="方正仿宋_GB2312" w:hAnsi="方正仿宋_GB2312" w:eastAsia="方正仿宋_GB2312" w:cs="方正仿宋_GB2312"/>
          <w:kern w:val="0"/>
          <w:sz w:val="32"/>
          <w:szCs w:val="32"/>
          <w:lang w:val="en-US" w:eastAsia="zh-CN" w:bidi="ar"/>
        </w:rPr>
        <w:t>工作</w:t>
      </w:r>
      <w:r>
        <w:rPr>
          <w:rFonts w:hint="eastAsia" w:ascii="方正仿宋_GB2312" w:hAnsi="方正仿宋_GB2312" w:eastAsia="方正仿宋_GB2312" w:cs="方正仿宋_GB2312"/>
          <w:kern w:val="0"/>
          <w:sz w:val="32"/>
          <w:szCs w:val="32"/>
          <w:lang w:val="en-US" w:eastAsia="en-US" w:bidi="ar"/>
        </w:rPr>
        <w:t>能力建设。</w:t>
      </w:r>
      <w:r>
        <w:rPr>
          <w:rFonts w:hint="eastAsia" w:ascii="方正仿宋_GB2312" w:hAnsi="方正仿宋_GB2312" w:eastAsia="方正仿宋_GB2312" w:cs="方正仿宋_GB2312"/>
          <w:kern w:val="0"/>
          <w:sz w:val="32"/>
          <w:szCs w:val="32"/>
          <w:lang w:val="en-US" w:eastAsia="zh-CN" w:bidi="ar"/>
        </w:rPr>
        <w:t>二是强化信息公开审查。</w:t>
      </w:r>
      <w:r>
        <w:rPr>
          <w:rFonts w:hint="eastAsia" w:ascii="方正仿宋_GB2312" w:hAnsi="方正仿宋_GB2312" w:eastAsia="方正仿宋_GB2312" w:cs="方正仿宋_GB2312"/>
          <w:kern w:val="0"/>
          <w:sz w:val="32"/>
          <w:szCs w:val="32"/>
          <w:lang w:val="en-US" w:eastAsia="en-US" w:bidi="ar"/>
        </w:rPr>
        <w:t>严格对标对表，落实信息公开审查责任</w:t>
      </w:r>
      <w:r>
        <w:rPr>
          <w:rFonts w:hint="eastAsia" w:ascii="方正仿宋_GB2312" w:hAnsi="方正仿宋_GB2312" w:eastAsia="方正仿宋_GB2312" w:cs="方正仿宋_GB2312"/>
          <w:kern w:val="0"/>
          <w:sz w:val="32"/>
          <w:szCs w:val="32"/>
          <w:lang w:val="en-US" w:eastAsia="zh-CN" w:bidi="ar"/>
        </w:rPr>
        <w:t>，按照上级各项工作要求，抓好相关责任人责任，明确审查流程把个人信息安全保护落到实处。</w:t>
      </w:r>
    </w:p>
    <w:p w14:paraId="62EDD2E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Autospacing="0" w:afterAutospacing="0" w:line="560" w:lineRule="exact"/>
        <w:ind w:left="0" w:right="0" w:firstLine="640" w:firstLineChars="200"/>
        <w:jc w:val="both"/>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六、其他需要报告的事项</w:t>
      </w:r>
    </w:p>
    <w:p w14:paraId="57F2C0B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Autospacing="0" w:afterAutospacing="0" w:line="560" w:lineRule="exact"/>
        <w:ind w:left="0" w:right="0" w:firstLine="640" w:firstLineChars="200"/>
        <w:jc w:val="left"/>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本年度，我镇严格按照有关规定，未收取任何政府信息处理费。</w:t>
      </w:r>
    </w:p>
    <w:p w14:paraId="32128F85">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方正仿宋_GB2312" w:hAnsi="方正仿宋_GB2312" w:eastAsia="方正仿宋_GB2312" w:cs="方正仿宋_GB2312"/>
          <w:kern w:val="0"/>
          <w:sz w:val="32"/>
          <w:szCs w:val="32"/>
          <w:lang w:val="en-US" w:eastAsia="zh-CN" w:bidi="ar"/>
        </w:rPr>
      </w:pPr>
    </w:p>
    <w:p w14:paraId="5BC8CCE5">
      <w:pPr>
        <w:keepNext w:val="0"/>
        <w:keepLines w:val="0"/>
        <w:pageBreakBefore w:val="0"/>
        <w:widowControl/>
        <w:numPr>
          <w:numId w:val="0"/>
        </w:numPr>
        <w:suppressLineNumbers w:val="0"/>
        <w:kinsoku/>
        <w:wordWrap/>
        <w:overflowPunct/>
        <w:topLinePunct w:val="0"/>
        <w:autoSpaceDE/>
        <w:autoSpaceDN/>
        <w:bidi w:val="0"/>
        <w:adjustRightInd/>
        <w:snapToGrid/>
        <w:spacing w:line="560" w:lineRule="exact"/>
        <w:ind w:leftChars="200"/>
        <w:jc w:val="left"/>
        <w:textAlignment w:val="auto"/>
        <w:rPr>
          <w:rFonts w:hint="default" w:ascii="方正楷体_GB2312" w:hAnsi="方正楷体_GB2312" w:eastAsia="方正楷体_GB2312" w:cs="方正楷体_GB2312"/>
          <w:b/>
          <w:bCs/>
          <w:kern w:val="0"/>
          <w:sz w:val="32"/>
          <w:szCs w:val="32"/>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596E8AD-7EA5-42D7-B768-B2CD6506047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C6A8A03-3776-4447-8D82-DD0E258941A5}"/>
  </w:font>
  <w:font w:name="方正小标宋简体">
    <w:panose1 w:val="02000000000000000000"/>
    <w:charset w:val="86"/>
    <w:family w:val="auto"/>
    <w:pitch w:val="default"/>
    <w:sig w:usb0="00000001" w:usb1="08000000" w:usb2="00000000" w:usb3="00000000" w:csb0="00040000" w:csb1="00000000"/>
    <w:embedRegular r:id="rId3" w:fontKey="{FF5BB0F4-971B-4441-9DB4-C5F6D6B2B625}"/>
  </w:font>
  <w:font w:name="方正仿宋_GB2312">
    <w:panose1 w:val="02000000000000000000"/>
    <w:charset w:val="86"/>
    <w:family w:val="auto"/>
    <w:pitch w:val="default"/>
    <w:sig w:usb0="A00002BF" w:usb1="184F6CFA" w:usb2="00000012" w:usb3="00000000" w:csb0="00040001" w:csb1="00000000"/>
    <w:embedRegular r:id="rId4" w:fontKey="{5FC57B60-04DB-488B-9075-6EBA7698B926}"/>
  </w:font>
  <w:font w:name="仿宋">
    <w:panose1 w:val="02010609060101010101"/>
    <w:charset w:val="86"/>
    <w:family w:val="auto"/>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embedRegular r:id="rId5" w:fontKey="{ACEC2005-4719-42DF-8253-BAB3CA85123F}"/>
  </w:font>
  <w:font w:name="仿宋_GB2312">
    <w:altName w:val="仿宋"/>
    <w:panose1 w:val="00000000000000000000"/>
    <w:charset w:val="00"/>
    <w:family w:val="auto"/>
    <w:pitch w:val="default"/>
    <w:sig w:usb0="00000000" w:usb1="00000000" w:usb2="00000000" w:usb3="00000000" w:csb0="00000000" w:csb1="00000000"/>
    <w:embedRegular r:id="rId6" w:fontKey="{BA8E1F41-82E2-4598-BEBE-9BBEC765C92C}"/>
  </w:font>
  <w:font w:name="仿宋_GB2312">
    <w:altName w:val="仿宋"/>
    <w:panose1 w:val="02010609030101010101"/>
    <w:charset w:val="86"/>
    <w:family w:val="modern"/>
    <w:pitch w:val="default"/>
    <w:sig w:usb0="00000000" w:usb1="00000000" w:usb2="00000000" w:usb3="00000000" w:csb0="00040000" w:csb1="00000000"/>
    <w:embedRegular r:id="rId7" w:fontKey="{D262E4CB-A6E3-4E78-8B8D-814921447B5E}"/>
  </w:font>
  <w:font w:name="楷体_GB2312">
    <w:altName w:val="楷体"/>
    <w:panose1 w:val="02010609030101010101"/>
    <w:charset w:val="86"/>
    <w:family w:val="auto"/>
    <w:pitch w:val="default"/>
    <w:sig w:usb0="00000000" w:usb1="00000000" w:usb2="00000000" w:usb3="00000000" w:csb0="00040000" w:csb1="00000000"/>
    <w:embedRegular r:id="rId8" w:fontKey="{93D061C6-23C9-43F3-81B2-F508E03F6A3A}"/>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E3750D"/>
    <w:multiLevelType w:val="singleLevel"/>
    <w:tmpl w:val="AFE3750D"/>
    <w:lvl w:ilvl="0" w:tentative="0">
      <w:start w:val="1"/>
      <w:numFmt w:val="chineseCounting"/>
      <w:suff w:val="nothing"/>
      <w:lvlText w:val="（%1）"/>
      <w:lvlJc w:val="left"/>
      <w:rPr>
        <w:rFonts w:hint="eastAsia"/>
      </w:rPr>
    </w:lvl>
  </w:abstractNum>
  <w:abstractNum w:abstractNumId="1">
    <w:nsid w:val="4B0F8D5A"/>
    <w:multiLevelType w:val="singleLevel"/>
    <w:tmpl w:val="4B0F8D5A"/>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CE60D7"/>
    <w:rsid w:val="6BCE60D7"/>
    <w:rsid w:val="7EF35C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正文文本缩进 31"/>
    <w:basedOn w:val="1"/>
    <w:qFormat/>
    <w:uiPriority w:val="0"/>
    <w:pPr>
      <w:ind w:left="420" w:leftChars="200"/>
    </w:pPr>
    <w:rPr>
      <w:rFonts w:eastAsia="仿宋"/>
      <w:sz w:val="16"/>
      <w:szCs w:val="16"/>
    </w:rPr>
  </w:style>
  <w:style w:type="paragraph" w:styleId="4">
    <w:name w:val="Body Text"/>
    <w:basedOn w:val="1"/>
    <w:semiHidden/>
    <w:qFormat/>
    <w:uiPriority w:val="0"/>
    <w:rPr>
      <w:rFonts w:ascii="仿宋" w:hAnsi="仿宋" w:eastAsia="仿宋" w:cs="仿宋"/>
      <w:sz w:val="27"/>
      <w:szCs w:val="27"/>
      <w:lang w:val="en-US" w:eastAsia="en-US"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edd39560-6a30-4077-a1f5-50baa0c6469e</errorID>
      <errorWord>,</errorWord>
      <group>L1_Format</group>
      <groupName>格式问题</groupName>
      <ability>L2_HalfPunc</ability>
      <abilityName>全半角检查</abilityName>
      <candidateList>
        <item>，</item>
      </candidateList>
      <explain>文本全半角错误。</explain>
      <paraID>5E6AFBCC</paraID>
      <start>31</start>
      <end>32</end>
      <status>modified</status>
      <modifiedWord>，</modifiedWord>
      <trackRevisions>false</trackRevisions>
    </reviewItem>
    <reviewItem>
      <errorID>8decdc3e-402c-4a09-8fa9-4c42cc186a6a</errorID>
      <errorWord>,</errorWord>
      <group>L1_Format</group>
      <groupName>格式问题</groupName>
      <ability>L2_HalfPunc</ability>
      <abilityName>全半角检查</abilityName>
      <candidateList>
        <item>，</item>
      </candidateList>
      <explain>文本全半角错误。</explain>
      <paraID>5E6AFBCC</paraID>
      <start>160</start>
      <end>161</end>
      <status>modified</status>
      <modifiedWord>，</modifiedWord>
      <trackRevisions>false</trackRevisions>
    </reviewItem>
    <reviewItem>
      <errorID>de84cb38-c443-4299-9836-7f77607d4c43</errorID>
      <errorWord>,</errorWord>
      <group>L1_Format</group>
      <groupName>格式问题</groupName>
      <ability>L2_HalfPunc</ability>
      <abilityName>全半角检查</abilityName>
      <candidateList>
        <item>，</item>
      </candidateList>
      <explain>文本全半角错误。</explain>
      <paraID>5E6AFBCC</paraID>
      <start>207</start>
      <end>208</end>
      <status>modified</status>
      <modifiedWord>，</modifiedWord>
      <trackRevisions>false</trackRevisions>
    </reviewItem>
    <reviewItem>
      <errorID>5c249b2d-817c-4be6-8cab-fae2930e6f12</errorID>
      <errorWord>"</errorWord>
      <group>L1_Format</group>
      <groupName>格式问题</groupName>
      <ability>L2_HalfPunc</ability>
      <abilityName>全半角检查</abilityName>
      <candidateList>
        <item>“</item>
      </candidateList>
      <explain>文本全半角错误。</explain>
      <paraID>436E3CB2</paraID>
      <start>30</start>
      <end>31</end>
      <status>modified</status>
      <modifiedWord>“</modifiedWord>
      <trackRevisions>false</trackRevisions>
    </reviewItem>
    <reviewItem>
      <errorID>f1c85546-20eb-4b28-bba5-8804e856d17b</errorID>
      <errorWord>"</errorWord>
      <group>L1_Format</group>
      <groupName>格式问题</groupName>
      <ability>L2_HalfPunc</ability>
      <abilityName>全半角检查</abilityName>
      <candidateList>
        <item>”</item>
      </candidateList>
      <explain>文本全半角错误。</explain>
      <paraID>436E3CB2</paraID>
      <start>50</start>
      <end>51</end>
      <status>modified</status>
      <modifiedWord>”</modifiedWord>
      <trackRevisions>false</trackRevisions>
    </reviewItem>
    <reviewItem>
      <errorID>f9c8018c-16d1-4a2e-9b55-8cef9b7f0e1e</errorID>
      <errorWord>地</errorWord>
      <group>L1_Word</group>
      <groupName>字词问题</groupName>
      <ability>L2_DDD</ability>
      <abilityName>的地得用法</abilityName>
      <candidateList>
        <item>的</item>
      </candidateList>
      <explain>“的”常用于连接修饰语与名词性中心语，表示属性、所属或描述。</explain>
      <paraID> 3DEDD05</paraID>
      <start>53</start>
      <end>54</end>
      <status>modified</status>
      <modifiedWord>的</modifiedWord>
      <trackRevisions>false</trackRevisions>
    </reviewItem>
  </reviewItems>
  <config/>
</contractReview>
</file>

<file path=customXml/itemProps1.xml><?xml version="1.0" encoding="utf-8"?>
<ds:datastoreItem xmlns:ds="http://schemas.openxmlformats.org/officeDocument/2006/customXml" ds:itemID="{4ffbd344-170d-4705-9254-68a9ee9cc75c}">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3</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2026-01-07T01:46:00Z</dcterms:created>
  <dc:creator>浮生</dc:creator>
  <cp:lastModifiedBy>浮生</cp:lastModifiedBy>
  <dcterms:modified xsi:type="dcterms:W3CDTF">2026-01-07T02:57:26Z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1E190214948045AD9648D2E4CB938096_11</vt:lpwstr>
  </property>
  <property fmtid="{D5CDD505-2E9C-101B-9397-08002B2CF9AE}" pid="4" name="KSOTemplateDocerSaveRecord">
    <vt:lpwstr>eyJoZGlkIjoiY2I5MmYwYTAyZTRiMGQxZjdkOWJlNTU5YmVlYmZkOWEiLCJ1c2VySWQiOiIzMzE0NjIwNTIifQ==</vt:lpwstr>
  </property>
</Properties>
</file>