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高安市公安局202</w:t>
      </w:r>
      <w:r>
        <w:rPr>
          <w:rFonts w:hint="eastAsia" w:ascii="方正小标宋简体" w:hAnsi="方正小标宋简体" w:eastAsia="方正小标宋简体" w:cs="方正小标宋简体"/>
          <w:b w:val="0"/>
          <w:bCs w:val="0"/>
          <w:i w:val="0"/>
          <w:iCs w:val="0"/>
          <w:caps w:val="0"/>
          <w:color w:val="auto"/>
          <w:spacing w:val="0"/>
          <w:sz w:val="44"/>
          <w:szCs w:val="44"/>
          <w:lang w:val="en-US" w:eastAsia="zh-CN"/>
        </w:rPr>
        <w:t>2</w:t>
      </w:r>
      <w:r>
        <w:rPr>
          <w:rFonts w:hint="eastAsia" w:ascii="方正小标宋简体" w:hAnsi="方正小标宋简体" w:eastAsia="方正小标宋简体" w:cs="方正小标宋简体"/>
          <w:b w:val="0"/>
          <w:bCs w:val="0"/>
          <w:i w:val="0"/>
          <w:iCs w:val="0"/>
          <w:caps w:val="0"/>
          <w:color w:val="auto"/>
          <w:spacing w:val="0"/>
          <w:sz w:val="44"/>
          <w:szCs w:val="44"/>
        </w:rPr>
        <w:t>年政府信息公开工作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年度报告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color w:val="auto"/>
          <w:sz w:val="24"/>
          <w:szCs w:val="24"/>
        </w:rPr>
      </w:pPr>
      <w:r>
        <w:rPr>
          <w:rFonts w:ascii="仿宋" w:hAnsi="仿宋" w:eastAsia="仿宋" w:cs="仿宋"/>
          <w:i w:val="0"/>
          <w:iCs w:val="0"/>
          <w:caps w:val="0"/>
          <w:color w:val="auto"/>
          <w:spacing w:val="0"/>
          <w:sz w:val="32"/>
          <w:szCs w:val="32"/>
        </w:rPr>
        <w:t>   </w:t>
      </w:r>
      <w:r>
        <w:rPr>
          <w:rFonts w:hint="eastAsia" w:ascii="仿宋_GB2312" w:hAnsi="仿宋_GB2312" w:eastAsia="仿宋_GB2312" w:cs="仿宋_GB2312"/>
          <w:i w:val="0"/>
          <w:iCs w:val="0"/>
          <w:caps w:val="0"/>
          <w:color w:val="auto"/>
          <w:spacing w:val="0"/>
          <w:sz w:val="32"/>
          <w:szCs w:val="32"/>
          <w:shd w:val="clear" w:fill="FFFFFF"/>
        </w:rPr>
        <w:t>本报告依据《中华人民共和国政府信息公开条例》（国务院令第711号，以下简称新《条例》）和《国务院办公厅政府信息与政务公开办公室关于政府信息公开工作年度报告有关事项的通知》（国办公开办函〔2019〕60号）要求，由高安市公安局结合有关统计数据编制。本年度报告中所列数据的统计期限自202</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年1月1日起至202</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iCs w:val="0"/>
          <w:caps w:val="0"/>
          <w:color w:val="auto"/>
          <w:spacing w:val="0"/>
          <w:sz w:val="32"/>
          <w:szCs w:val="32"/>
          <w:shd w:val="clear" w:fill="FFFFFF"/>
          <w:lang w:val="en-US" w:eastAsia="zh-CN"/>
        </w:rPr>
        <w:t>文末附件</w:t>
      </w:r>
      <w:r>
        <w:rPr>
          <w:rFonts w:hint="eastAsia" w:ascii="仿宋_GB2312" w:hAnsi="仿宋_GB2312" w:eastAsia="仿宋_GB2312" w:cs="仿宋_GB2312"/>
          <w:i w:val="0"/>
          <w:iCs w:val="0"/>
          <w:caps w:val="0"/>
          <w:color w:val="auto"/>
          <w:spacing w:val="0"/>
          <w:sz w:val="32"/>
          <w:szCs w:val="32"/>
          <w:shd w:val="clear" w:fill="FFFFFF"/>
        </w:rPr>
        <w:t>下载。如对本报告有任何疑问，请与高安市公安局办公室联系（地址：江西省高安市瑞阳新区锦绣大道与碧落北路十字路口高安市公安局，电话：5215472，邮编：330800）。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b w:val="0"/>
          <w:bCs w:val="0"/>
          <w:color w:val="auto"/>
          <w:sz w:val="24"/>
          <w:szCs w:val="24"/>
        </w:rPr>
      </w:pPr>
      <w:r>
        <w:rPr>
          <w:rFonts w:ascii="黑体" w:hAnsi="宋体" w:eastAsia="黑体" w:cs="黑体"/>
          <w:b w:val="0"/>
          <w:bCs w:val="0"/>
          <w:i w:val="0"/>
          <w:iCs w:val="0"/>
          <w:caps w:val="0"/>
          <w:color w:val="auto"/>
          <w:spacing w:val="0"/>
          <w:sz w:val="32"/>
          <w:szCs w:val="32"/>
        </w:rPr>
        <w:t>一、</w:t>
      </w:r>
      <w:r>
        <w:rPr>
          <w:rFonts w:hint="eastAsia" w:ascii="微软雅黑" w:hAnsi="微软雅黑" w:eastAsia="微软雅黑" w:cs="微软雅黑"/>
          <w:b w:val="0"/>
          <w:bCs w:val="0"/>
          <w:i w:val="0"/>
          <w:iCs w:val="0"/>
          <w:caps w:val="0"/>
          <w:color w:val="auto"/>
          <w:spacing w:val="0"/>
          <w:sz w:val="24"/>
          <w:szCs w:val="24"/>
        </w:rPr>
        <w:t> </w:t>
      </w:r>
      <w:r>
        <w:rPr>
          <w:rFonts w:hint="eastAsia" w:ascii="黑体" w:hAnsi="宋体" w:eastAsia="黑体" w:cs="黑体"/>
          <w:b w:val="0"/>
          <w:bCs w:val="0"/>
          <w:i w:val="0"/>
          <w:iCs w:val="0"/>
          <w:caps w:val="0"/>
          <w:color w:val="auto"/>
          <w:spacing w:val="0"/>
          <w:sz w:val="32"/>
          <w:szCs w:val="32"/>
          <w:shd w:val="clear" w:fill="FFFFFF"/>
        </w:rPr>
        <w:t>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   </w:t>
      </w:r>
      <w:r>
        <w:rPr>
          <w:rFonts w:hint="eastAsia" w:ascii="仿宋_GB2312" w:hAnsi="仿宋_GB2312" w:eastAsia="仿宋_GB2312" w:cs="仿宋_GB2312"/>
          <w:i w:val="0"/>
          <w:iCs w:val="0"/>
          <w:caps w:val="0"/>
          <w:color w:val="auto"/>
          <w:spacing w:val="0"/>
          <w:sz w:val="32"/>
          <w:szCs w:val="32"/>
          <w:shd w:val="clear" w:fill="FFFFFF"/>
        </w:rPr>
        <w:t>202</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 年高安市公安局坚持以习近平新时代中国特色社会主义思想为指导，深入贯彻党的</w:t>
      </w:r>
      <w:r>
        <w:rPr>
          <w:rFonts w:hint="eastAsia" w:ascii="仿宋_GB2312" w:hAnsi="仿宋_GB2312" w:eastAsia="仿宋_GB2312" w:cs="仿宋_GB2312"/>
          <w:i w:val="0"/>
          <w:iCs w:val="0"/>
          <w:caps w:val="0"/>
          <w:color w:val="auto"/>
          <w:spacing w:val="0"/>
          <w:sz w:val="32"/>
          <w:szCs w:val="32"/>
          <w:shd w:val="clear" w:fill="FFFFFF"/>
          <w:lang w:val="en-US" w:eastAsia="zh-CN"/>
        </w:rPr>
        <w:t>二十大</w:t>
      </w:r>
      <w:r>
        <w:rPr>
          <w:rFonts w:hint="eastAsia" w:ascii="仿宋_GB2312" w:hAnsi="仿宋_GB2312" w:eastAsia="仿宋_GB2312" w:cs="仿宋_GB2312"/>
          <w:i w:val="0"/>
          <w:iCs w:val="0"/>
          <w:caps w:val="0"/>
          <w:color w:val="auto"/>
          <w:spacing w:val="0"/>
          <w:sz w:val="32"/>
          <w:szCs w:val="32"/>
          <w:shd w:val="clear" w:fill="FFFFFF"/>
        </w:rPr>
        <w:t>精神，严格落实《国务院办公厅印发〈关于全面推进政务公开工作的意见〉实施细则的通知》（国办发〔2016〕80号）的要求。同时积极明确目标任务，紧紧围绕市委、市政府中心工作及社会群众关注关切，着力提升政府信息公开质量，推进拓宽政府信息公开渠道，不断增强政府信息公开实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楷体" w:cs="楷体"/>
          <w:i w:val="0"/>
          <w:iCs w:val="0"/>
          <w:caps w:val="0"/>
          <w:color w:val="auto"/>
          <w:spacing w:val="0"/>
          <w:sz w:val="32"/>
          <w:szCs w:val="32"/>
        </w:rPr>
      </w:pPr>
      <w:r>
        <w:rPr>
          <w:rFonts w:ascii="楷体" w:hAnsi="楷体" w:eastAsia="楷体" w:cs="楷体"/>
          <w:i w:val="0"/>
          <w:iCs w:val="0"/>
          <w:caps w:val="0"/>
          <w:color w:val="auto"/>
          <w:spacing w:val="0"/>
          <w:sz w:val="32"/>
          <w:szCs w:val="32"/>
        </w:rPr>
        <w:t>  </w:t>
      </w:r>
      <w:r>
        <w:rPr>
          <w:rFonts w:hint="eastAsia" w:ascii="楷体" w:hAnsi="楷体" w:eastAsia="楷体" w:cs="楷体"/>
          <w:i w:val="0"/>
          <w:iCs w:val="0"/>
          <w:caps w:val="0"/>
          <w:color w:val="auto"/>
          <w:spacing w:val="0"/>
          <w:sz w:val="32"/>
          <w:szCs w:val="32"/>
        </w:rPr>
        <w:t> </w:t>
      </w:r>
      <w:r>
        <w:rPr>
          <w:rFonts w:hint="eastAsia" w:ascii="楷体_GB2312" w:hAnsi="楷体_GB2312" w:eastAsia="楷体_GB2312" w:cs="楷体_GB2312"/>
          <w:i w:val="0"/>
          <w:iCs w:val="0"/>
          <w:caps w:val="0"/>
          <w:color w:val="auto"/>
          <w:spacing w:val="0"/>
          <w:sz w:val="32"/>
          <w:szCs w:val="32"/>
          <w:shd w:val="clear" w:fill="FFFFFF"/>
        </w:rPr>
        <w:t>（一）主动公开。</w:t>
      </w:r>
      <w:r>
        <w:rPr>
          <w:rFonts w:hint="eastAsia" w:ascii="仿宋_GB2312" w:hAnsi="仿宋_GB2312" w:eastAsia="仿宋_GB2312" w:cs="仿宋_GB2312"/>
          <w:i w:val="0"/>
          <w:iCs w:val="0"/>
          <w:caps w:val="0"/>
          <w:color w:val="auto"/>
          <w:spacing w:val="0"/>
          <w:sz w:val="32"/>
          <w:szCs w:val="32"/>
          <w:shd w:val="clear" w:fill="FFFFFF"/>
        </w:rPr>
        <w:t>2022年，高安市公安局主动公开政府信息226条，其中决策公开26条、执行公开45条、管理公开89条、服务公开1条、社会公益事业与重点民生领域26条、六稳六保专项工作5条</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建议提案办理34条。充分保障人民群众的知情权、监督权，让群众及时了解高安公安工作，进一步提升群众安全感、满意度。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仿宋_GB2312" w:cs="楷体"/>
          <w:i w:val="0"/>
          <w:iCs w:val="0"/>
          <w:caps w:val="0"/>
          <w:color w:val="auto"/>
          <w:spacing w:val="0"/>
          <w:sz w:val="32"/>
          <w:szCs w:val="32"/>
          <w:lang w:eastAsia="zh-CN"/>
        </w:rPr>
      </w:pPr>
      <w:r>
        <w:rPr>
          <w:rFonts w:hint="eastAsia" w:ascii="楷体" w:hAnsi="楷体" w:eastAsia="楷体" w:cs="楷体"/>
          <w:i w:val="0"/>
          <w:iCs w:val="0"/>
          <w:caps w:val="0"/>
          <w:color w:val="auto"/>
          <w:spacing w:val="0"/>
          <w:sz w:val="32"/>
          <w:szCs w:val="32"/>
        </w:rPr>
        <w:t>   </w:t>
      </w:r>
      <w:r>
        <w:rPr>
          <w:rFonts w:hint="eastAsia" w:ascii="楷体_GB2312" w:hAnsi="楷体_GB2312" w:eastAsia="楷体_GB2312" w:cs="楷体_GB2312"/>
          <w:i w:val="0"/>
          <w:iCs w:val="0"/>
          <w:caps w:val="0"/>
          <w:color w:val="auto"/>
          <w:spacing w:val="0"/>
          <w:sz w:val="32"/>
          <w:szCs w:val="32"/>
          <w:shd w:val="clear" w:fill="FFFFFF"/>
        </w:rPr>
        <w:t>（二）依申请公开。</w:t>
      </w:r>
      <w:r>
        <w:rPr>
          <w:rFonts w:hint="eastAsia" w:ascii="仿宋_GB2312" w:hAnsi="仿宋_GB2312" w:eastAsia="仿宋_GB2312" w:cs="仿宋_GB2312"/>
          <w:i w:val="0"/>
          <w:iCs w:val="0"/>
          <w:caps w:val="0"/>
          <w:color w:val="auto"/>
          <w:spacing w:val="0"/>
          <w:sz w:val="32"/>
          <w:szCs w:val="32"/>
          <w:shd w:val="clear" w:fill="FFFFFF"/>
        </w:rPr>
        <w:t>高安市公安局高度重视政府信息公开工作，特别是对社会各界及群众申请公开的要求方面，组建专班，落实专人，压实责任，有力保障群众的知情权</w:t>
      </w:r>
      <w:r>
        <w:rPr>
          <w:rFonts w:hint="eastAsia" w:ascii="仿宋_GB2312" w:hAnsi="仿宋_GB2312" w:eastAsia="仿宋_GB2312" w:cs="仿宋_GB2312"/>
          <w:i w:val="0"/>
          <w:iCs w:val="0"/>
          <w:caps w:val="0"/>
          <w:color w:val="auto"/>
          <w:spacing w:val="0"/>
          <w:sz w:val="32"/>
          <w:szCs w:val="32"/>
          <w:shd w:val="clear" w:fill="FFFFFF"/>
          <w:lang w:eastAsia="zh-CN"/>
        </w:rPr>
        <w:t>。2022年受理人民群众申请公开事项2起，其中政府网站申请2起，已全部办结。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楷体" w:cs="楷体"/>
          <w:i w:val="0"/>
          <w:iCs w:val="0"/>
          <w:caps w:val="0"/>
          <w:color w:val="auto"/>
          <w:spacing w:val="0"/>
          <w:sz w:val="32"/>
          <w:szCs w:val="32"/>
        </w:rPr>
      </w:pPr>
      <w:r>
        <w:rPr>
          <w:rFonts w:hint="eastAsia" w:ascii="楷体" w:hAnsi="楷体" w:eastAsia="楷体" w:cs="楷体"/>
          <w:i w:val="0"/>
          <w:iCs w:val="0"/>
          <w:caps w:val="0"/>
          <w:color w:val="auto"/>
          <w:spacing w:val="0"/>
          <w:sz w:val="32"/>
          <w:szCs w:val="32"/>
        </w:rPr>
        <w:t>   </w:t>
      </w:r>
      <w:r>
        <w:rPr>
          <w:rFonts w:hint="eastAsia" w:ascii="楷体_GB2312" w:hAnsi="楷体_GB2312" w:eastAsia="楷体_GB2312" w:cs="楷体_GB2312"/>
          <w:i w:val="0"/>
          <w:iCs w:val="0"/>
          <w:caps w:val="0"/>
          <w:color w:val="auto"/>
          <w:spacing w:val="0"/>
          <w:sz w:val="32"/>
          <w:szCs w:val="32"/>
          <w:shd w:val="clear" w:fill="FFFFFF"/>
        </w:rPr>
        <w:t>（三）政府信息管理。</w:t>
      </w:r>
      <w:r>
        <w:rPr>
          <w:rFonts w:hint="eastAsia" w:ascii="仿宋_GB2312" w:hAnsi="仿宋_GB2312" w:eastAsia="仿宋_GB2312" w:cs="仿宋_GB2312"/>
          <w:i w:val="0"/>
          <w:iCs w:val="0"/>
          <w:caps w:val="0"/>
          <w:color w:val="auto"/>
          <w:spacing w:val="0"/>
          <w:sz w:val="32"/>
          <w:szCs w:val="32"/>
          <w:shd w:val="clear" w:fill="FFFFFF"/>
        </w:rPr>
        <w:t>高安市公安局始终坚持“党委统一领导，部门齐抓共管”的领导体制和工作机制，全面加强对政府信息公开工作的组织领导。坚持“一把手”亲自抓，分管领导具体抓，责任人员抓具体的工作责任体系，明确工作目标，细化工作责任，强化工作举措，确保层层有任务，工作有人抓。专门配备了2名干部开展政府信息公开工作，在高安市公安局办公室和法制大队设政府信息申请受理点，政府信息公开工作运行正常，政府信息公开咨询、申请以及答复工作均顺利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楷体" w:hAnsi="楷体" w:eastAsia="楷体" w:cs="楷体"/>
          <w:i w:val="0"/>
          <w:iCs w:val="0"/>
          <w:caps w:val="0"/>
          <w:color w:val="auto"/>
          <w:spacing w:val="0"/>
          <w:sz w:val="32"/>
          <w:szCs w:val="32"/>
        </w:rPr>
      </w:pPr>
      <w:r>
        <w:rPr>
          <w:rFonts w:hint="eastAsia" w:ascii="楷体" w:hAnsi="楷体" w:eastAsia="楷体" w:cs="楷体"/>
          <w:i w:val="0"/>
          <w:iCs w:val="0"/>
          <w:caps w:val="0"/>
          <w:color w:val="auto"/>
          <w:spacing w:val="0"/>
          <w:sz w:val="32"/>
          <w:szCs w:val="32"/>
        </w:rPr>
        <w:t>   </w:t>
      </w:r>
      <w:r>
        <w:rPr>
          <w:rFonts w:hint="eastAsia" w:ascii="楷体_GB2312" w:hAnsi="楷体_GB2312" w:eastAsia="楷体_GB2312" w:cs="楷体_GB2312"/>
          <w:i w:val="0"/>
          <w:iCs w:val="0"/>
          <w:caps w:val="0"/>
          <w:color w:val="auto"/>
          <w:spacing w:val="0"/>
          <w:sz w:val="32"/>
          <w:szCs w:val="32"/>
          <w:shd w:val="clear" w:fill="FFFFFF"/>
        </w:rPr>
        <w:t>（四）政府信息公开平台建设。</w:t>
      </w:r>
      <w:r>
        <w:rPr>
          <w:rFonts w:hint="eastAsia" w:ascii="仿宋_GB2312" w:hAnsi="仿宋_GB2312" w:eastAsia="仿宋_GB2312" w:cs="仿宋_GB2312"/>
          <w:i w:val="0"/>
          <w:iCs w:val="0"/>
          <w:caps w:val="0"/>
          <w:color w:val="auto"/>
          <w:spacing w:val="0"/>
          <w:sz w:val="32"/>
          <w:szCs w:val="32"/>
          <w:shd w:val="clear" w:fill="FFFFFF"/>
        </w:rPr>
        <w:t>坚持线上线下同步发声，全力打造政府信息公开平台宣传阵地。一方面，依托标语、横幅、现场集中宣传等传统方式，讲好警察故事，发好公安声音；另一方面，充分利用微信公众号、视频彩铃等网络新媒体手段，及时发布公安工作动态以及社会关心关注的相关内容，做到了公开透明，有力提升了公众安全感和群众满意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default" w:eastAsia="仿宋"/>
          <w:color w:val="auto"/>
          <w:sz w:val="24"/>
          <w:szCs w:val="24"/>
          <w:lang w:val="en-US" w:eastAsia="zh-CN"/>
        </w:rPr>
      </w:pPr>
      <w:r>
        <w:rPr>
          <w:rFonts w:hint="eastAsia" w:ascii="楷体" w:hAnsi="楷体" w:eastAsia="楷体" w:cs="楷体"/>
          <w:i w:val="0"/>
          <w:iCs w:val="0"/>
          <w:caps w:val="0"/>
          <w:color w:val="auto"/>
          <w:spacing w:val="0"/>
          <w:sz w:val="32"/>
          <w:szCs w:val="32"/>
        </w:rPr>
        <w:t>   </w:t>
      </w:r>
      <w:r>
        <w:rPr>
          <w:rFonts w:hint="eastAsia" w:ascii="楷体_GB2312" w:hAnsi="楷体_GB2312" w:eastAsia="楷体_GB2312" w:cs="楷体_GB2312"/>
          <w:i w:val="0"/>
          <w:iCs w:val="0"/>
          <w:caps w:val="0"/>
          <w:color w:val="auto"/>
          <w:spacing w:val="0"/>
          <w:sz w:val="32"/>
          <w:szCs w:val="32"/>
          <w:shd w:val="clear" w:fill="FFFFFF"/>
        </w:rPr>
        <w:t>（五）监督保障。</w:t>
      </w:r>
      <w:r>
        <w:rPr>
          <w:rFonts w:hint="eastAsia" w:ascii="仿宋_GB2312" w:hAnsi="仿宋_GB2312" w:eastAsia="仿宋_GB2312" w:cs="仿宋_GB2312"/>
          <w:i w:val="0"/>
          <w:iCs w:val="0"/>
          <w:caps w:val="0"/>
          <w:color w:val="auto"/>
          <w:spacing w:val="0"/>
          <w:sz w:val="32"/>
          <w:szCs w:val="32"/>
          <w:shd w:val="clear" w:fill="FFFFFF"/>
        </w:rPr>
        <w:t>高安市公安局不断提升执法公信力建设，以政府信息公开为依托，全面强化监督管理，并主动接受社会各界监督。由警务督察大队牵头负责，加强对相关工作的日常监督检查，及时发现问题，及时进行整改，保障有关信息依法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二、主动公开政府信息情况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黑体" w:hAnsi="宋体" w:eastAsia="黑体" w:cs="黑体"/>
          <w:i w:val="0"/>
          <w:iCs w:val="0"/>
          <w:caps w:val="0"/>
          <w:color w:val="auto"/>
          <w:spacing w:val="0"/>
          <w:sz w:val="24"/>
          <w:szCs w:val="24"/>
        </w:rPr>
      </w:pPr>
      <w:r>
        <w:rPr>
          <w:rFonts w:hint="eastAsia" w:ascii="黑体" w:hAnsi="宋体" w:eastAsia="黑体" w:cs="黑体"/>
          <w:i w:val="0"/>
          <w:iCs w:val="0"/>
          <w:caps w:val="0"/>
          <w:color w:val="auto"/>
          <w:spacing w:val="0"/>
          <w:sz w:val="24"/>
          <w:szCs w:val="24"/>
        </w:rPr>
        <w:t> </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ascii="仿宋" w:hAnsi="仿宋" w:eastAsia="仿宋" w:cs="仿宋"/>
                <w:color w:val="auto"/>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ascii="楷体" w:hAnsi="楷体" w:eastAsia="楷体" w:cs="楷体"/>
                <w:b/>
                <w:bCs/>
                <w:color w:val="auto"/>
                <w:sz w:val="24"/>
                <w:szCs w:val="24"/>
              </w:rPr>
              <w:t>信息内容</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本年</w:t>
            </w:r>
            <w:r>
              <w:rPr>
                <w:b/>
                <w:bCs/>
                <w:color w:val="auto"/>
                <w:sz w:val="24"/>
                <w:szCs w:val="24"/>
              </w:rPr>
              <w:t> </w:t>
            </w:r>
            <w:r>
              <w:rPr>
                <w:rFonts w:hint="eastAsia" w:ascii="楷体" w:hAnsi="楷体" w:eastAsia="楷体" w:cs="楷体"/>
                <w:b/>
                <w:bCs/>
                <w:color w:val="auto"/>
                <w:sz w:val="24"/>
                <w:szCs w:val="24"/>
              </w:rPr>
              <w:t>制发件数</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本年废止件数</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default" w:eastAsiaTheme="minorEastAsia"/>
                <w:color w:val="auto"/>
                <w:sz w:val="24"/>
                <w:szCs w:val="24"/>
                <w:lang w:val="en-US" w:eastAsia="zh-CN"/>
              </w:rPr>
            </w:pPr>
            <w:r>
              <w:rPr>
                <w:rFonts w:hint="eastAsia" w:ascii="楷体" w:hAnsi="楷体" w:eastAsia="楷体" w:cs="楷体"/>
                <w:b/>
                <w:bCs/>
                <w:color w:val="auto"/>
                <w:sz w:val="24"/>
                <w:szCs w:val="24"/>
              </w:rPr>
              <w:t> </w:t>
            </w:r>
            <w:r>
              <w:rPr>
                <w:b/>
                <w:bCs/>
                <w:color w:val="auto"/>
                <w:sz w:val="24"/>
                <w:szCs w:val="24"/>
              </w:rPr>
              <w:t> </w:t>
            </w:r>
            <w:r>
              <w:rPr>
                <w:rFonts w:hint="eastAsia" w:ascii="仿宋" w:hAnsi="仿宋" w:eastAsia="仿宋" w:cs="仿宋"/>
                <w:color w:val="auto"/>
                <w:sz w:val="24"/>
                <w:szCs w:val="24"/>
                <w:lang w:val="en-US" w:eastAsia="zh-CN"/>
              </w:rPr>
              <w:t>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default" w:eastAsiaTheme="minorEastAsia"/>
                <w:color w:val="auto"/>
                <w:sz w:val="24"/>
                <w:szCs w:val="24"/>
                <w:lang w:val="en-US" w:eastAsia="zh-CN"/>
              </w:rPr>
            </w:pPr>
            <w:r>
              <w:rPr>
                <w:rFonts w:hint="eastAsia" w:ascii="仿宋" w:hAnsi="仿宋" w:eastAsia="仿宋" w:cs="仿宋"/>
                <w:color w:val="auto"/>
                <w:sz w:val="24"/>
                <w:szCs w:val="24"/>
                <w:lang w:val="en-US" w:eastAsia="zh-CN"/>
              </w:rPr>
              <w:t>3151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default" w:eastAsiaTheme="minorEastAsia"/>
                <w:color w:val="auto"/>
                <w:sz w:val="24"/>
                <w:szCs w:val="24"/>
                <w:lang w:val="en-US" w:eastAsia="zh-CN"/>
              </w:rPr>
            </w:pPr>
            <w:r>
              <w:rPr>
                <w:rFonts w:hint="eastAsia" w:ascii="仿宋" w:hAnsi="仿宋" w:eastAsia="仿宋" w:cs="仿宋"/>
                <w:color w:val="auto"/>
                <w:sz w:val="24"/>
                <w:szCs w:val="24"/>
                <w:lang w:val="en-US" w:eastAsia="zh-CN"/>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行政事业性收费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default" w:eastAsiaTheme="minorEastAsia"/>
                <w:color w:val="auto"/>
                <w:sz w:val="24"/>
                <w:szCs w:val="24"/>
                <w:lang w:val="en-US" w:eastAsia="zh-CN"/>
              </w:rPr>
            </w:pPr>
            <w:r>
              <w:rPr>
                <w:rFonts w:hint="eastAsia" w:ascii="仿宋" w:hAnsi="仿宋" w:eastAsia="仿宋" w:cs="仿宋"/>
                <w:color w:val="auto"/>
                <w:sz w:val="24"/>
                <w:szCs w:val="24"/>
                <w:lang w:val="en-US" w:eastAsia="zh-CN"/>
              </w:rPr>
              <w:t>33.06</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200"/>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三、收到和处理政府信息公开申请情况</w:t>
      </w:r>
    </w:p>
    <w:tbl>
      <w:tblPr>
        <w:tblStyle w:val="4"/>
        <w:tblW w:w="975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96"/>
        <w:gridCol w:w="1037"/>
        <w:gridCol w:w="4032"/>
        <w:gridCol w:w="555"/>
        <w:gridCol w:w="555"/>
        <w:gridCol w:w="555"/>
        <w:gridCol w:w="555"/>
        <w:gridCol w:w="555"/>
        <w:gridCol w:w="555"/>
        <w:gridCol w:w="55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自</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人</w:t>
            </w:r>
          </w:p>
        </w:tc>
        <w:tc>
          <w:tcPr>
            <w:tcW w:w="2238" w:type="dxa"/>
            <w:gridSpan w:val="5"/>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法人或其他组织</w:t>
            </w:r>
          </w:p>
        </w:tc>
        <w:tc>
          <w:tcPr>
            <w:tcW w:w="471" w:type="dxa"/>
            <w:vMerge w:val="restart"/>
            <w:tcBorders>
              <w:top w:val="nil"/>
              <w:left w:val="nil"/>
              <w:bottom w:val="inset"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商业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科研</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机构</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社会公益组织</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法律服务机构</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其他</w:t>
            </w:r>
          </w:p>
        </w:tc>
        <w:tc>
          <w:tcPr>
            <w:tcW w:w="471"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eastAsia" w:eastAsiaTheme="minorEastAsia"/>
                <w:color w:val="auto"/>
                <w:sz w:val="24"/>
                <w:szCs w:val="24"/>
                <w:lang w:eastAsia="zh-CN"/>
              </w:rPr>
            </w:pPr>
            <w:r>
              <w:rPr>
                <w:rFonts w:hint="eastAsia" w:ascii="仿宋" w:hAnsi="仿宋" w:eastAsia="仿宋" w:cs="仿宋"/>
                <w:color w:val="auto"/>
                <w:sz w:val="24"/>
                <w:szCs w:val="24"/>
                <w:lang w:val="en-US" w:eastAsia="zh-CN"/>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eastAsia" w:eastAsiaTheme="minorEastAsia"/>
                <w:color w:val="auto"/>
                <w:sz w:val="24"/>
                <w:szCs w:val="24"/>
                <w:lang w:eastAsia="zh-CN"/>
              </w:rPr>
            </w:pPr>
            <w:r>
              <w:rPr>
                <w:rFonts w:hint="eastAsia" w:ascii="仿宋" w:hAnsi="仿宋" w:eastAsia="仿宋" w:cs="仿宋"/>
                <w:color w:val="auto"/>
                <w:sz w:val="24"/>
                <w:szCs w:val="24"/>
                <w:lang w:val="en-US" w:eastAsia="zh-CN"/>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eastAsia" w:eastAsiaTheme="minorEastAsia"/>
                <w:color w:val="auto"/>
                <w:sz w:val="24"/>
                <w:szCs w:val="24"/>
                <w:lang w:eastAsia="zh-CN"/>
              </w:rPr>
            </w:pPr>
            <w:r>
              <w:rPr>
                <w:rFonts w:hint="eastAsia" w:ascii="仿宋" w:hAnsi="仿宋" w:eastAsia="仿宋" w:cs="仿宋"/>
                <w:color w:val="auto"/>
                <w:sz w:val="24"/>
                <w:szCs w:val="24"/>
                <w:lang w:val="en-US" w:eastAsia="zh-CN"/>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eastAsia" w:eastAsiaTheme="minorEastAsia"/>
                <w:color w:val="auto"/>
                <w:sz w:val="24"/>
                <w:szCs w:val="24"/>
                <w:lang w:eastAsia="zh-CN"/>
              </w:rPr>
            </w:pPr>
            <w:r>
              <w:rPr>
                <w:rFonts w:hint="eastAsia" w:ascii="仿宋" w:hAnsi="仿宋" w:eastAsia="仿宋" w:cs="仿宋"/>
                <w:color w:val="auto"/>
                <w:sz w:val="24"/>
                <w:szCs w:val="24"/>
                <w:lang w:val="en-US" w:eastAsia="zh-CN"/>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restart"/>
            <w:tcBorders>
              <w:top w:val="nil"/>
              <w:left w:val="nil"/>
              <w:bottom w:val="inset"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1.</w:t>
            </w:r>
            <w:r>
              <w:rPr>
                <w:b/>
                <w:bCs/>
                <w:color w:val="auto"/>
                <w:sz w:val="24"/>
                <w:szCs w:val="24"/>
              </w:rPr>
              <w:t> </w:t>
            </w:r>
            <w:r>
              <w:rPr>
                <w:rFonts w:hint="eastAsia" w:ascii="楷体" w:hAnsi="楷体" w:eastAsia="楷体" w:cs="楷体"/>
                <w:b/>
                <w:bCs/>
                <w:color w:val="auto"/>
                <w:sz w:val="24"/>
                <w:szCs w:val="24"/>
              </w:rPr>
              <w:t>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2.</w:t>
            </w:r>
            <w:r>
              <w:rPr>
                <w:b/>
                <w:bCs/>
                <w:color w:val="auto"/>
                <w:sz w:val="24"/>
                <w:szCs w:val="24"/>
              </w:rPr>
              <w:t> </w:t>
            </w:r>
            <w:r>
              <w:rPr>
                <w:rFonts w:hint="eastAsia" w:ascii="楷体" w:hAnsi="楷体" w:eastAsia="楷体" w:cs="楷体"/>
                <w:b/>
                <w:bCs/>
                <w:color w:val="auto"/>
                <w:sz w:val="24"/>
                <w:szCs w:val="24"/>
              </w:rPr>
              <w:t>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3.</w:t>
            </w:r>
            <w:r>
              <w:rPr>
                <w:b/>
                <w:bCs/>
                <w:color w:val="auto"/>
                <w:sz w:val="24"/>
                <w:szCs w:val="24"/>
              </w:rPr>
              <w:t> </w:t>
            </w:r>
            <w:r>
              <w:rPr>
                <w:rFonts w:hint="eastAsia" w:ascii="楷体" w:hAnsi="楷体" w:eastAsia="楷体" w:cs="楷体"/>
                <w:b/>
                <w:bCs/>
                <w:color w:val="auto"/>
                <w:sz w:val="24"/>
                <w:szCs w:val="24"/>
              </w:rPr>
              <w:t>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4.</w:t>
            </w:r>
            <w:r>
              <w:rPr>
                <w:b/>
                <w:bCs/>
                <w:color w:val="auto"/>
                <w:sz w:val="24"/>
                <w:szCs w:val="24"/>
              </w:rPr>
              <w:t> </w:t>
            </w:r>
            <w:r>
              <w:rPr>
                <w:rFonts w:hint="eastAsia" w:ascii="楷体" w:hAnsi="楷体" w:eastAsia="楷体" w:cs="楷体"/>
                <w:b/>
                <w:bCs/>
                <w:color w:val="auto"/>
                <w:sz w:val="24"/>
                <w:szCs w:val="24"/>
              </w:rPr>
              <w:t>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5.</w:t>
            </w:r>
            <w:r>
              <w:rPr>
                <w:b/>
                <w:bCs/>
                <w:color w:val="auto"/>
                <w:sz w:val="24"/>
                <w:szCs w:val="24"/>
              </w:rPr>
              <w:t> </w:t>
            </w:r>
            <w:r>
              <w:rPr>
                <w:rFonts w:hint="eastAsia" w:ascii="楷体" w:hAnsi="楷体" w:eastAsia="楷体" w:cs="楷体"/>
                <w:b/>
                <w:bCs/>
                <w:color w:val="auto"/>
                <w:sz w:val="24"/>
                <w:szCs w:val="24"/>
              </w:rPr>
              <w:t>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6.</w:t>
            </w:r>
            <w:r>
              <w:rPr>
                <w:b/>
                <w:bCs/>
                <w:color w:val="auto"/>
                <w:sz w:val="24"/>
                <w:szCs w:val="24"/>
              </w:rPr>
              <w:t> </w:t>
            </w:r>
            <w:r>
              <w:rPr>
                <w:rFonts w:hint="eastAsia" w:ascii="楷体" w:hAnsi="楷体" w:eastAsia="楷体" w:cs="楷体"/>
                <w:b/>
                <w:bCs/>
                <w:color w:val="auto"/>
                <w:sz w:val="24"/>
                <w:szCs w:val="24"/>
              </w:rPr>
              <w:t>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7.</w:t>
            </w:r>
            <w:r>
              <w:rPr>
                <w:b/>
                <w:bCs/>
                <w:color w:val="auto"/>
                <w:sz w:val="24"/>
                <w:szCs w:val="24"/>
              </w:rPr>
              <w:t> </w:t>
            </w:r>
            <w:r>
              <w:rPr>
                <w:rFonts w:hint="eastAsia" w:ascii="楷体" w:hAnsi="楷体" w:eastAsia="楷体" w:cs="楷体"/>
                <w:b/>
                <w:bCs/>
                <w:color w:val="auto"/>
                <w:sz w:val="24"/>
                <w:szCs w:val="24"/>
              </w:rPr>
              <w:t>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8.</w:t>
            </w:r>
            <w:r>
              <w:rPr>
                <w:b/>
                <w:bCs/>
                <w:color w:val="auto"/>
                <w:sz w:val="24"/>
                <w:szCs w:val="24"/>
              </w:rPr>
              <w:t> </w:t>
            </w:r>
            <w:r>
              <w:rPr>
                <w:rFonts w:hint="eastAsia" w:ascii="楷体" w:hAnsi="楷体" w:eastAsia="楷体" w:cs="楷体"/>
                <w:b/>
                <w:bCs/>
                <w:color w:val="auto"/>
                <w:sz w:val="24"/>
                <w:szCs w:val="24"/>
              </w:rPr>
              <w:t>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restart"/>
            <w:tcBorders>
              <w:top w:val="nil"/>
              <w:left w:val="nil"/>
              <w:bottom w:val="inset"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1.</w:t>
            </w:r>
            <w:r>
              <w:rPr>
                <w:b/>
                <w:bCs/>
                <w:color w:val="auto"/>
                <w:sz w:val="24"/>
                <w:szCs w:val="24"/>
              </w:rPr>
              <w:t> </w:t>
            </w:r>
            <w:r>
              <w:rPr>
                <w:rFonts w:hint="eastAsia" w:ascii="楷体" w:hAnsi="楷体" w:eastAsia="楷体" w:cs="楷体"/>
                <w:b/>
                <w:bCs/>
                <w:color w:val="auto"/>
                <w:sz w:val="24"/>
                <w:szCs w:val="24"/>
              </w:rPr>
              <w:t>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2.</w:t>
            </w:r>
            <w:r>
              <w:rPr>
                <w:b/>
                <w:bCs/>
                <w:color w:val="auto"/>
                <w:sz w:val="24"/>
                <w:szCs w:val="24"/>
              </w:rPr>
              <w:t> </w:t>
            </w:r>
            <w:r>
              <w:rPr>
                <w:rFonts w:hint="eastAsia" w:ascii="楷体" w:hAnsi="楷体" w:eastAsia="楷体" w:cs="楷体"/>
                <w:b/>
                <w:bCs/>
                <w:color w:val="auto"/>
                <w:sz w:val="24"/>
                <w:szCs w:val="24"/>
              </w:rPr>
              <w:t>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3.</w:t>
            </w:r>
            <w:r>
              <w:rPr>
                <w:b/>
                <w:bCs/>
                <w:color w:val="auto"/>
                <w:sz w:val="24"/>
                <w:szCs w:val="24"/>
              </w:rPr>
              <w:t> </w:t>
            </w:r>
            <w:r>
              <w:rPr>
                <w:rFonts w:hint="eastAsia" w:ascii="楷体" w:hAnsi="楷体" w:eastAsia="楷体" w:cs="楷体"/>
                <w:b/>
                <w:bCs/>
                <w:color w:val="auto"/>
                <w:sz w:val="24"/>
                <w:szCs w:val="24"/>
              </w:rPr>
              <w:t>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1.</w:t>
            </w:r>
            <w:r>
              <w:rPr>
                <w:b/>
                <w:bCs/>
                <w:color w:val="auto"/>
                <w:sz w:val="24"/>
                <w:szCs w:val="24"/>
              </w:rPr>
              <w:t> </w:t>
            </w:r>
            <w:r>
              <w:rPr>
                <w:rFonts w:hint="eastAsia" w:ascii="楷体" w:hAnsi="楷体" w:eastAsia="楷体" w:cs="楷体"/>
                <w:b/>
                <w:bCs/>
                <w:color w:val="auto"/>
                <w:sz w:val="24"/>
                <w:szCs w:val="24"/>
              </w:rPr>
              <w:t>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2.</w:t>
            </w:r>
            <w:r>
              <w:rPr>
                <w:b/>
                <w:bCs/>
                <w:color w:val="auto"/>
                <w:sz w:val="24"/>
                <w:szCs w:val="24"/>
              </w:rPr>
              <w:t> </w:t>
            </w:r>
            <w:r>
              <w:rPr>
                <w:rFonts w:hint="eastAsia" w:ascii="楷体" w:hAnsi="楷体" w:eastAsia="楷体" w:cs="楷体"/>
                <w:b/>
                <w:bCs/>
                <w:color w:val="auto"/>
                <w:sz w:val="24"/>
                <w:szCs w:val="24"/>
              </w:rPr>
              <w:t>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3.</w:t>
            </w:r>
            <w:r>
              <w:rPr>
                <w:b/>
                <w:bCs/>
                <w:color w:val="auto"/>
                <w:sz w:val="24"/>
                <w:szCs w:val="24"/>
              </w:rPr>
              <w:t> </w:t>
            </w:r>
            <w:r>
              <w:rPr>
                <w:rFonts w:hint="eastAsia" w:ascii="楷体" w:hAnsi="楷体" w:eastAsia="楷体" w:cs="楷体"/>
                <w:b/>
                <w:bCs/>
                <w:color w:val="auto"/>
                <w:sz w:val="24"/>
                <w:szCs w:val="24"/>
              </w:rPr>
              <w:t>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4.</w:t>
            </w:r>
            <w:r>
              <w:rPr>
                <w:b/>
                <w:bCs/>
                <w:color w:val="auto"/>
                <w:sz w:val="24"/>
                <w:szCs w:val="24"/>
              </w:rPr>
              <w:t> </w:t>
            </w:r>
            <w:r>
              <w:rPr>
                <w:rFonts w:hint="eastAsia" w:ascii="楷体" w:hAnsi="楷体" w:eastAsia="楷体" w:cs="楷体"/>
                <w:b/>
                <w:bCs/>
                <w:color w:val="auto"/>
                <w:sz w:val="24"/>
                <w:szCs w:val="24"/>
              </w:rPr>
              <w:t>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5.</w:t>
            </w:r>
            <w:r>
              <w:rPr>
                <w:b/>
                <w:bCs/>
                <w:color w:val="auto"/>
                <w:sz w:val="24"/>
                <w:szCs w:val="24"/>
              </w:rPr>
              <w:t> </w:t>
            </w:r>
            <w:r>
              <w:rPr>
                <w:rFonts w:hint="eastAsia" w:ascii="楷体" w:hAnsi="楷体" w:eastAsia="楷体" w:cs="楷体"/>
                <w:b/>
                <w:bCs/>
                <w:color w:val="auto"/>
                <w:sz w:val="24"/>
                <w:szCs w:val="24"/>
              </w:rPr>
              <w:t>要求行政机关确认或重新出具已获取信息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（六）其他处理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1.</w:t>
            </w:r>
            <w:r>
              <w:rPr>
                <w:b/>
                <w:bCs/>
                <w:color w:val="auto"/>
                <w:sz w:val="24"/>
                <w:szCs w:val="24"/>
              </w:rPr>
              <w:t> </w:t>
            </w:r>
            <w:r>
              <w:rPr>
                <w:rFonts w:hint="eastAsia" w:ascii="楷体" w:hAnsi="楷体" w:eastAsia="楷体" w:cs="楷体"/>
                <w:b/>
                <w:bCs/>
                <w:color w:val="auto"/>
                <w:sz w:val="24"/>
                <w:szCs w:val="24"/>
              </w:rPr>
              <w:t>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2.</w:t>
            </w:r>
            <w:r>
              <w:rPr>
                <w:b/>
                <w:bCs/>
                <w:color w:val="auto"/>
                <w:sz w:val="24"/>
                <w:szCs w:val="24"/>
              </w:rPr>
              <w:t> </w:t>
            </w:r>
            <w:r>
              <w:rPr>
                <w:rFonts w:hint="eastAsia" w:ascii="楷体" w:hAnsi="楷体" w:eastAsia="楷体" w:cs="楷体"/>
                <w:b/>
                <w:bCs/>
                <w:color w:val="auto"/>
                <w:sz w:val="24"/>
                <w:szCs w:val="24"/>
              </w:rPr>
              <w:t>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997"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3.</w:t>
            </w:r>
            <w:r>
              <w:rPr>
                <w:b/>
                <w:bCs/>
                <w:color w:val="auto"/>
                <w:sz w:val="24"/>
                <w:szCs w:val="24"/>
              </w:rPr>
              <w:t> </w:t>
            </w:r>
            <w:r>
              <w:rPr>
                <w:rFonts w:hint="eastAsia" w:ascii="楷体" w:hAnsi="楷体" w:eastAsia="楷体" w:cs="楷体"/>
                <w:b/>
                <w:bCs/>
                <w:color w:val="auto"/>
                <w:sz w:val="24"/>
                <w:szCs w:val="24"/>
              </w:rPr>
              <w:t>其他</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pPr>
              <w:rPr>
                <w:rFonts w:hint="eastAsia" w:ascii="宋体"/>
                <w:color w:val="auto"/>
                <w:sz w:val="24"/>
                <w:szCs w:val="24"/>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（七）总计</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default" w:eastAsiaTheme="minorEastAsia"/>
                <w:color w:val="auto"/>
                <w:sz w:val="24"/>
                <w:szCs w:val="24"/>
                <w:lang w:val="en-US" w:eastAsia="zh-CN"/>
              </w:rPr>
            </w:pPr>
            <w:r>
              <w:rPr>
                <w:rFonts w:hint="eastAsia"/>
                <w:color w:val="auto"/>
                <w:sz w:val="24"/>
                <w:szCs w:val="24"/>
                <w:lang w:val="en-US" w:eastAsia="zh-CN"/>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rFonts w:hint="eastAsia" w:eastAsiaTheme="minorEastAsia"/>
                <w:color w:val="auto"/>
                <w:sz w:val="24"/>
                <w:szCs w:val="24"/>
                <w:lang w:val="en-US" w:eastAsia="zh-CN"/>
              </w:rPr>
            </w:pPr>
            <w:r>
              <w:rPr>
                <w:rFonts w:hint="eastAsia" w:ascii="仿宋" w:hAnsi="仿宋" w:eastAsia="仿宋" w:cs="仿宋"/>
                <w:color w:val="auto"/>
                <w:sz w:val="24"/>
                <w:szCs w:val="24"/>
                <w:lang w:val="en-US" w:eastAsia="zh-CN"/>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四、结转下年度继续办理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200"/>
        <w:rPr>
          <w:rFonts w:hint="eastAsia" w:ascii="微软雅黑" w:hAnsi="微软雅黑" w:eastAsia="微软雅黑" w:cs="微软雅黑"/>
          <w:i w:val="0"/>
          <w:iCs w:val="0"/>
          <w:caps w:val="0"/>
          <w:color w:val="auto"/>
          <w:spacing w:val="0"/>
          <w:sz w:val="24"/>
          <w:szCs w:val="24"/>
        </w:rPr>
      </w:pPr>
      <w:r>
        <w:rPr>
          <w:rFonts w:hint="eastAsia" w:ascii="黑体" w:hAnsi="宋体" w:eastAsia="黑体" w:cs="黑体"/>
          <w:i w:val="0"/>
          <w:iCs w:val="0"/>
          <w:caps w:val="0"/>
          <w:color w:val="auto"/>
          <w:spacing w:val="0"/>
          <w:sz w:val="32"/>
          <w:szCs w:val="32"/>
          <w:shd w:val="clear" w:fill="FFFFFF"/>
        </w:rPr>
        <w:t>四、政府信息公开行政复议、行政诉讼情况</w:t>
      </w:r>
    </w:p>
    <w:tbl>
      <w:tblPr>
        <w:tblStyle w:val="4"/>
        <w:tblW w:w="974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57"/>
        <w:gridCol w:w="657"/>
        <w:gridCol w:w="657"/>
        <w:gridCol w:w="657"/>
        <w:gridCol w:w="657"/>
        <w:gridCol w:w="657"/>
        <w:gridCol w:w="657"/>
        <w:gridCol w:w="657"/>
        <w:gridCol w:w="657"/>
        <w:gridCol w:w="657"/>
        <w:gridCol w:w="657"/>
        <w:gridCol w:w="657"/>
        <w:gridCol w:w="657"/>
        <w:gridCol w:w="657"/>
        <w:gridCol w:w="65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结果</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纠正</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其他</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结果</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尚未</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审结</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总计</w:t>
            </w:r>
          </w:p>
        </w:tc>
        <w:tc>
          <w:tcPr>
            <w:tcW w:w="321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未经复议直接起诉</w:t>
            </w:r>
          </w:p>
        </w:tc>
        <w:tc>
          <w:tcPr>
            <w:tcW w:w="321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color w:val="auto"/>
                <w:sz w:val="24"/>
                <w:szCs w:val="24"/>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结果</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结果</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其他</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尚未</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总计</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结果</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维持</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结果</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纠正</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其他</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结果</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尚未</w:t>
            </w:r>
            <w:r>
              <w:rPr>
                <w:rFonts w:hint="eastAsia" w:ascii="楷体" w:hAnsi="楷体" w:eastAsia="楷体" w:cs="楷体"/>
                <w:b/>
                <w:bCs/>
                <w:color w:val="auto"/>
                <w:sz w:val="24"/>
                <w:szCs w:val="24"/>
              </w:rPr>
              <w:br w:type="textWrapping"/>
            </w:r>
            <w:r>
              <w:rPr>
                <w:rFonts w:hint="eastAsia" w:ascii="楷体" w:hAnsi="楷体" w:eastAsia="楷体" w:cs="楷体"/>
                <w:b/>
                <w:bCs/>
                <w:color w:val="auto"/>
                <w:sz w:val="24"/>
                <w:szCs w:val="24"/>
              </w:rPr>
              <w:t>审结</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楷体" w:hAnsi="楷体" w:eastAsia="楷体" w:cs="楷体"/>
                <w:b/>
                <w:bCs/>
                <w:color w:val="auto"/>
                <w:sz w:val="24"/>
                <w:szCs w:val="24"/>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宋体" w:hAnsi="宋体" w:eastAsia="宋体" w:cs="宋体"/>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宋体" w:hAnsi="宋体" w:eastAsia="宋体" w:cs="宋体"/>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line="600" w:lineRule="atLeast"/>
              <w:ind w:left="0" w:right="0" w:firstLine="200"/>
              <w:rPr>
                <w:color w:val="auto"/>
                <w:sz w:val="24"/>
                <w:szCs w:val="24"/>
              </w:rPr>
            </w:pPr>
            <w:r>
              <w:rPr>
                <w:rFonts w:hint="eastAsia" w:ascii="仿宋" w:hAnsi="仿宋" w:eastAsia="仿宋" w:cs="仿宋"/>
                <w:color w:val="auto"/>
                <w:sz w:val="24"/>
                <w:szCs w:val="24"/>
              </w:rPr>
              <w:t>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textAlignment w:val="auto"/>
        <w:rPr>
          <w:rFonts w:hint="eastAsia" w:ascii="黑体" w:hAnsi="宋体" w:eastAsia="黑体" w:cs="黑体"/>
          <w:i w:val="0"/>
          <w:iCs w:val="0"/>
          <w:caps w:val="0"/>
          <w:color w:val="auto"/>
          <w:spacing w:val="0"/>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jc w:val="left"/>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五、存在的主要问题及改进情况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虽然202</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年高安市公安局在政府信息公开方面做了大量工作和努力，也取得了一定成效，公众安全感、夜间出行安全感及公安工作满意度等指数均有大幅度上升，但整体工作离群众的期望还存在一定差距。下一步，高安市公安局将继续严格按照相关要求开展工作，加强问题整改，强化具体举措。</w:t>
      </w:r>
      <w:r>
        <w:rPr>
          <w:rFonts w:hint="eastAsia" w:ascii="仿宋_GB2312" w:hAnsi="仿宋_GB2312" w:eastAsia="仿宋_GB2312" w:cs="仿宋_GB2312"/>
          <w:b/>
          <w:bCs/>
          <w:i w:val="0"/>
          <w:iCs w:val="0"/>
          <w:caps w:val="0"/>
          <w:color w:val="auto"/>
          <w:spacing w:val="0"/>
          <w:sz w:val="32"/>
          <w:szCs w:val="32"/>
          <w:shd w:val="clear" w:fill="FFFFFF"/>
        </w:rPr>
        <w:t>一是</w:t>
      </w:r>
      <w:r>
        <w:rPr>
          <w:rFonts w:hint="eastAsia" w:ascii="仿宋_GB2312" w:hAnsi="仿宋_GB2312" w:eastAsia="仿宋_GB2312" w:cs="仿宋_GB2312"/>
          <w:b/>
          <w:bCs/>
          <w:i w:val="0"/>
          <w:iCs w:val="0"/>
          <w:caps w:val="0"/>
          <w:color w:val="auto"/>
          <w:spacing w:val="0"/>
          <w:sz w:val="32"/>
          <w:szCs w:val="32"/>
          <w:shd w:val="clear" w:fill="FFFFFF"/>
          <w:lang w:val="en-US" w:eastAsia="zh-CN"/>
        </w:rPr>
        <w:t>强化</w:t>
      </w:r>
      <w:r>
        <w:rPr>
          <w:rFonts w:hint="eastAsia" w:ascii="仿宋_GB2312" w:hAnsi="仿宋_GB2312" w:eastAsia="仿宋_GB2312" w:cs="仿宋_GB2312"/>
          <w:b/>
          <w:bCs/>
          <w:i w:val="0"/>
          <w:iCs w:val="0"/>
          <w:caps w:val="0"/>
          <w:color w:val="auto"/>
          <w:spacing w:val="0"/>
          <w:sz w:val="32"/>
          <w:szCs w:val="32"/>
          <w:shd w:val="clear" w:fill="FFFFFF"/>
        </w:rPr>
        <w:t>思想认识。</w:t>
      </w:r>
      <w:r>
        <w:rPr>
          <w:rFonts w:hint="eastAsia" w:ascii="仿宋_GB2312" w:hAnsi="仿宋_GB2312" w:eastAsia="仿宋_GB2312" w:cs="仿宋_GB2312"/>
          <w:i w:val="0"/>
          <w:iCs w:val="0"/>
          <w:caps w:val="0"/>
          <w:color w:val="auto"/>
          <w:spacing w:val="0"/>
          <w:sz w:val="32"/>
          <w:szCs w:val="32"/>
          <w:shd w:val="clear" w:fill="FFFFFF"/>
        </w:rPr>
        <w:t>进一步认识到政府信息公开工作的重要性和必要性，以更高的要求和标准，不断增强政府信息公开的力度。</w:t>
      </w:r>
      <w:r>
        <w:rPr>
          <w:rFonts w:hint="eastAsia" w:ascii="仿宋_GB2312" w:hAnsi="仿宋_GB2312" w:eastAsia="仿宋_GB2312" w:cs="仿宋_GB2312"/>
          <w:b/>
          <w:bCs/>
          <w:i w:val="0"/>
          <w:iCs w:val="0"/>
          <w:caps w:val="0"/>
          <w:color w:val="auto"/>
          <w:spacing w:val="0"/>
          <w:sz w:val="32"/>
          <w:szCs w:val="32"/>
          <w:shd w:val="clear" w:fill="FFFFFF"/>
        </w:rPr>
        <w:t>二是强化专业培训。</w:t>
      </w:r>
      <w:r>
        <w:rPr>
          <w:rFonts w:hint="eastAsia" w:ascii="仿宋_GB2312" w:hAnsi="仿宋_GB2312" w:eastAsia="仿宋_GB2312" w:cs="仿宋_GB2312"/>
          <w:i w:val="0"/>
          <w:iCs w:val="0"/>
          <w:caps w:val="0"/>
          <w:color w:val="auto"/>
          <w:spacing w:val="0"/>
          <w:sz w:val="32"/>
          <w:szCs w:val="32"/>
          <w:shd w:val="clear" w:fill="FFFFFF"/>
        </w:rPr>
        <w:t>进一步强化对专职人员的教育培训，提升专业队伍的工作能力和水平。</w:t>
      </w:r>
      <w:r>
        <w:rPr>
          <w:rFonts w:hint="eastAsia" w:ascii="仿宋_GB2312" w:hAnsi="仿宋_GB2312" w:eastAsia="仿宋_GB2312" w:cs="仿宋_GB2312"/>
          <w:b/>
          <w:bCs/>
          <w:i w:val="0"/>
          <w:iCs w:val="0"/>
          <w:caps w:val="0"/>
          <w:color w:val="auto"/>
          <w:spacing w:val="0"/>
          <w:sz w:val="32"/>
          <w:szCs w:val="32"/>
          <w:shd w:val="clear" w:fill="FFFFFF"/>
        </w:rPr>
        <w:t>三是强化成效</w:t>
      </w:r>
      <w:r>
        <w:rPr>
          <w:rFonts w:hint="eastAsia" w:ascii="仿宋_GB2312" w:hAnsi="仿宋_GB2312" w:eastAsia="仿宋_GB2312" w:cs="仿宋_GB2312"/>
          <w:b/>
          <w:bCs/>
          <w:i w:val="0"/>
          <w:iCs w:val="0"/>
          <w:caps w:val="0"/>
          <w:color w:val="auto"/>
          <w:spacing w:val="0"/>
          <w:sz w:val="32"/>
          <w:szCs w:val="32"/>
          <w:shd w:val="clear" w:fill="FFFFFF"/>
          <w:lang w:val="en-US" w:eastAsia="zh-CN"/>
        </w:rPr>
        <w:t>转化</w:t>
      </w:r>
      <w:r>
        <w:rPr>
          <w:rFonts w:hint="eastAsia" w:ascii="仿宋_GB2312" w:hAnsi="仿宋_GB2312" w:eastAsia="仿宋_GB2312" w:cs="仿宋_GB2312"/>
          <w:b/>
          <w:bCs/>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rPr>
        <w:t>进一步完善信息服务，全面丰富信息公开的内容，提高政府信息公</w:t>
      </w:r>
      <w:bookmarkStart w:id="0" w:name="_GoBack"/>
      <w:bookmarkEnd w:id="0"/>
      <w:r>
        <w:rPr>
          <w:rFonts w:hint="eastAsia" w:ascii="仿宋_GB2312" w:hAnsi="仿宋_GB2312" w:eastAsia="仿宋_GB2312" w:cs="仿宋_GB2312"/>
          <w:i w:val="0"/>
          <w:iCs w:val="0"/>
          <w:caps w:val="0"/>
          <w:color w:val="auto"/>
          <w:spacing w:val="0"/>
          <w:sz w:val="32"/>
          <w:szCs w:val="32"/>
          <w:shd w:val="clear" w:fill="FFFFFF"/>
        </w:rPr>
        <w:t>开的质量，增强政府信息公开的成效。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jc w:val="left"/>
        <w:textAlignment w:val="auto"/>
        <w:rPr>
          <w:rFonts w:hint="eastAsia" w:ascii="黑体" w:hAnsi="宋体" w:eastAsia="黑体" w:cs="黑体"/>
          <w:b w:val="0"/>
          <w:bCs w:val="0"/>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   六、其他需要报告的事项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黑体" w:hAnsi="宋体" w:eastAsia="黑体" w:cs="黑体"/>
          <w:b w:val="0"/>
          <w:bCs w:val="0"/>
          <w:i w:val="0"/>
          <w:iCs w:val="0"/>
          <w:caps w:val="0"/>
          <w:color w:val="auto"/>
          <w:spacing w:val="0"/>
          <w:sz w:val="32"/>
          <w:szCs w:val="32"/>
          <w:shd w:val="clear" w:fill="FFFFFF"/>
        </w:rPr>
        <w:t>   </w:t>
      </w:r>
      <w:r>
        <w:rPr>
          <w:rFonts w:hint="eastAsia" w:ascii="仿宋_GB2312" w:hAnsi="仿宋_GB2312" w:eastAsia="仿宋_GB2312" w:cs="仿宋_GB2312"/>
          <w:i w:val="0"/>
          <w:iCs w:val="0"/>
          <w:caps w:val="0"/>
          <w:color w:val="auto"/>
          <w:spacing w:val="0"/>
          <w:sz w:val="32"/>
          <w:szCs w:val="32"/>
          <w:shd w:val="clear" w:fill="FFFFFF"/>
        </w:rPr>
        <w:t>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200"/>
        <w:jc w:val="left"/>
        <w:textAlignment w:val="auto"/>
        <w:rPr>
          <w:rFonts w:hint="eastAsia" w:ascii="仿宋_GB2312" w:hAnsi="仿宋_GB2312" w:eastAsia="仿宋_GB2312" w:cs="仿宋_GB2312"/>
          <w:i w:val="0"/>
          <w:iCs w:val="0"/>
          <w:caps w:val="0"/>
          <w:color w:val="auto"/>
          <w:spacing w:val="0"/>
          <w:sz w:val="32"/>
          <w:szCs w:val="32"/>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文件下载：高安市公安局202</w:t>
      </w: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年政府信息公开工作年度报告.doc</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5YWFlMTQ0MjEwOGIxMGFkYWFiMDdlMmUzYjU3ZDUifQ=="/>
  </w:docVars>
  <w:rsids>
    <w:rsidRoot w:val="51293BCD"/>
    <w:rsid w:val="09653DB0"/>
    <w:rsid w:val="0977293B"/>
    <w:rsid w:val="0A216D3B"/>
    <w:rsid w:val="0B465DB5"/>
    <w:rsid w:val="0D9B2C64"/>
    <w:rsid w:val="13C61F27"/>
    <w:rsid w:val="27E16DFF"/>
    <w:rsid w:val="29F00112"/>
    <w:rsid w:val="405A7FBE"/>
    <w:rsid w:val="42252B29"/>
    <w:rsid w:val="43385AF5"/>
    <w:rsid w:val="44650275"/>
    <w:rsid w:val="453C3DB3"/>
    <w:rsid w:val="48A0265E"/>
    <w:rsid w:val="48E22AC2"/>
    <w:rsid w:val="51293BCD"/>
    <w:rsid w:val="5B5E7990"/>
    <w:rsid w:val="64A13455"/>
    <w:rsid w:val="6E5630BE"/>
    <w:rsid w:val="7AF23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2468</Words>
  <Characters>2573</Characters>
  <Lines>0</Lines>
  <Paragraphs>0</Paragraphs>
  <TotalTime>24</TotalTime>
  <ScaleCrop>false</ScaleCrop>
  <LinksUpToDate>false</LinksUpToDate>
  <CharactersWithSpaces>2603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2023-01-03T02:14:00Z</dcterms:created>
  <dc:creator>Administrator</dc:creator>
  <cp:lastModifiedBy>Administrator</cp:lastModifiedBy>
  <cp:lastPrinted>2023-01-05T06:48:59Z</cp:lastPrinted>
  <dcterms:modified xsi:type="dcterms:W3CDTF">2023-01-05T06:59:42Z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5092E28ED68D443B85CADF86224215A2</vt:lpwstr>
  </property>
</Properties>
</file>