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475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shd w:val="clear" w:color="auto" w:fill="auto"/>
            <w:vAlign w:val="top"/>
          </w:tcPr>
          <w:p>
            <w:pPr>
              <w:jc w:val="center"/>
              <w:rPr>
                <w:rFonts w:hint="eastAsia" w:asciiTheme="majorEastAsia" w:hAnsiTheme="majorEastAsia" w:eastAsiaTheme="majorEastAsia" w:cstheme="majorEastAsia"/>
                <w:b/>
                <w:bCs/>
                <w:sz w:val="32"/>
                <w:szCs w:val="32"/>
              </w:rPr>
            </w:pPr>
            <w:bookmarkStart w:id="0" w:name="_GoBack"/>
            <w:r>
              <w:rPr>
                <w:rFonts w:hint="eastAsia" w:asciiTheme="majorEastAsia" w:hAnsiTheme="majorEastAsia" w:eastAsiaTheme="majorEastAsia" w:cstheme="majorEastAsia"/>
                <w:b/>
                <w:bCs/>
                <w:sz w:val="32"/>
                <w:szCs w:val="32"/>
              </w:rPr>
              <w:t>高安市卫生健康委员会2021年政府信息公开工作年度报告</w:t>
            </w:r>
          </w:p>
          <w:bookmarkEnd w:id="0"/>
          <w:p>
            <w:pPr>
              <w:keepNext w:val="0"/>
              <w:keepLines w:val="0"/>
              <w:widowControl/>
              <w:suppressLineNumbers w:val="0"/>
              <w:shd w:val="clear" w:fill="FFFFFF"/>
              <w:spacing w:before="0" w:beforeAutospacing="1" w:after="0" w:afterAutospacing="1" w:line="540" w:lineRule="exact"/>
              <w:ind w:left="0" w:right="0" w:firstLine="640" w:firstLineChars="200"/>
              <w:jc w:val="left"/>
            </w:pPr>
            <w:r>
              <w:rPr>
                <w:rFonts w:ascii="仿宋" w:hAnsi="仿宋" w:eastAsia="仿宋" w:cs="仿宋"/>
                <w:color w:val="333333"/>
                <w:kern w:val="0"/>
                <w:sz w:val="32"/>
                <w:szCs w:val="32"/>
                <w:shd w:val="clear" w:fill="FFFFFF"/>
                <w:lang w:val="en-US" w:eastAsia="zh-CN" w:bidi="ar"/>
              </w:rPr>
              <w:t>本年度报告根据《中华人民共和国政府信息公开条例》《国务院办公厅政府信息与政务公开办公室关于政府信息公开工作年度报告有关事项的通知》</w:t>
            </w:r>
            <w:r>
              <w:rPr>
                <w:rFonts w:hint="eastAsia" w:ascii="仿宋" w:hAnsi="仿宋" w:eastAsia="仿宋" w:cs="仿宋"/>
                <w:kern w:val="0"/>
                <w:sz w:val="32"/>
                <w:szCs w:val="32"/>
                <w:shd w:val="clear" w:fill="FFFFFF"/>
                <w:lang w:val="en-US" w:eastAsia="zh-CN" w:bidi="ar"/>
              </w:rPr>
              <w:t>和《国务院办公厅政府信息与政务公开办公室关于印发中华人民共和国政府信息公开工作年度报告格式的通知》等文件通知要求</w:t>
            </w:r>
            <w:r>
              <w:rPr>
                <w:rFonts w:hint="eastAsia" w:ascii="仿宋" w:hAnsi="仿宋" w:eastAsia="仿宋" w:cs="仿宋"/>
                <w:color w:val="333333"/>
                <w:kern w:val="0"/>
                <w:sz w:val="32"/>
                <w:szCs w:val="32"/>
                <w:shd w:val="clear" w:fill="FFFFFF"/>
                <w:lang w:val="en-US" w:eastAsia="zh-CN" w:bidi="ar"/>
              </w:rPr>
              <w:t xml:space="preserve">，市卫生健康委结合本委有关统计数据编制而形成。本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 </w:t>
            </w:r>
          </w:p>
          <w:p>
            <w:pPr>
              <w:keepNext w:val="0"/>
              <w:keepLines w:val="0"/>
              <w:widowControl/>
              <w:suppressLineNumbers w:val="0"/>
              <w:shd w:val="clear" w:fill="FFFFFF"/>
              <w:spacing w:before="0" w:beforeAutospacing="1" w:after="0" w:afterAutospacing="1" w:line="540" w:lineRule="exact"/>
              <w:ind w:left="0" w:right="0" w:firstLine="640" w:firstLineChars="200"/>
              <w:jc w:val="left"/>
            </w:pPr>
            <w:r>
              <w:rPr>
                <w:rFonts w:hint="eastAsia" w:ascii="仿宋" w:hAnsi="仿宋" w:eastAsia="仿宋" w:cs="仿宋"/>
                <w:color w:val="333333"/>
                <w:kern w:val="0"/>
                <w:sz w:val="32"/>
                <w:szCs w:val="32"/>
                <w:shd w:val="clear" w:fill="FFFFFF"/>
                <w:lang w:val="en-US" w:eastAsia="zh-CN" w:bidi="ar"/>
              </w:rPr>
              <w:t xml:space="preserve">本年度报告的电子版可以从高安市人民政府网站下载。如对本报告有任何疑问，请与高安市卫生健康委联系（地址：高安市瑞阳新区东区瑞祥苑6栋  高安市卫生健康委员会，电话0795-5297629，邮编330800）。 </w:t>
            </w:r>
          </w:p>
          <w:p>
            <w:pPr>
              <w:keepNext w:val="0"/>
              <w:keepLines w:val="0"/>
              <w:widowControl/>
              <w:suppressLineNumbers w:val="0"/>
              <w:shd w:val="clear" w:fill="FFFFFF"/>
              <w:spacing w:before="0" w:beforeAutospacing="1" w:after="0" w:afterAutospacing="1"/>
              <w:ind w:left="0" w:right="0" w:firstLine="643" w:firstLineChars="200"/>
              <w:jc w:val="left"/>
            </w:pPr>
            <w:r>
              <w:rPr>
                <w:rFonts w:ascii="黑体" w:hAnsi="宋体" w:eastAsia="黑体" w:cs="黑体"/>
                <w:b/>
                <w:bCs w:val="0"/>
                <w:color w:val="333333"/>
                <w:kern w:val="0"/>
                <w:sz w:val="32"/>
                <w:szCs w:val="32"/>
                <w:shd w:val="clear" w:fill="FFFFFF"/>
                <w:lang w:val="en-US" w:eastAsia="zh-CN" w:bidi="ar"/>
              </w:rPr>
              <w:t>一、总体情况</w:t>
            </w:r>
            <w:r>
              <w:rPr>
                <w:rFonts w:hint="eastAsia" w:ascii="黑体" w:hAnsi="宋体" w:eastAsia="黑体" w:cs="黑体"/>
                <w:b/>
                <w:bCs w:val="0"/>
                <w:color w:val="333333"/>
                <w:kern w:val="0"/>
                <w:sz w:val="32"/>
                <w:szCs w:val="32"/>
                <w:shd w:val="clear" w:fill="FFFFFF"/>
                <w:lang w:val="en-US" w:eastAsia="zh-CN" w:bidi="ar"/>
              </w:rPr>
              <w:t xml:space="preserve"> </w:t>
            </w:r>
          </w:p>
          <w:p>
            <w:pPr>
              <w:keepNext w:val="0"/>
              <w:keepLines w:val="0"/>
              <w:widowControl/>
              <w:suppressLineNumbers w:val="0"/>
              <w:shd w:val="clear" w:fill="FFFFFF"/>
              <w:spacing w:before="0" w:beforeAutospacing="1" w:after="0" w:afterAutospacing="1" w:line="540" w:lineRule="exact"/>
              <w:ind w:left="0" w:right="0" w:firstLine="640" w:firstLineChars="200"/>
              <w:jc w:val="left"/>
            </w:pPr>
            <w:r>
              <w:rPr>
                <w:rFonts w:hint="eastAsia" w:ascii="仿宋" w:hAnsi="仿宋" w:eastAsia="仿宋" w:cs="仿宋"/>
                <w:color w:val="333333"/>
                <w:kern w:val="0"/>
                <w:sz w:val="32"/>
                <w:szCs w:val="32"/>
                <w:shd w:val="clear" w:fill="FFFFFF"/>
                <w:lang w:val="en-US" w:eastAsia="zh-CN" w:bidi="ar"/>
              </w:rPr>
              <w:t>2021年高安市卫生健康委员会坚持以习近平新时代中国特色社会主义思想为指导，深入贯彻党的十九大和十九届历次全会精神，</w:t>
            </w:r>
            <w:r>
              <w:rPr>
                <w:rFonts w:hint="eastAsia" w:ascii="仿宋" w:hAnsi="仿宋" w:eastAsia="仿宋" w:cs="仿宋"/>
                <w:kern w:val="0"/>
                <w:sz w:val="32"/>
                <w:szCs w:val="32"/>
                <w:shd w:val="clear" w:fill="FFFFFF"/>
                <w:lang w:val="en-US" w:eastAsia="zh-CN" w:bidi="ar"/>
              </w:rPr>
              <w:t>遵循“依法公开、公正公平、真实准确、及时便民、保障公共利益”的原则，作为构建和谐卫生健康和公开、透明政府的重大举措，</w:t>
            </w:r>
            <w:r>
              <w:rPr>
                <w:rFonts w:hint="eastAsia" w:ascii="仿宋" w:hAnsi="仿宋" w:eastAsia="仿宋" w:cs="仿宋"/>
                <w:color w:val="333333"/>
                <w:kern w:val="0"/>
                <w:sz w:val="32"/>
                <w:szCs w:val="32"/>
                <w:shd w:val="clear" w:fill="FFFFFF"/>
                <w:lang w:val="en-US" w:eastAsia="zh-CN" w:bidi="ar"/>
              </w:rPr>
              <w:t xml:space="preserve">严格落实政务公开要求和标准，强化组织领导，完善公开工作机制，创新公开内容和形式，围绕工作大局，狠抓公开工作落实，促进公开工作向经常化、制度化、规范化方向健康发展。 </w:t>
            </w:r>
          </w:p>
          <w:p>
            <w:pPr>
              <w:keepNext w:val="0"/>
              <w:keepLines w:val="0"/>
              <w:widowControl/>
              <w:suppressLineNumbers w:val="0"/>
              <w:shd w:val="clear" w:fill="FFFFFF"/>
              <w:spacing w:before="0" w:beforeAutospacing="1" w:after="0" w:afterAutospacing="1" w:line="540" w:lineRule="exact"/>
              <w:ind w:left="0" w:right="0" w:firstLine="480"/>
              <w:jc w:val="left"/>
            </w:pPr>
            <w:r>
              <w:rPr>
                <w:rFonts w:ascii="楷体" w:hAnsi="楷体" w:eastAsia="楷体" w:cs="楷体"/>
                <w:b/>
                <w:bCs/>
                <w:color w:val="333333"/>
                <w:kern w:val="0"/>
                <w:sz w:val="32"/>
                <w:szCs w:val="32"/>
                <w:shd w:val="clear" w:fill="FFFFFF"/>
                <w:lang w:val="en-US" w:eastAsia="zh-CN" w:bidi="ar"/>
              </w:rPr>
              <w:t>（一）主动公开</w:t>
            </w:r>
            <w:r>
              <w:rPr>
                <w:rFonts w:hint="eastAsia" w:ascii="楷体" w:hAnsi="楷体" w:eastAsia="楷体" w:cs="楷体"/>
                <w:b/>
                <w:bCs/>
                <w:color w:val="333333"/>
                <w:kern w:val="0"/>
                <w:sz w:val="32"/>
                <w:szCs w:val="32"/>
                <w:shd w:val="clear" w:fill="FFFFFF"/>
                <w:lang w:val="en-US" w:eastAsia="zh-CN" w:bidi="ar"/>
              </w:rPr>
              <w:t xml:space="preserve"> </w:t>
            </w:r>
          </w:p>
          <w:p>
            <w:pPr>
              <w:keepNext w:val="0"/>
              <w:keepLines w:val="0"/>
              <w:widowControl/>
              <w:suppressLineNumbers w:val="0"/>
              <w:spacing w:before="0" w:beforeAutospacing="1" w:after="0" w:afterAutospacing="1" w:line="540" w:lineRule="exact"/>
              <w:ind w:left="0" w:right="0" w:firstLine="640" w:firstLineChars="200"/>
              <w:jc w:val="left"/>
            </w:pPr>
            <w:r>
              <w:rPr>
                <w:rFonts w:hint="eastAsia" w:ascii="仿宋" w:hAnsi="仿宋" w:eastAsia="仿宋" w:cs="仿宋"/>
                <w:color w:val="333333"/>
                <w:kern w:val="0"/>
                <w:sz w:val="32"/>
                <w:szCs w:val="32"/>
                <w:lang w:val="en-US" w:eastAsia="zh-CN" w:bidi="ar"/>
              </w:rPr>
              <w:t>2021年，</w:t>
            </w:r>
            <w:r>
              <w:rPr>
                <w:rFonts w:hint="eastAsia" w:ascii="仿宋" w:hAnsi="仿宋" w:eastAsia="仿宋" w:cs="仿宋"/>
                <w:kern w:val="0"/>
                <w:sz w:val="32"/>
                <w:szCs w:val="32"/>
                <w:lang w:val="en-US" w:eastAsia="zh-CN" w:bidi="ar"/>
              </w:rPr>
              <w:t>我委按照《中华人民共和国政府信息公开条例》要求，坚持“公开为原则，不公开为例外”，积极搜集、准确分类、规范填报、发布信息，充分发挥网站在信息公开中的主渠道作用，在政务公开的内容上，结合我们工作实际，将对外和对内政务公开的内容，作了严格的划分，力求突出重点和务求实效，特别是在围绕实效上下功夫，</w:t>
            </w:r>
            <w:r>
              <w:rPr>
                <w:rFonts w:hint="eastAsia" w:ascii="仿宋" w:hAnsi="仿宋" w:eastAsia="仿宋" w:cs="仿宋"/>
                <w:color w:val="333333"/>
                <w:kern w:val="0"/>
                <w:sz w:val="32"/>
                <w:szCs w:val="32"/>
                <w:lang w:val="en-US" w:eastAsia="zh-CN" w:bidi="ar"/>
              </w:rPr>
              <w:t>及时主动公开卫生健康工作各类政策、财政预算决算、人大代表建议和政协委员提案、疫情防控等有关信息318条，</w:t>
            </w:r>
            <w:r>
              <w:rPr>
                <w:rFonts w:hint="eastAsia" w:ascii="仿宋" w:hAnsi="仿宋" w:eastAsia="仿宋" w:cs="仿宋"/>
                <w:kern w:val="0"/>
                <w:sz w:val="32"/>
                <w:szCs w:val="32"/>
                <w:lang w:val="en-US" w:eastAsia="zh-CN" w:bidi="ar"/>
              </w:rPr>
              <w:t>其中工作动态类信息61条，社会公益事业与重点民生信息（医疗卫生、六稳六保、疫情防控）121条，机构职能等其他类信息136条。</w:t>
            </w:r>
            <w:r>
              <w:rPr>
                <w:rFonts w:hint="eastAsia" w:ascii="仿宋" w:hAnsi="仿宋" w:eastAsia="仿宋" w:cs="仿宋"/>
                <w:color w:val="333333"/>
                <w:kern w:val="0"/>
                <w:sz w:val="32"/>
                <w:szCs w:val="32"/>
                <w:lang w:val="en-US" w:eastAsia="zh-CN" w:bidi="ar"/>
              </w:rPr>
              <w:t>为方便群众办事，我们公开了委领导分工，公开了机关各股室办公电话，公开了卫生和计划生育</w:t>
            </w:r>
            <w:r>
              <w:rPr>
                <w:rFonts w:hint="eastAsia" w:ascii="仿宋" w:hAnsi="仿宋" w:eastAsia="仿宋" w:cs="仿宋"/>
                <w:kern w:val="0"/>
                <w:sz w:val="32"/>
                <w:szCs w:val="32"/>
                <w:lang w:val="en-US" w:eastAsia="zh-CN" w:bidi="ar"/>
              </w:rPr>
              <w:t>权责清单</w:t>
            </w:r>
            <w:r>
              <w:rPr>
                <w:rFonts w:hint="eastAsia" w:ascii="仿宋" w:hAnsi="仿宋" w:eastAsia="仿宋" w:cs="仿宋"/>
                <w:color w:val="333333"/>
                <w:kern w:val="0"/>
                <w:sz w:val="32"/>
                <w:szCs w:val="32"/>
                <w:lang w:val="en-US" w:eastAsia="zh-CN" w:bidi="ar"/>
              </w:rPr>
              <w:t xml:space="preserve">等卫生健康申请事项的办事程序、所需材料等，让群众通过网上查询就能办事。 </w:t>
            </w:r>
          </w:p>
          <w:p>
            <w:pPr>
              <w:keepNext w:val="0"/>
              <w:keepLines w:val="0"/>
              <w:widowControl/>
              <w:suppressLineNumbers w:val="0"/>
              <w:shd w:val="clear" w:fill="FFFFFF"/>
              <w:spacing w:before="0" w:beforeAutospacing="1" w:after="0" w:afterAutospacing="1" w:line="540" w:lineRule="exact"/>
              <w:ind w:left="0" w:right="0" w:firstLine="480"/>
              <w:jc w:val="left"/>
            </w:pPr>
            <w:r>
              <w:rPr>
                <w:rFonts w:hint="eastAsia" w:ascii="楷体" w:hAnsi="楷体" w:eastAsia="楷体" w:cs="楷体"/>
                <w:b/>
                <w:bCs/>
                <w:color w:val="333333"/>
                <w:kern w:val="0"/>
                <w:sz w:val="32"/>
                <w:szCs w:val="32"/>
                <w:shd w:val="clear" w:fill="FFFFFF"/>
                <w:lang w:val="en-US" w:eastAsia="zh-CN" w:bidi="ar"/>
              </w:rPr>
              <w:t xml:space="preserve">（二）依申请公开 </w:t>
            </w:r>
          </w:p>
          <w:p>
            <w:pPr>
              <w:keepNext w:val="0"/>
              <w:keepLines w:val="0"/>
              <w:widowControl/>
              <w:suppressLineNumbers w:val="0"/>
              <w:shd w:val="clear" w:fill="FFFFFF"/>
              <w:spacing w:before="0" w:beforeAutospacing="1" w:after="0" w:afterAutospacing="1" w:line="540" w:lineRule="exact"/>
              <w:ind w:left="0" w:right="0" w:firstLine="800" w:firstLineChars="250"/>
              <w:jc w:val="left"/>
            </w:pPr>
            <w:r>
              <w:rPr>
                <w:rFonts w:hint="eastAsia" w:ascii="仿宋" w:hAnsi="仿宋" w:eastAsia="仿宋" w:cs="仿宋"/>
                <w:color w:val="333333"/>
                <w:kern w:val="0"/>
                <w:sz w:val="32"/>
                <w:szCs w:val="32"/>
                <w:shd w:val="clear" w:fill="FFFFFF"/>
                <w:lang w:val="en-US" w:eastAsia="zh-CN" w:bidi="ar"/>
              </w:rPr>
              <w:t xml:space="preserve">2021年度市卫生健康委员会没有收到依申请公开事项。 </w:t>
            </w:r>
          </w:p>
          <w:p>
            <w:pPr>
              <w:keepNext w:val="0"/>
              <w:keepLines w:val="0"/>
              <w:widowControl/>
              <w:suppressLineNumbers w:val="0"/>
              <w:shd w:val="clear" w:fill="FFFFFF"/>
              <w:spacing w:before="0" w:beforeAutospacing="1" w:after="0" w:afterAutospacing="1" w:line="540" w:lineRule="exact"/>
              <w:ind w:left="0" w:right="0" w:firstLine="480"/>
              <w:jc w:val="left"/>
            </w:pPr>
            <w:r>
              <w:rPr>
                <w:rFonts w:hint="eastAsia" w:ascii="楷体" w:hAnsi="楷体" w:eastAsia="楷体" w:cs="楷体"/>
                <w:b/>
                <w:bCs/>
                <w:color w:val="333333"/>
                <w:kern w:val="0"/>
                <w:sz w:val="32"/>
                <w:szCs w:val="32"/>
                <w:shd w:val="clear" w:fill="FFFFFF"/>
                <w:lang w:val="en-US" w:eastAsia="zh-CN" w:bidi="ar"/>
              </w:rPr>
              <w:t xml:space="preserve">（三）政府信息管理 </w:t>
            </w:r>
          </w:p>
          <w:p>
            <w:pPr>
              <w:keepNext w:val="0"/>
              <w:keepLines w:val="0"/>
              <w:widowControl/>
              <w:suppressLineNumbers w:val="0"/>
              <w:shd w:val="clear" w:fill="FFFFFF"/>
              <w:spacing w:before="0" w:beforeAutospacing="1" w:after="0" w:afterAutospacing="1" w:line="540" w:lineRule="exact"/>
              <w:ind w:left="0" w:right="0" w:firstLine="640" w:firstLineChars="200"/>
              <w:jc w:val="left"/>
            </w:pPr>
            <w:r>
              <w:rPr>
                <w:rFonts w:hint="eastAsia" w:ascii="仿宋" w:hAnsi="仿宋" w:eastAsia="仿宋" w:cs="仿宋"/>
                <w:color w:val="333333"/>
                <w:kern w:val="0"/>
                <w:sz w:val="32"/>
                <w:szCs w:val="32"/>
                <w:shd w:val="clear" w:fill="FFFFFF"/>
                <w:lang w:val="en-US" w:eastAsia="zh-CN" w:bidi="ar"/>
              </w:rPr>
              <w:t>为加强政府信息管理，调整了政务公开领导小组成员，加强了政府信息的采集、发布和管理，更好地体现政府网站时效性和权威性。按照“谁主管、谁审批、谁负责”为审核原则，明确一名分管领导作为信息审核人，发布的信息经审核人审核后才能发布,保障政府信息公开的质量。</w:t>
            </w:r>
            <w:r>
              <w:rPr>
                <w:rFonts w:hint="eastAsia" w:ascii="楷体" w:hAnsi="楷体" w:eastAsia="楷体" w:cs="楷体"/>
                <w:b/>
                <w:bCs/>
                <w:color w:val="333333"/>
                <w:kern w:val="0"/>
                <w:sz w:val="32"/>
                <w:szCs w:val="32"/>
                <w:shd w:val="clear" w:fill="FFFFFF"/>
                <w:lang w:val="en-US" w:eastAsia="zh-CN" w:bidi="ar"/>
              </w:rPr>
              <w:t xml:space="preserve"> </w:t>
            </w:r>
          </w:p>
          <w:p>
            <w:pPr>
              <w:keepNext w:val="0"/>
              <w:keepLines w:val="0"/>
              <w:widowControl/>
              <w:suppressLineNumbers w:val="0"/>
              <w:shd w:val="clear" w:fill="FFFFFF"/>
              <w:spacing w:before="0" w:beforeAutospacing="1" w:after="0" w:afterAutospacing="1" w:line="540" w:lineRule="exact"/>
              <w:ind w:left="0" w:right="0" w:firstLine="480"/>
              <w:jc w:val="left"/>
            </w:pPr>
            <w:r>
              <w:rPr>
                <w:rFonts w:hint="eastAsia" w:ascii="楷体" w:hAnsi="楷体" w:eastAsia="楷体" w:cs="楷体"/>
                <w:b/>
                <w:bCs/>
                <w:color w:val="333333"/>
                <w:kern w:val="0"/>
                <w:sz w:val="32"/>
                <w:szCs w:val="32"/>
                <w:shd w:val="clear" w:fill="FFFFFF"/>
                <w:lang w:val="en-US" w:eastAsia="zh-CN" w:bidi="ar"/>
              </w:rPr>
              <w:t xml:space="preserve">（四）政府信息公开平台建设 </w:t>
            </w:r>
          </w:p>
          <w:p>
            <w:pPr>
              <w:keepNext w:val="0"/>
              <w:keepLines w:val="0"/>
              <w:widowControl/>
              <w:suppressLineNumbers w:val="0"/>
              <w:shd w:val="clear" w:fill="FFFFFF"/>
              <w:spacing w:before="0" w:beforeAutospacing="1" w:after="0" w:afterAutospacing="1" w:line="540" w:lineRule="exact"/>
              <w:ind w:left="0" w:right="0" w:firstLine="800" w:firstLineChars="250"/>
              <w:jc w:val="left"/>
            </w:pPr>
            <w:r>
              <w:rPr>
                <w:rFonts w:hint="eastAsia" w:ascii="仿宋" w:hAnsi="仿宋" w:eastAsia="仿宋" w:cs="仿宋"/>
                <w:color w:val="333333"/>
                <w:kern w:val="0"/>
                <w:sz w:val="32"/>
                <w:szCs w:val="32"/>
                <w:shd w:val="clear" w:fill="FFFFFF"/>
                <w:lang w:val="en-US" w:eastAsia="zh-CN" w:bidi="ar"/>
              </w:rPr>
              <w:t xml:space="preserve">2021年，市卫生健康委员会进一步强化政府信息公开平台建设，不断深化卫生健康重点领域信息公开，认真做好相关政策解读、民生事项和民生资金公开，以公开促进落实、强化监督、提升服务，进一步提升网上履职能力和服务水平。加强政府网站内容建设和信息发布审核，把好政治关、政策关、文字关，牢牢把握意识形态主动权。及时梳理进驻行政服务大厅的审批服务事项，推动卫生专业技术人员职称考试、资格核验、计划生育利益导向政策等政务服务事项网上申请受理，提高办事时效。 </w:t>
            </w:r>
          </w:p>
          <w:p>
            <w:pPr>
              <w:keepNext w:val="0"/>
              <w:keepLines w:val="0"/>
              <w:widowControl/>
              <w:suppressLineNumbers w:val="0"/>
              <w:shd w:val="clear" w:fill="FFFFFF"/>
              <w:spacing w:before="0" w:beforeAutospacing="1" w:after="0" w:afterAutospacing="1" w:line="540" w:lineRule="exact"/>
              <w:ind w:left="0" w:right="0" w:firstLine="480"/>
              <w:jc w:val="left"/>
            </w:pPr>
            <w:r>
              <w:rPr>
                <w:rFonts w:hint="eastAsia" w:ascii="楷体" w:hAnsi="楷体" w:eastAsia="楷体" w:cs="楷体"/>
                <w:b/>
                <w:bCs/>
                <w:color w:val="333333"/>
                <w:kern w:val="0"/>
                <w:sz w:val="32"/>
                <w:szCs w:val="32"/>
                <w:shd w:val="clear" w:fill="FFFFFF"/>
                <w:lang w:val="en-US" w:eastAsia="zh-CN" w:bidi="ar"/>
              </w:rPr>
              <w:t xml:space="preserve">（五）监督保障 </w:t>
            </w:r>
          </w:p>
          <w:p>
            <w:pPr>
              <w:keepNext w:val="0"/>
              <w:keepLines w:val="0"/>
              <w:widowControl/>
              <w:suppressLineNumbers w:val="0"/>
              <w:shd w:val="clear" w:fill="FFFFFF"/>
              <w:spacing w:before="0" w:beforeAutospacing="1" w:after="0" w:afterAutospacing="1" w:line="540" w:lineRule="exact"/>
              <w:ind w:left="0" w:right="0" w:firstLine="480"/>
              <w:jc w:val="left"/>
            </w:pPr>
            <w:r>
              <w:rPr>
                <w:rFonts w:hint="eastAsia" w:ascii="仿宋" w:hAnsi="仿宋" w:eastAsia="仿宋" w:cs="仿宋"/>
                <w:color w:val="333333"/>
                <w:kern w:val="0"/>
                <w:sz w:val="32"/>
                <w:szCs w:val="32"/>
                <w:shd w:val="clear" w:fill="FFFFFF"/>
                <w:lang w:val="en-US" w:eastAsia="zh-CN" w:bidi="ar"/>
              </w:rPr>
              <w:t xml:space="preserve">市卫生健康委员会加强对政府信息公开工作的日常监管和检查，建立健全政府信息公开工作考核制度和责任追究制度，将信息公开责任落实到各股室，由各分管领导初审，再报分管政务公开的领导审核，对未按照要求开展政府信息公开工作或在工作中敷衍了事，不认真，不严谨的，予以督促整改或者通报批评，确保政务公开及时、准确。 </w:t>
            </w:r>
          </w:p>
          <w:p>
            <w:pPr>
              <w:keepNext w:val="0"/>
              <w:keepLines w:val="0"/>
              <w:widowControl/>
              <w:suppressLineNumbers w:val="0"/>
              <w:spacing w:before="0" w:beforeAutospacing="1" w:after="0" w:afterAutospacing="1" w:line="540" w:lineRule="exact"/>
              <w:ind w:left="0" w:right="0"/>
              <w:jc w:val="left"/>
            </w:pPr>
            <w:r>
              <w:rPr>
                <w:rFonts w:hint="eastAsia" w:ascii="黑体" w:hAnsi="宋体" w:eastAsia="黑体" w:cs="黑体"/>
                <w:bCs/>
                <w:kern w:val="0"/>
                <w:sz w:val="32"/>
                <w:szCs w:val="32"/>
                <w:lang w:val="en-US" w:eastAsia="zh-CN" w:bidi="ar"/>
              </w:rPr>
              <w:t xml:space="preserve">二、主动公开政府信息情况 </w:t>
            </w:r>
          </w:p>
          <w:tbl>
            <w:tblPr>
              <w:tblW w:w="93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333"/>
              <w:gridCol w:w="2333"/>
              <w:gridCol w:w="2333"/>
              <w:gridCol w:w="23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83" w:hRule="atLeast"/>
                <w:jc w:val="center"/>
              </w:trPr>
              <w:tc>
                <w:tcPr>
                  <w:tcW w:w="9331"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color w:val="000000"/>
                      <w:kern w:val="0"/>
                      <w:sz w:val="28"/>
                      <w:szCs w:val="28"/>
                      <w:bdr w:val="none" w:color="auto" w:sz="0" w:space="0"/>
                      <w:lang w:val="en-US" w:eastAsia="zh-CN" w:bidi="ar"/>
                    </w:rPr>
                    <w:t>第二十条第（一）项</w:t>
                  </w:r>
                  <w:r>
                    <w:rPr>
                      <w:rFonts w:hint="eastAsia" w:ascii="仿宋" w:hAnsi="仿宋" w:eastAsia="仿宋" w:cs="仿宋_GB2312"/>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30"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信息内容</w:t>
                  </w:r>
                  <w:r>
                    <w:rPr>
                      <w:rFonts w:hint="eastAsia" w:ascii="仿宋" w:hAnsi="仿宋" w:eastAsia="仿宋" w:cs="楷体_GB2312"/>
                      <w:bCs/>
                      <w:kern w:val="2"/>
                      <w:sz w:val="28"/>
                      <w:szCs w:val="28"/>
                      <w:bdr w:val="none" w:color="auto" w:sz="0" w:space="0"/>
                      <w:lang w:val="en-US" w:eastAsia="zh-CN" w:bidi="ar"/>
                    </w:rPr>
                    <w:t xml:space="preserve"> </w:t>
                  </w:r>
                </w:p>
              </w:tc>
              <w:tc>
                <w:tcPr>
                  <w:tcW w:w="2333"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本年</w:t>
                  </w:r>
                  <w:r>
                    <w:rPr>
                      <w:rFonts w:hint="eastAsia" w:ascii="仿宋" w:hAnsi="仿宋" w:eastAsia="仿宋" w:cs="仿宋"/>
                      <w:bCs/>
                      <w:kern w:val="0"/>
                      <w:sz w:val="28"/>
                      <w:szCs w:val="28"/>
                      <w:bdr w:val="none" w:color="auto" w:sz="0" w:space="0"/>
                      <w:lang w:val="en-US" w:eastAsia="zh-CN" w:bidi="ar"/>
                    </w:rPr>
                    <w:t>制发件数</w:t>
                  </w:r>
                  <w:r>
                    <w:rPr>
                      <w:rFonts w:hint="eastAsia" w:ascii="仿宋" w:hAnsi="仿宋" w:eastAsia="仿宋" w:cs="楷体_GB2312"/>
                      <w:bCs/>
                      <w:kern w:val="2"/>
                      <w:sz w:val="28"/>
                      <w:szCs w:val="28"/>
                      <w:bdr w:val="none" w:color="auto" w:sz="0" w:space="0"/>
                      <w:lang w:val="en-US" w:eastAsia="zh-CN" w:bidi="ar"/>
                    </w:rPr>
                    <w:t xml:space="preserve"> </w:t>
                  </w:r>
                </w:p>
              </w:tc>
              <w:tc>
                <w:tcPr>
                  <w:tcW w:w="2333"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本年废止件数</w:t>
                  </w:r>
                  <w:r>
                    <w:rPr>
                      <w:rFonts w:hint="eastAsia" w:ascii="仿宋" w:hAnsi="仿宋" w:eastAsia="仿宋" w:cs="楷体_GB2312"/>
                      <w:bCs/>
                      <w:kern w:val="2"/>
                      <w:sz w:val="28"/>
                      <w:szCs w:val="28"/>
                      <w:bdr w:val="none" w:color="auto" w:sz="0" w:space="0"/>
                      <w:lang w:val="en-US" w:eastAsia="zh-CN" w:bidi="ar"/>
                    </w:rPr>
                    <w:t xml:space="preserve"> </w:t>
                  </w:r>
                </w:p>
              </w:tc>
              <w:tc>
                <w:tcPr>
                  <w:tcW w:w="2333"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现行有效件</w:t>
                  </w:r>
                  <w:r>
                    <w:rPr>
                      <w:rFonts w:hint="eastAsia" w:ascii="仿宋" w:hAnsi="仿宋" w:eastAsia="仿宋" w:cs="仿宋"/>
                      <w:bCs/>
                      <w:kern w:val="0"/>
                      <w:sz w:val="28"/>
                      <w:szCs w:val="28"/>
                      <w:bdr w:val="none" w:color="auto" w:sz="0" w:space="0"/>
                      <w:lang w:val="en-US" w:eastAsia="zh-CN" w:bidi="ar"/>
                    </w:rPr>
                    <w:t>数</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规</w:t>
                  </w:r>
                  <w:r>
                    <w:rPr>
                      <w:rFonts w:hint="eastAsia" w:ascii="仿宋" w:hAnsi="仿宋" w:eastAsia="仿宋" w:cs="楷体_GB2312"/>
                      <w:bCs/>
                      <w:color w:val="000000"/>
                      <w:kern w:val="0"/>
                      <w:sz w:val="28"/>
                      <w:szCs w:val="28"/>
                      <w:bdr w:val="none" w:color="auto" w:sz="0" w:space="0"/>
                      <w:lang w:val="en-US" w:eastAsia="zh-CN" w:bidi="ar"/>
                    </w:rPr>
                    <w:t xml:space="preserve"> </w:t>
                  </w:r>
                  <w:r>
                    <w:rPr>
                      <w:rFonts w:hint="eastAsia" w:ascii="仿宋" w:hAnsi="仿宋" w:eastAsia="仿宋" w:cs="仿宋"/>
                      <w:bCs/>
                      <w:color w:val="000000"/>
                      <w:kern w:val="0"/>
                      <w:sz w:val="28"/>
                      <w:szCs w:val="28"/>
                      <w:bdr w:val="none" w:color="auto" w:sz="0" w:space="0"/>
                      <w:lang w:val="en-US" w:eastAsia="zh-CN" w:bidi="ar"/>
                    </w:rPr>
                    <w:t>  </w:t>
                  </w:r>
                  <w:r>
                    <w:rPr>
                      <w:rFonts w:hint="eastAsia" w:ascii="仿宋" w:hAnsi="仿宋" w:eastAsia="仿宋" w:cs="楷体_GB2312"/>
                      <w:bCs/>
                      <w:color w:val="000000"/>
                      <w:kern w:val="0"/>
                      <w:sz w:val="28"/>
                      <w:szCs w:val="28"/>
                      <w:bdr w:val="none" w:color="auto" w:sz="0" w:space="0"/>
                      <w:lang w:val="en-US" w:eastAsia="zh-CN" w:bidi="ar"/>
                    </w:rPr>
                    <w:t>章</w:t>
                  </w:r>
                  <w:r>
                    <w:rPr>
                      <w:rFonts w:hint="eastAsia" w:ascii="仿宋" w:hAnsi="仿宋" w:eastAsia="仿宋" w:cs="楷体_GB2312"/>
                      <w:bCs/>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行政规范性文件</w:t>
                  </w:r>
                  <w:r>
                    <w:rPr>
                      <w:rFonts w:hint="eastAsia" w:ascii="仿宋" w:hAnsi="仿宋" w:eastAsia="仿宋" w:cs="楷体_GB2312"/>
                      <w:bCs/>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color w:val="000000"/>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color w:val="000000"/>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233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9331"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第二十条第（五）项</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信息内容</w:t>
                  </w:r>
                  <w:r>
                    <w:rPr>
                      <w:rFonts w:hint="eastAsia" w:ascii="仿宋" w:hAnsi="仿宋" w:eastAsia="仿宋" w:cs="楷体_GB2312"/>
                      <w:bCs/>
                      <w:kern w:val="2"/>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本年处理决定数量</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行政许可</w:t>
                  </w:r>
                  <w:r>
                    <w:rPr>
                      <w:rFonts w:hint="eastAsia" w:ascii="仿宋" w:hAnsi="仿宋" w:eastAsia="仿宋" w:cs="楷体_GB2312"/>
                      <w:bCs/>
                      <w:kern w:val="2"/>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1382</w:t>
                  </w:r>
                  <w:r>
                    <w:rPr>
                      <w:rFonts w:hint="eastAsia" w:ascii="仿宋" w:hAnsi="仿宋" w:eastAsia="仿宋" w:cs="仿宋_GB2312"/>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1" w:hRule="atLeast"/>
                <w:jc w:val="center"/>
              </w:trPr>
              <w:tc>
                <w:tcPr>
                  <w:tcW w:w="9331"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第二十条第（六）项</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信息内容</w:t>
                  </w:r>
                  <w:r>
                    <w:rPr>
                      <w:rFonts w:hint="eastAsia" w:ascii="仿宋" w:hAnsi="仿宋" w:eastAsia="仿宋" w:cs="楷体_GB2312"/>
                      <w:bCs/>
                      <w:color w:val="000000"/>
                      <w:kern w:val="0"/>
                      <w:sz w:val="28"/>
                      <w:szCs w:val="28"/>
                      <w:bdr w:val="none" w:color="auto" w:sz="0" w:space="0"/>
                      <w:lang w:val="en-US" w:eastAsia="zh-CN" w:bidi="ar"/>
                    </w:rPr>
                    <w:t xml:space="preserve"> </w:t>
                  </w:r>
                </w:p>
              </w:tc>
              <w:tc>
                <w:tcPr>
                  <w:tcW w:w="6998" w:type="dxa"/>
                  <w:gridSpan w:val="3"/>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本年处理决定数量</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行政处罚</w:t>
                  </w:r>
                  <w:r>
                    <w:rPr>
                      <w:rFonts w:hint="eastAsia" w:ascii="仿宋" w:hAnsi="仿宋" w:eastAsia="仿宋" w:cs="楷体_GB2312"/>
                      <w:bCs/>
                      <w:color w:val="000000"/>
                      <w:kern w:val="0"/>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color w:val="000000"/>
                      <w:kern w:val="0"/>
                      <w:sz w:val="28"/>
                      <w:szCs w:val="28"/>
                      <w:bdr w:val="none" w:color="auto" w:sz="0" w:space="0"/>
                      <w:lang w:val="en-US" w:eastAsia="zh-CN" w:bidi="ar"/>
                    </w:rPr>
                    <w:t>　</w:t>
                  </w:r>
                  <w:r>
                    <w:rPr>
                      <w:rFonts w:hint="eastAsia" w:ascii="仿宋" w:hAnsi="仿宋" w:eastAsia="仿宋" w:cs="仿宋_GB2312"/>
                      <w:color w:val="000000"/>
                      <w:kern w:val="0"/>
                      <w:sz w:val="28"/>
                      <w:szCs w:val="28"/>
                      <w:bdr w:val="none" w:color="auto" w:sz="0" w:space="0"/>
                      <w:lang w:val="en-US" w:eastAsia="zh-CN" w:bidi="ar"/>
                    </w:rPr>
                    <w:t xml:space="preserve">419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行政强制</w:t>
                  </w:r>
                  <w:r>
                    <w:rPr>
                      <w:rFonts w:hint="eastAsia" w:ascii="仿宋" w:hAnsi="仿宋" w:eastAsia="仿宋" w:cs="楷体_GB2312"/>
                      <w:bCs/>
                      <w:color w:val="000000"/>
                      <w:kern w:val="0"/>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color w:val="000000"/>
                      <w:kern w:val="0"/>
                      <w:sz w:val="28"/>
                      <w:szCs w:val="28"/>
                      <w:bdr w:val="none" w:color="auto" w:sz="0" w:space="0"/>
                      <w:lang w:val="en-US" w:eastAsia="zh-CN" w:bidi="ar"/>
                    </w:rPr>
                    <w:t>　</w:t>
                  </w: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color w:val="000000"/>
                      <w:kern w:val="0"/>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9331"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第二十条第（八）项</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1"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信息内容</w:t>
                  </w:r>
                  <w:r>
                    <w:rPr>
                      <w:rFonts w:hint="eastAsia" w:ascii="仿宋" w:hAnsi="仿宋" w:eastAsia="仿宋" w:cs="楷体_GB2312"/>
                      <w:bCs/>
                      <w:kern w:val="2"/>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000000"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本年收费金额（单位：万元）</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6" w:hRule="atLeast"/>
                <w:jc w:val="center"/>
              </w:trPr>
              <w:tc>
                <w:tcPr>
                  <w:tcW w:w="2333"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color w:val="000000"/>
                      <w:kern w:val="0"/>
                      <w:sz w:val="28"/>
                      <w:szCs w:val="28"/>
                      <w:bdr w:val="none" w:color="auto" w:sz="0" w:space="0"/>
                      <w:lang w:val="en-US" w:eastAsia="zh-CN" w:bidi="ar"/>
                    </w:rPr>
                    <w:t>行政事业性收费</w:t>
                  </w:r>
                  <w:r>
                    <w:rPr>
                      <w:rFonts w:hint="eastAsia" w:ascii="仿宋" w:hAnsi="仿宋" w:eastAsia="仿宋" w:cs="楷体_GB2312"/>
                      <w:bCs/>
                      <w:kern w:val="2"/>
                      <w:sz w:val="28"/>
                      <w:szCs w:val="28"/>
                      <w:bdr w:val="none" w:color="auto" w:sz="0" w:space="0"/>
                      <w:lang w:val="en-US" w:eastAsia="zh-CN" w:bidi="ar"/>
                    </w:rPr>
                    <w:t xml:space="preserve"> </w:t>
                  </w:r>
                </w:p>
              </w:tc>
              <w:tc>
                <w:tcPr>
                  <w:tcW w:w="6998" w:type="dxa"/>
                  <w:gridSpan w:val="3"/>
                  <w:tcBorders>
                    <w:top w:val="nil"/>
                    <w:left w:val="nil"/>
                    <w:bottom w:val="single" w:color="auto" w:sz="8" w:space="0"/>
                    <w:right w:val="single" w:color="000000"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2"/>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r>
          </w:tbl>
          <w:p>
            <w:pPr>
              <w:keepNext w:val="0"/>
              <w:keepLines w:val="0"/>
              <w:widowControl/>
              <w:suppressLineNumbers w:val="0"/>
              <w:shd w:val="clear" w:fill="FFFFFF"/>
              <w:spacing w:before="0" w:beforeAutospacing="1" w:after="0" w:afterAutospacing="1"/>
              <w:ind w:left="0" w:right="0"/>
              <w:jc w:val="left"/>
            </w:pPr>
            <w:r>
              <w:rPr>
                <w:rFonts w:hint="eastAsia" w:ascii="仿宋" w:hAnsi="仿宋" w:eastAsia="仿宋" w:cs="仿宋"/>
                <w:b/>
                <w:bCs w:val="0"/>
                <w:kern w:val="0"/>
                <w:sz w:val="32"/>
                <w:szCs w:val="32"/>
                <w:shd w:val="clear" w:fill="FFFFFF"/>
                <w:lang w:val="en-US" w:eastAsia="zh-CN" w:bidi="ar"/>
              </w:rPr>
              <w:t xml:space="preserve">  </w:t>
            </w:r>
          </w:p>
          <w:p>
            <w:pPr>
              <w:keepNext w:val="0"/>
              <w:keepLines w:val="0"/>
              <w:widowControl/>
              <w:suppressLineNumbers w:val="0"/>
              <w:shd w:val="clear" w:fill="FFFFFF"/>
              <w:spacing w:before="0" w:beforeAutospacing="1" w:after="0" w:afterAutospacing="1"/>
              <w:ind w:left="0" w:right="0"/>
              <w:jc w:val="left"/>
            </w:pPr>
            <w:r>
              <w:rPr>
                <w:rFonts w:hint="eastAsia" w:ascii="黑体" w:hAnsi="宋体" w:eastAsia="黑体" w:cs="黑体"/>
                <w:kern w:val="0"/>
                <w:sz w:val="32"/>
                <w:szCs w:val="32"/>
                <w:shd w:val="clear" w:fill="FFFFFF"/>
                <w:lang w:val="en-US" w:eastAsia="zh-CN" w:bidi="ar"/>
              </w:rPr>
              <w:t>三、收到和处理政府信息公开申请情况</w:t>
            </w:r>
            <w:r>
              <w:rPr>
                <w:rFonts w:hint="eastAsia" w:ascii="宋体" w:hAnsi="宋体" w:eastAsia="宋体" w:cs="宋体"/>
                <w:color w:val="333333"/>
                <w:kern w:val="0"/>
                <w:sz w:val="21"/>
                <w:szCs w:val="21"/>
                <w:shd w:val="clear" w:fill="FFFFFF"/>
                <w:lang w:val="en-US" w:eastAsia="zh-CN" w:bidi="ar"/>
              </w:rPr>
              <w:t xml:space="preserve"> </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
              <w:gridCol w:w="768"/>
              <w:gridCol w:w="994"/>
              <w:gridCol w:w="4567"/>
              <w:gridCol w:w="5"/>
              <w:gridCol w:w="431"/>
              <w:gridCol w:w="5"/>
              <w:gridCol w:w="491"/>
              <w:gridCol w:w="5"/>
              <w:gridCol w:w="491"/>
              <w:gridCol w:w="5"/>
              <w:gridCol w:w="492"/>
              <w:gridCol w:w="5"/>
              <w:gridCol w:w="491"/>
              <w:gridCol w:w="5"/>
              <w:gridCol w:w="491"/>
              <w:gridCol w:w="5"/>
              <w:gridCol w:w="492"/>
              <w:gridCol w:w="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6600" w:type="dxa"/>
                  <w:gridSpan w:val="4"/>
                  <w:vMerge w:val="restart"/>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（本列数据的勾稽关系为：第一项加第二项之和，等于第三项加第四项之和）</w:t>
                  </w:r>
                  <w:r>
                    <w:rPr>
                      <w:rFonts w:hint="eastAsia" w:ascii="仿宋" w:hAnsi="仿宋" w:eastAsia="仿宋" w:cs="楷体_GB2312"/>
                      <w:bCs/>
                      <w:kern w:val="2"/>
                      <w:sz w:val="28"/>
                      <w:szCs w:val="28"/>
                      <w:bdr w:val="none" w:color="auto" w:sz="0" w:space="0"/>
                      <w:lang w:val="en-US" w:eastAsia="zh-CN" w:bidi="ar"/>
                    </w:rPr>
                    <w:t xml:space="preserve"> </w:t>
                  </w:r>
                </w:p>
              </w:tc>
              <w:tc>
                <w:tcPr>
                  <w:tcW w:w="3148" w:type="dxa"/>
                  <w:gridSpan w:val="14"/>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申请人情况</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6600" w:type="dxa"/>
                  <w:gridSpan w:val="4"/>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39" w:type="dxa"/>
                  <w:gridSpan w:val="2"/>
                  <w:vMerge w:val="restart"/>
                  <w:tcBorders>
                    <w:top w:val="single" w:color="auto" w:sz="2" w:space="0"/>
                    <w:left w:val="single" w:color="auto" w:sz="2"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自</w:t>
                  </w:r>
                  <w:r>
                    <w:rPr>
                      <w:rFonts w:hint="eastAsia" w:ascii="仿宋" w:hAnsi="仿宋" w:eastAsia="仿宋" w:cs="楷体_GB2312"/>
                      <w:bCs/>
                      <w:kern w:val="0"/>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楷体_GB2312"/>
                      <w:bCs/>
                      <w:kern w:val="0"/>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然</w:t>
                  </w:r>
                  <w:r>
                    <w:rPr>
                      <w:rFonts w:hint="eastAsia" w:ascii="仿宋" w:hAnsi="仿宋" w:eastAsia="仿宋" w:cs="楷体_GB2312"/>
                      <w:bCs/>
                      <w:kern w:val="0"/>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楷体_GB2312"/>
                      <w:bCs/>
                      <w:kern w:val="0"/>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人</w:t>
                  </w:r>
                  <w:r>
                    <w:rPr>
                      <w:rFonts w:hint="eastAsia" w:ascii="仿宋" w:hAnsi="仿宋" w:eastAsia="仿宋" w:cs="楷体_GB2312"/>
                      <w:bCs/>
                      <w:kern w:val="2"/>
                      <w:sz w:val="28"/>
                      <w:szCs w:val="28"/>
                      <w:bdr w:val="none" w:color="auto" w:sz="0" w:space="0"/>
                      <w:lang w:val="en-US" w:eastAsia="zh-CN" w:bidi="ar"/>
                    </w:rPr>
                    <w:t xml:space="preserve"> </w:t>
                  </w:r>
                </w:p>
              </w:tc>
              <w:tc>
                <w:tcPr>
                  <w:tcW w:w="2238" w:type="dxa"/>
                  <w:gridSpan w:val="10"/>
                  <w:tcBorders>
                    <w:top w:val="single" w:color="auto" w:sz="8"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法人或其他组织</w:t>
                  </w:r>
                  <w:r>
                    <w:rPr>
                      <w:rFonts w:hint="eastAsia" w:ascii="仿宋" w:hAnsi="仿宋" w:eastAsia="仿宋" w:cs="楷体_GB2312"/>
                      <w:bCs/>
                      <w:kern w:val="2"/>
                      <w:sz w:val="28"/>
                      <w:szCs w:val="28"/>
                      <w:bdr w:val="none" w:color="auto" w:sz="0" w:space="0"/>
                      <w:lang w:val="en-US" w:eastAsia="zh-CN" w:bidi="ar"/>
                    </w:rPr>
                    <w:t xml:space="preserve"> </w:t>
                  </w:r>
                </w:p>
              </w:tc>
              <w:tc>
                <w:tcPr>
                  <w:tcW w:w="471" w:type="dxa"/>
                  <w:gridSpan w:val="2"/>
                  <w:vMerge w:val="restart"/>
                  <w:tcBorders>
                    <w:top w:val="single" w:color="auto" w:sz="8" w:space="0"/>
                    <w:left w:val="single" w:color="auto" w:sz="2" w:space="0"/>
                    <w:bottom w:val="outset"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总计</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6600" w:type="dxa"/>
                  <w:gridSpan w:val="4"/>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39" w:type="dxa"/>
                  <w:gridSpan w:val="2"/>
                  <w:vMerge w:val="continue"/>
                  <w:tcBorders>
                    <w:top w:val="single" w:color="auto" w:sz="2" w:space="0"/>
                    <w:left w:val="single" w:color="auto" w:sz="2" w:space="0"/>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73" w:type="dxa"/>
                  <w:gridSpan w:val="2"/>
                  <w:tcBorders>
                    <w:top w:val="single" w:color="auto" w:sz="2"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商业</w:t>
                  </w:r>
                  <w:r>
                    <w:rPr>
                      <w:rFonts w:hint="eastAsia" w:ascii="仿宋" w:hAnsi="仿宋" w:eastAsia="仿宋" w:cs="楷体_GB2312"/>
                      <w:bCs/>
                      <w:kern w:val="2"/>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企业</w:t>
                  </w:r>
                  <w:r>
                    <w:rPr>
                      <w:rFonts w:hint="eastAsia" w:ascii="仿宋" w:hAnsi="仿宋" w:eastAsia="仿宋" w:cs="楷体_GB2312"/>
                      <w:bCs/>
                      <w:kern w:val="2"/>
                      <w:sz w:val="28"/>
                      <w:szCs w:val="28"/>
                      <w:bdr w:val="none" w:color="auto" w:sz="0" w:space="0"/>
                      <w:lang w:val="en-US" w:eastAsia="zh-CN" w:bidi="ar"/>
                    </w:rPr>
                    <w:t xml:space="preserve"> </w:t>
                  </w:r>
                </w:p>
              </w:tc>
              <w:tc>
                <w:tcPr>
                  <w:tcW w:w="380" w:type="dxa"/>
                  <w:gridSpan w:val="2"/>
                  <w:tcBorders>
                    <w:top w:val="single" w:color="auto" w:sz="2"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科研</w:t>
                  </w:r>
                  <w:r>
                    <w:rPr>
                      <w:rFonts w:hint="eastAsia" w:ascii="仿宋" w:hAnsi="仿宋" w:eastAsia="仿宋" w:cs="楷体_GB2312"/>
                      <w:bCs/>
                      <w:kern w:val="2"/>
                      <w:sz w:val="28"/>
                      <w:szCs w:val="28"/>
                      <w:bdr w:val="none" w:color="auto" w:sz="0" w:space="0"/>
                      <w:lang w:val="en-US" w:eastAsia="zh-CN" w:bidi="ar"/>
                    </w:rPr>
                    <w:t xml:space="preserve"> </w:t>
                  </w:r>
                </w:p>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机构</w:t>
                  </w:r>
                  <w:r>
                    <w:rPr>
                      <w:rFonts w:hint="eastAsia" w:ascii="仿宋" w:hAnsi="仿宋" w:eastAsia="仿宋" w:cs="楷体_GB2312"/>
                      <w:bCs/>
                      <w:kern w:val="2"/>
                      <w:sz w:val="28"/>
                      <w:szCs w:val="28"/>
                      <w:bdr w:val="none" w:color="auto" w:sz="0" w:space="0"/>
                      <w:lang w:val="en-US" w:eastAsia="zh-CN" w:bidi="ar"/>
                    </w:rPr>
                    <w:t xml:space="preserve"> </w:t>
                  </w:r>
                </w:p>
              </w:tc>
              <w:tc>
                <w:tcPr>
                  <w:tcW w:w="497" w:type="dxa"/>
                  <w:gridSpan w:val="2"/>
                  <w:tcBorders>
                    <w:top w:val="single" w:color="auto" w:sz="8"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社会公益组织</w:t>
                  </w:r>
                  <w:r>
                    <w:rPr>
                      <w:rFonts w:hint="eastAsia" w:ascii="仿宋" w:hAnsi="仿宋" w:eastAsia="仿宋" w:cs="楷体_GB2312"/>
                      <w:bCs/>
                      <w:kern w:val="2"/>
                      <w:sz w:val="28"/>
                      <w:szCs w:val="28"/>
                      <w:bdr w:val="none" w:color="auto" w:sz="0" w:space="0"/>
                      <w:lang w:val="en-US" w:eastAsia="zh-CN" w:bidi="ar"/>
                    </w:rPr>
                    <w:t xml:space="preserve"> </w:t>
                  </w:r>
                </w:p>
              </w:tc>
              <w:tc>
                <w:tcPr>
                  <w:tcW w:w="438" w:type="dxa"/>
                  <w:gridSpan w:val="2"/>
                  <w:tcBorders>
                    <w:top w:val="single" w:color="auto" w:sz="8"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法律服务机构</w:t>
                  </w:r>
                  <w:r>
                    <w:rPr>
                      <w:rFonts w:hint="eastAsia" w:ascii="仿宋" w:hAnsi="仿宋" w:eastAsia="仿宋" w:cs="楷体_GB2312"/>
                      <w:bCs/>
                      <w:kern w:val="2"/>
                      <w:sz w:val="28"/>
                      <w:szCs w:val="28"/>
                      <w:bdr w:val="none" w:color="auto" w:sz="0" w:space="0"/>
                      <w:lang w:val="en-US" w:eastAsia="zh-CN" w:bidi="ar"/>
                    </w:rPr>
                    <w:t xml:space="preserve"> </w:t>
                  </w:r>
                </w:p>
              </w:tc>
              <w:tc>
                <w:tcPr>
                  <w:tcW w:w="450" w:type="dxa"/>
                  <w:gridSpan w:val="2"/>
                  <w:tcBorders>
                    <w:top w:val="single" w:color="auto" w:sz="8" w:space="0"/>
                    <w:left w:val="single" w:color="auto" w:sz="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bCs/>
                      <w:kern w:val="0"/>
                      <w:sz w:val="28"/>
                      <w:szCs w:val="28"/>
                      <w:bdr w:val="none" w:color="auto" w:sz="0" w:space="0"/>
                      <w:lang w:val="en-US" w:eastAsia="zh-CN" w:bidi="ar"/>
                    </w:rPr>
                    <w:t>其他</w:t>
                  </w:r>
                  <w:r>
                    <w:rPr>
                      <w:rFonts w:hint="eastAsia" w:ascii="仿宋" w:hAnsi="仿宋" w:eastAsia="仿宋" w:cs="楷体_GB2312"/>
                      <w:bCs/>
                      <w:kern w:val="2"/>
                      <w:sz w:val="28"/>
                      <w:szCs w:val="28"/>
                      <w:bdr w:val="none" w:color="auto" w:sz="0" w:space="0"/>
                      <w:lang w:val="en-US" w:eastAsia="zh-CN" w:bidi="ar"/>
                    </w:rPr>
                    <w:t xml:space="preserve"> </w:t>
                  </w:r>
                </w:p>
              </w:tc>
              <w:tc>
                <w:tcPr>
                  <w:tcW w:w="471" w:type="dxa"/>
                  <w:gridSpan w:val="2"/>
                  <w:vMerge w:val="continue"/>
                  <w:tcBorders>
                    <w:top w:val="single" w:color="auto" w:sz="8" w:space="0"/>
                    <w:left w:val="single" w:color="auto" w:sz="2" w:space="0"/>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6600" w:type="dxa"/>
                  <w:gridSpan w:val="4"/>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一、本年新收政府信息公开申请数量</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6600" w:type="dxa"/>
                  <w:gridSpan w:val="4"/>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二、上年结转政府信息公开申请数量</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restart"/>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三、本年度办理结果</w:t>
                  </w:r>
                  <w:r>
                    <w:rPr>
                      <w:rFonts w:hint="eastAsia" w:ascii="仿宋" w:hAnsi="仿宋" w:eastAsia="仿宋" w:cs="楷体_GB2312"/>
                      <w:bCs/>
                      <w:kern w:val="2"/>
                      <w:sz w:val="28"/>
                      <w:szCs w:val="28"/>
                      <w:bdr w:val="none" w:color="auto" w:sz="0" w:space="0"/>
                      <w:lang w:val="en-US" w:eastAsia="zh-CN" w:bidi="ar"/>
                    </w:rPr>
                    <w:t xml:space="preserve"> </w:t>
                  </w: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（一）予以公开</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（二）部分公开（区分处理的，只计这一情形，不计其他情形）</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（三）不予公开</w:t>
                  </w:r>
                  <w:r>
                    <w:rPr>
                      <w:rFonts w:hint="eastAsia" w:ascii="仿宋" w:hAnsi="仿宋" w:eastAsia="仿宋" w:cs="楷体_GB2312"/>
                      <w:bCs/>
                      <w:kern w:val="2"/>
                      <w:sz w:val="28"/>
                      <w:szCs w:val="28"/>
                      <w:bdr w:val="none" w:color="auto" w:sz="0" w:space="0"/>
                      <w:lang w:val="en-US" w:eastAsia="zh-CN" w:bidi="ar"/>
                    </w:rPr>
                    <w:t xml:space="preserve"> </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1.属于国家秘密</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2.其他法律行政法规禁止公开</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3.危及“三安全一稳定”</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4.保护第三方合法权益</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5.属于三类内部事务信息</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6.属于四类过程性信息</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7.属于行政执法案卷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8.属于行政查询事项</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（四）无法提供</w:t>
                  </w:r>
                  <w:r>
                    <w:rPr>
                      <w:rFonts w:hint="eastAsia" w:ascii="仿宋" w:hAnsi="仿宋" w:eastAsia="仿宋" w:cs="楷体_GB2312"/>
                      <w:bCs/>
                      <w:kern w:val="2"/>
                      <w:sz w:val="28"/>
                      <w:szCs w:val="28"/>
                      <w:bdr w:val="none" w:color="auto" w:sz="0" w:space="0"/>
                      <w:lang w:val="en-US" w:eastAsia="zh-CN" w:bidi="ar"/>
                    </w:rPr>
                    <w:t xml:space="preserve"> </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1.本机关不掌握相关政府信息</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trHeight w:val="468" w:hRule="atLeast"/>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2.没有现成信息需要另行制作</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trHeight w:val="90" w:hRule="atLeast"/>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3.补正后申请内容仍不明确</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（五）不予处理</w:t>
                  </w:r>
                  <w:r>
                    <w:rPr>
                      <w:rFonts w:hint="eastAsia" w:ascii="仿宋" w:hAnsi="仿宋" w:eastAsia="仿宋" w:cs="楷体_GB2312"/>
                      <w:bCs/>
                      <w:kern w:val="2"/>
                      <w:sz w:val="28"/>
                      <w:szCs w:val="28"/>
                      <w:bdr w:val="none" w:color="auto" w:sz="0" w:space="0"/>
                      <w:lang w:val="en-US" w:eastAsia="zh-CN" w:bidi="ar"/>
                    </w:rPr>
                    <w:t xml:space="preserve"> </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1.信访举报投诉类申请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2.重复申请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3.要求提供公开出版物</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trHeight w:val="439" w:hRule="atLeast"/>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4.无正当理由大量反复申请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trHeight w:val="779" w:hRule="atLeast"/>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single" w:color="auto" w:sz="2" w:space="0"/>
                    <w:left w:val="single" w:color="auto" w:sz="2"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5.要求行政机关确认或重新出具已获取信息</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trHeight w:val="1559" w:hRule="atLeast"/>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（六）其他处理</w:t>
                  </w:r>
                  <w:r>
                    <w:rPr>
                      <w:rFonts w:hint="eastAsia" w:ascii="仿宋" w:hAnsi="仿宋" w:eastAsia="仿宋" w:cs="楷体_GB2312"/>
                      <w:bCs/>
                      <w:kern w:val="2"/>
                      <w:sz w:val="28"/>
                      <w:szCs w:val="28"/>
                      <w:bdr w:val="none" w:color="auto" w:sz="0" w:space="0"/>
                      <w:lang w:val="en-US" w:eastAsia="zh-CN" w:bidi="ar"/>
                    </w:rPr>
                    <w:t xml:space="preserve"> </w:t>
                  </w: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1.申请人无正当理由逾期不补正、行政机关不再处理其政府信息公开申请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2.申请人逾期未按收费通知要求缴纳费用、行政机关不再处理其政府信息公开申请</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3.其他</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3"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38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After w:val="1"/>
                <w:jc w:val="center"/>
              </w:trPr>
              <w:tc>
                <w:tcPr>
                  <w:tcW w:w="780" w:type="dxa"/>
                  <w:gridSpan w:val="2"/>
                  <w:vMerge w:val="continue"/>
                  <w:tcBorders>
                    <w:top w:val="single" w:color="auto" w:sz="2" w:space="0"/>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（七）总计</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473"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38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gridBefore w:val="1"/>
                <w:trHeight w:val="738" w:hRule="atLeast"/>
                <w:jc w:val="center"/>
              </w:trPr>
              <w:tc>
                <w:tcPr>
                  <w:tcW w:w="6600" w:type="dxa"/>
                  <w:gridSpan w:val="4"/>
                  <w:tcBorders>
                    <w:top w:val="single" w:color="auto" w:sz="4" w:space="0"/>
                    <w:left w:val="single" w:color="auto" w:sz="4" w:space="0"/>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line="400" w:lineRule="exact"/>
                    <w:ind w:left="0" w:right="0"/>
                    <w:jc w:val="left"/>
                  </w:pPr>
                  <w:r>
                    <w:rPr>
                      <w:rFonts w:hint="eastAsia" w:ascii="仿宋" w:hAnsi="仿宋" w:eastAsia="仿宋" w:cs="仿宋"/>
                      <w:bCs/>
                      <w:kern w:val="0"/>
                      <w:sz w:val="28"/>
                      <w:szCs w:val="28"/>
                      <w:bdr w:val="none" w:color="auto" w:sz="0" w:space="0"/>
                      <w:lang w:val="en-US" w:eastAsia="zh-CN" w:bidi="ar"/>
                    </w:rPr>
                    <w:t>四、结转下年度继续办理</w:t>
                  </w:r>
                  <w:r>
                    <w:rPr>
                      <w:rFonts w:hint="eastAsia" w:ascii="仿宋" w:hAnsi="仿宋" w:eastAsia="仿宋" w:cs="楷体_GB2312"/>
                      <w:bCs/>
                      <w:kern w:val="2"/>
                      <w:sz w:val="28"/>
                      <w:szCs w:val="28"/>
                      <w:bdr w:val="none" w:color="auto" w:sz="0" w:space="0"/>
                      <w:lang w:val="en-US" w:eastAsia="zh-CN" w:bidi="ar"/>
                    </w:rPr>
                    <w:t xml:space="preserve"> </w:t>
                  </w:r>
                </w:p>
              </w:tc>
              <w:tc>
                <w:tcPr>
                  <w:tcW w:w="439"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473"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38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97"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38"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5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471"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bl>
          <w:p>
            <w:pPr>
              <w:keepNext w:val="0"/>
              <w:keepLines w:val="0"/>
              <w:widowControl/>
              <w:suppressLineNumbers w:val="0"/>
              <w:spacing w:before="0" w:beforeAutospacing="1" w:after="0" w:afterAutospacing="1"/>
              <w:ind w:left="0" w:right="0"/>
              <w:jc w:val="left"/>
            </w:pPr>
            <w:r>
              <w:rPr>
                <w:rFonts w:hint="eastAsia" w:ascii="黑体" w:hAnsi="宋体" w:eastAsia="黑体" w:cs="黑体"/>
                <w:kern w:val="0"/>
                <w:sz w:val="32"/>
                <w:szCs w:val="32"/>
                <w:shd w:val="clear" w:fill="FFFFFF"/>
                <w:lang w:val="en-US" w:eastAsia="zh-CN" w:bidi="ar"/>
              </w:rPr>
              <w:t>四、政府信息公开行政复议、行政诉讼情况</w:t>
            </w:r>
            <w:r>
              <w:rPr>
                <w:rFonts w:hint="eastAsia" w:ascii="黑体" w:hAnsi="宋体" w:eastAsia="黑体" w:cs="黑体"/>
                <w:color w:val="333333"/>
                <w:kern w:val="0"/>
                <w:sz w:val="32"/>
                <w:szCs w:val="32"/>
                <w:lang w:val="en-US" w:eastAsia="zh-CN" w:bidi="ar"/>
              </w:rPr>
              <w:t xml:space="preserve"> </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250"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行政复议</w:t>
                  </w:r>
                  <w:r>
                    <w:rPr>
                      <w:rFonts w:hint="eastAsia" w:ascii="仿宋" w:hAnsi="仿宋" w:eastAsia="仿宋" w:cs="楷体_GB2312"/>
                      <w:bCs/>
                      <w:kern w:val="2"/>
                      <w:sz w:val="28"/>
                      <w:szCs w:val="28"/>
                      <w:bdr w:val="none" w:color="auto" w:sz="0" w:space="0"/>
                      <w:lang w:val="en-US" w:eastAsia="zh-CN" w:bidi="ar"/>
                    </w:rPr>
                    <w:t xml:space="preserve"> </w:t>
                  </w:r>
                </w:p>
              </w:tc>
              <w:tc>
                <w:tcPr>
                  <w:tcW w:w="6498"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行政诉讼</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5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结果维持</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纠正</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其他</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尚未</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审结</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总计</w:t>
                  </w:r>
                  <w:r>
                    <w:rPr>
                      <w:rFonts w:hint="eastAsia" w:ascii="仿宋" w:hAnsi="仿宋" w:eastAsia="仿宋" w:cs="楷体_GB2312"/>
                      <w:bCs/>
                      <w:kern w:val="2"/>
                      <w:sz w:val="28"/>
                      <w:szCs w:val="28"/>
                      <w:bdr w:val="none" w:color="auto" w:sz="0" w:space="0"/>
                      <w:lang w:val="en-US" w:eastAsia="zh-CN" w:bidi="ar"/>
                    </w:rPr>
                    <w:t xml:space="preserve"> </w:t>
                  </w:r>
                </w:p>
              </w:tc>
              <w:tc>
                <w:tcPr>
                  <w:tcW w:w="3248"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未经复议直接起诉</w:t>
                  </w:r>
                  <w:r>
                    <w:rPr>
                      <w:rFonts w:hint="eastAsia" w:ascii="仿宋" w:hAnsi="仿宋" w:eastAsia="仿宋" w:cs="楷体_GB2312"/>
                      <w:bCs/>
                      <w:kern w:val="2"/>
                      <w:sz w:val="28"/>
                      <w:szCs w:val="28"/>
                      <w:bdr w:val="none" w:color="auto" w:sz="0" w:space="0"/>
                      <w:lang w:val="en-US" w:eastAsia="zh-CN" w:bidi="ar"/>
                    </w:rPr>
                    <w:t xml:space="preserve"> </w:t>
                  </w:r>
                </w:p>
              </w:tc>
              <w:tc>
                <w:tcPr>
                  <w:tcW w:w="3250"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复议后起诉</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5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维持</w:t>
                  </w:r>
                  <w:r>
                    <w:rPr>
                      <w:rFonts w:hint="eastAsia" w:ascii="仿宋" w:hAnsi="仿宋" w:eastAsia="仿宋" w:cs="楷体_GB2312"/>
                      <w:bCs/>
                      <w:kern w:val="2"/>
                      <w:sz w:val="28"/>
                      <w:szCs w:val="28"/>
                      <w:bdr w:val="none" w:color="auto" w:sz="0" w:space="0"/>
                      <w:lang w:val="en-US" w:eastAsia="zh-CN" w:bidi="ar"/>
                    </w:rPr>
                    <w:t xml:space="preserve">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纠正</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其他</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尚未</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审结</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color w:val="000000"/>
                      <w:kern w:val="0"/>
                      <w:sz w:val="28"/>
                      <w:szCs w:val="28"/>
                      <w:bdr w:val="none" w:color="auto" w:sz="0" w:space="0"/>
                      <w:lang w:val="en-US" w:eastAsia="zh-CN" w:bidi="ar"/>
                    </w:rPr>
                    <w:t>总计</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维持</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结果</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纠正</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color w:val="000000"/>
                      <w:kern w:val="0"/>
                      <w:sz w:val="28"/>
                      <w:szCs w:val="28"/>
                      <w:bdr w:val="none" w:color="auto" w:sz="0" w:space="0"/>
                      <w:lang w:val="en-US" w:eastAsia="zh-CN" w:bidi="ar"/>
                    </w:rPr>
                    <w:t>其他</w:t>
                  </w:r>
                  <w:r>
                    <w:rPr>
                      <w:rFonts w:hint="eastAsia" w:ascii="仿宋" w:hAnsi="仿宋" w:eastAsia="仿宋" w:cs="楷体_GB2312"/>
                      <w:bCs/>
                      <w:color w:val="000000"/>
                      <w:kern w:val="0"/>
                      <w:sz w:val="28"/>
                      <w:szCs w:val="28"/>
                      <w:bdr w:val="none" w:color="auto" w:sz="0" w:space="0"/>
                      <w:lang w:val="en-US" w:eastAsia="zh-CN" w:bidi="ar"/>
                    </w:rPr>
                    <w:br w:type="textWrapping"/>
                  </w:r>
                  <w:r>
                    <w:rPr>
                      <w:rFonts w:hint="eastAsia" w:ascii="仿宋" w:hAnsi="仿宋" w:eastAsia="仿宋" w:cs="仿宋"/>
                      <w:bCs/>
                      <w:color w:val="000000"/>
                      <w:kern w:val="0"/>
                      <w:sz w:val="28"/>
                      <w:szCs w:val="28"/>
                      <w:bdr w:val="none" w:color="auto" w:sz="0" w:space="0"/>
                      <w:lang w:val="en-US" w:eastAsia="zh-CN" w:bidi="ar"/>
                    </w:rPr>
                    <w:t>结果</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kern w:val="0"/>
                      <w:sz w:val="28"/>
                      <w:szCs w:val="28"/>
                      <w:bdr w:val="none" w:color="auto" w:sz="0" w:space="0"/>
                      <w:lang w:val="en-US" w:eastAsia="zh-CN" w:bidi="ar"/>
                    </w:rPr>
                    <w:t>尚未</w:t>
                  </w:r>
                  <w:r>
                    <w:rPr>
                      <w:rFonts w:hint="eastAsia" w:ascii="仿宋" w:hAnsi="仿宋" w:eastAsia="仿宋" w:cs="楷体_GB2312"/>
                      <w:bCs/>
                      <w:kern w:val="0"/>
                      <w:sz w:val="28"/>
                      <w:szCs w:val="28"/>
                      <w:bdr w:val="none" w:color="auto" w:sz="0" w:space="0"/>
                      <w:lang w:val="en-US" w:eastAsia="zh-CN" w:bidi="ar"/>
                    </w:rPr>
                    <w:br w:type="textWrapping"/>
                  </w:r>
                  <w:r>
                    <w:rPr>
                      <w:rFonts w:hint="eastAsia" w:ascii="仿宋" w:hAnsi="仿宋" w:eastAsia="仿宋" w:cs="仿宋"/>
                      <w:bCs/>
                      <w:kern w:val="0"/>
                      <w:sz w:val="28"/>
                      <w:szCs w:val="28"/>
                      <w:bdr w:val="none" w:color="auto" w:sz="0" w:space="0"/>
                      <w:lang w:val="en-US" w:eastAsia="zh-CN" w:bidi="ar"/>
                    </w:rPr>
                    <w:t>审结</w:t>
                  </w:r>
                  <w:r>
                    <w:rPr>
                      <w:rFonts w:hint="eastAsia" w:ascii="仿宋" w:hAnsi="仿宋" w:eastAsia="仿宋" w:cs="楷体_GB2312"/>
                      <w:bCs/>
                      <w:kern w:val="2"/>
                      <w:sz w:val="28"/>
                      <w:szCs w:val="28"/>
                      <w:bdr w:val="none" w:color="auto" w:sz="0" w:space="0"/>
                      <w:lang w:val="en-US" w:eastAsia="zh-CN" w:bidi="ar"/>
                    </w:rPr>
                    <w:t xml:space="preserve"> </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 w:hAnsi="仿宋" w:eastAsia="仿宋" w:cs="仿宋"/>
                      <w:bCs/>
                      <w:color w:val="000000"/>
                      <w:kern w:val="0"/>
                      <w:sz w:val="28"/>
                      <w:szCs w:val="28"/>
                      <w:bdr w:val="none" w:color="auto" w:sz="0" w:space="0"/>
                      <w:lang w:val="en-US" w:eastAsia="zh-CN" w:bidi="ar"/>
                    </w:rPr>
                    <w:t>总计</w:t>
                  </w:r>
                  <w:r>
                    <w:rPr>
                      <w:rFonts w:hint="eastAsia" w:ascii="仿宋" w:hAnsi="仿宋" w:eastAsia="仿宋" w:cs="楷体_GB2312"/>
                      <w:bCs/>
                      <w:kern w:val="2"/>
                      <w:sz w:val="28"/>
                      <w:szCs w:val="28"/>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 0</w:t>
                  </w:r>
                  <w:r>
                    <w:rPr>
                      <w:rFonts w:hint="eastAsia" w:ascii="仿宋" w:hAnsi="仿宋" w:eastAsia="仿宋" w:cs="仿宋_GB2312"/>
                      <w:kern w:val="0"/>
                      <w:sz w:val="28"/>
                      <w:szCs w:val="28"/>
                      <w:bdr w:val="none" w:color="auto" w:sz="0" w:space="0"/>
                      <w:lang w:val="en-US" w:eastAsia="zh-CN" w:bidi="ar"/>
                    </w:rPr>
                    <w:t xml:space="preserve"> </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8"/>
                      <w:szCs w:val="28"/>
                      <w:bdr w:val="none" w:color="auto" w:sz="0" w:space="0"/>
                      <w:lang w:val="en-US" w:eastAsia="zh-CN" w:bidi="ar"/>
                    </w:rPr>
                    <w:t> </w:t>
                  </w: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 0</w:t>
                  </w:r>
                  <w:r>
                    <w:rPr>
                      <w:rFonts w:hint="eastAsia" w:ascii="仿宋" w:hAnsi="仿宋" w:eastAsia="仿宋" w:cs="仿宋_GB2312"/>
                      <w:kern w:val="0"/>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 0</w:t>
                  </w:r>
                  <w:r>
                    <w:rPr>
                      <w:rFonts w:hint="eastAsia" w:ascii="仿宋" w:hAnsi="仿宋" w:eastAsia="仿宋" w:cs="仿宋_GB2312"/>
                      <w:kern w:val="0"/>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0 </w:t>
                  </w:r>
                  <w:r>
                    <w:rPr>
                      <w:rFonts w:hint="eastAsia" w:ascii="仿宋" w:hAnsi="仿宋" w:eastAsia="仿宋" w:cs="仿宋_GB2312"/>
                      <w:kern w:val="0"/>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_GB2312"/>
                      <w:kern w:val="0"/>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c>
                <w:tcPr>
                  <w:tcW w:w="65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仿宋" w:hAnsi="仿宋" w:eastAsia="仿宋" w:cs="仿宋"/>
                      <w:kern w:val="0"/>
                      <w:sz w:val="28"/>
                      <w:szCs w:val="28"/>
                      <w:bdr w:val="none" w:color="auto" w:sz="0" w:space="0"/>
                      <w:lang w:val="en-US" w:eastAsia="zh-CN" w:bidi="ar"/>
                    </w:rPr>
                    <w:t>0</w:t>
                  </w:r>
                  <w:r>
                    <w:rPr>
                      <w:rFonts w:hint="eastAsia" w:ascii="仿宋" w:hAnsi="仿宋" w:eastAsia="仿宋" w:cs="仿宋"/>
                      <w:kern w:val="2"/>
                      <w:sz w:val="28"/>
                      <w:szCs w:val="28"/>
                      <w:bdr w:val="none" w:color="auto" w:sz="0" w:space="0"/>
                      <w:lang w:val="en-US" w:eastAsia="zh-CN" w:bidi="ar"/>
                    </w:rPr>
                    <w:t xml:space="preserve"> </w:t>
                  </w:r>
                </w:p>
              </w:tc>
            </w:tr>
          </w:tbl>
          <w:p>
            <w:pPr>
              <w:keepNext w:val="0"/>
              <w:keepLines w:val="0"/>
              <w:widowControl/>
              <w:suppressLineNumbers w:val="0"/>
              <w:spacing w:before="0" w:beforeAutospacing="1" w:after="0" w:afterAutospacing="1"/>
              <w:ind w:left="0" w:right="0"/>
              <w:jc w:val="left"/>
            </w:pPr>
            <w:r>
              <w:rPr>
                <w:rFonts w:ascii="Calibri" w:hAnsi="Calibri" w:cs="Calibri" w:eastAsiaTheme="minorEastAsia"/>
                <w:kern w:val="0"/>
                <w:sz w:val="21"/>
                <w:szCs w:val="21"/>
                <w:lang w:val="en-US" w:eastAsia="zh-CN" w:bidi="ar"/>
              </w:rPr>
              <w:t xml:space="preserve">  </w:t>
            </w:r>
          </w:p>
          <w:p>
            <w:pPr>
              <w:keepNext w:val="0"/>
              <w:keepLines w:val="0"/>
              <w:widowControl/>
              <w:suppressLineNumbers w:val="0"/>
              <w:shd w:val="clear" w:fill="FFFFFF"/>
              <w:spacing w:before="0" w:beforeAutospacing="1" w:after="0" w:afterAutospacing="1"/>
              <w:ind w:left="0" w:right="0" w:firstLine="640"/>
              <w:jc w:val="left"/>
            </w:pPr>
            <w:r>
              <w:rPr>
                <w:rFonts w:hint="eastAsia" w:ascii="黑体" w:hAnsi="宋体" w:eastAsia="黑体" w:cs="黑体"/>
                <w:kern w:val="0"/>
                <w:sz w:val="32"/>
                <w:szCs w:val="32"/>
                <w:shd w:val="clear" w:fill="FFFFFF"/>
                <w:lang w:val="en-US" w:eastAsia="zh-CN" w:bidi="ar"/>
              </w:rPr>
              <w:t xml:space="preserve">五、存在的主要问题及改进情况 </w:t>
            </w:r>
          </w:p>
          <w:p>
            <w:pPr>
              <w:keepNext w:val="0"/>
              <w:keepLines w:val="0"/>
              <w:widowControl/>
              <w:suppressLineNumbers w:val="0"/>
              <w:shd w:val="clear" w:fill="FFFFFF"/>
              <w:spacing w:before="0" w:beforeAutospacing="1" w:after="0" w:afterAutospacing="1"/>
              <w:ind w:left="0" w:right="0" w:firstLine="640"/>
              <w:jc w:val="left"/>
            </w:pPr>
            <w:r>
              <w:rPr>
                <w:rFonts w:hint="eastAsia" w:ascii="仿宋" w:hAnsi="仿宋" w:eastAsia="仿宋" w:cs="仿宋"/>
                <w:kern w:val="0"/>
                <w:sz w:val="32"/>
                <w:szCs w:val="32"/>
                <w:shd w:val="clear" w:fill="FFFFFF"/>
                <w:lang w:val="en-US" w:eastAsia="zh-CN" w:bidi="ar"/>
              </w:rPr>
              <w:t xml:space="preserve">市卫健委政府信息公开工作从总体来看，运行状况还是比较好的，但是也有一些不足。一是现有的政府公开信息的信息总量不大，信息更新还不够及时，特别是对政策解读及重大决策部署落实情况及时更新不够发布形式较为单一；二是对对政务公开工作的重要性、紧迫性认识不足，思想上没有足够引起重视，缺乏主动性和积极性；三是公开的信息深度还有待扩展，内容还不够丰富；四是信息公开的合力还不够，股室之间配合能力和工作人员协调能力还有待提高。 </w:t>
            </w:r>
          </w:p>
          <w:p>
            <w:pPr>
              <w:keepNext w:val="0"/>
              <w:keepLines w:val="0"/>
              <w:widowControl/>
              <w:suppressLineNumbers w:val="0"/>
              <w:spacing w:before="0" w:beforeAutospacing="1" w:after="0" w:afterAutospacing="1" w:line="540" w:lineRule="exact"/>
              <w:ind w:left="0" w:right="0" w:firstLine="640" w:firstLineChars="200"/>
              <w:jc w:val="left"/>
            </w:pPr>
            <w:r>
              <w:rPr>
                <w:rFonts w:hint="eastAsia" w:ascii="仿宋" w:hAnsi="仿宋" w:eastAsia="仿宋" w:cs="仿宋"/>
                <w:kern w:val="0"/>
                <w:sz w:val="32"/>
                <w:szCs w:val="32"/>
                <w:lang w:val="en-US" w:eastAsia="zh-CN" w:bidi="ar"/>
              </w:rPr>
              <w:t xml:space="preserve">今后，我委将在以下几个方面加强政府信息公开工作：一是进一步明确工作职责，加大工作力度，不断扩大信息公开量，及时对工作信息进行更新维护；二是进一步加强制度建设，健全和完善受依申请公开办理程序制度、保密监督管理制度等，使政府信息公开工作进一步制度化、规范化；三是加强政务监督力度，拓展政务公开宣传渠道，逐步扩大宣传内容，真正做到全面、彻底的公开，不断把政公开工作推向深入；四是加强政府信息公开的日常保密监管，严明纪律，健全信息发布保密审查制度，消除网络泄密隐患，对本委政府信息公开情况进行不定期的监督检查，确保信息公开的质量和时效。 </w:t>
            </w:r>
          </w:p>
          <w:p>
            <w:pPr>
              <w:keepNext w:val="0"/>
              <w:keepLines w:val="0"/>
              <w:widowControl/>
              <w:suppressLineNumbers w:val="0"/>
              <w:shd w:val="clear" w:fill="FFFFFF"/>
              <w:spacing w:before="0" w:beforeAutospacing="1" w:after="0" w:afterAutospacing="1"/>
              <w:ind w:left="0" w:right="0" w:firstLine="640"/>
              <w:jc w:val="left"/>
            </w:pPr>
            <w:r>
              <w:rPr>
                <w:rFonts w:hint="eastAsia" w:ascii="黑体" w:hAnsi="宋体" w:eastAsia="黑体" w:cs="黑体"/>
                <w:kern w:val="0"/>
                <w:sz w:val="32"/>
                <w:szCs w:val="32"/>
                <w:shd w:val="clear" w:fill="FFFFFF"/>
                <w:lang w:val="en-US" w:eastAsia="zh-CN" w:bidi="ar"/>
              </w:rPr>
              <w:t>六、其他需要报告的事项</w:t>
            </w:r>
            <w:r>
              <w:rPr>
                <w:rFonts w:hint="eastAsia" w:ascii="宋体" w:hAnsi="宋体" w:eastAsia="宋体" w:cs="宋体"/>
                <w:color w:val="333333"/>
                <w:kern w:val="0"/>
                <w:sz w:val="24"/>
                <w:szCs w:val="24"/>
                <w:shd w:val="clear" w:fill="FFFFFF"/>
                <w:lang w:val="en-US" w:eastAsia="zh-CN" w:bidi="ar"/>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 w:beforeAutospacing="0" w:after="0" w:afterAutospacing="0" w:line="580" w:lineRule="exact"/>
              <w:ind w:left="0" w:leftChars="0" w:right="0" w:firstLine="640" w:firstLineChars="200"/>
              <w:jc w:val="left"/>
            </w:pPr>
            <w:r>
              <w:rPr>
                <w:rFonts w:hint="eastAsia" w:ascii="仿宋_GB2312" w:hAnsi="宋体" w:eastAsia="仿宋_GB2312" w:cs="宋体"/>
                <w:kern w:val="0"/>
                <w:sz w:val="32"/>
                <w:szCs w:val="32"/>
                <w:bdr w:val="none" w:color="auto" w:sz="0" w:space="0"/>
                <w:lang w:val="en-US" w:eastAsia="zh-CN" w:bidi="ar"/>
              </w:rPr>
              <w:t>2021年，本机关无收取信息处理费情况，无其他需要报告事项。</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tc>
      </w:tr>
    </w:tbl>
    <w:p/>
    <w:sectPr>
      <w:pgSz w:w="11910" w:h="16840"/>
      <w:pgMar w:top="1519" w:right="1340" w:bottom="278" w:left="1260"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61001952"/>
    <w:rsid w:val="049230CA"/>
    <w:rsid w:val="06172A45"/>
    <w:rsid w:val="07863834"/>
    <w:rsid w:val="087E51D5"/>
    <w:rsid w:val="08B96156"/>
    <w:rsid w:val="15205263"/>
    <w:rsid w:val="15E95F02"/>
    <w:rsid w:val="1DB10EC9"/>
    <w:rsid w:val="1E6309EC"/>
    <w:rsid w:val="1F412012"/>
    <w:rsid w:val="1F900B80"/>
    <w:rsid w:val="21AA4345"/>
    <w:rsid w:val="24F616CB"/>
    <w:rsid w:val="27F16CD3"/>
    <w:rsid w:val="2AB370EC"/>
    <w:rsid w:val="30AD630B"/>
    <w:rsid w:val="313344C0"/>
    <w:rsid w:val="36641917"/>
    <w:rsid w:val="38C546E2"/>
    <w:rsid w:val="3960015B"/>
    <w:rsid w:val="3C196463"/>
    <w:rsid w:val="42A319E8"/>
    <w:rsid w:val="431919E4"/>
    <w:rsid w:val="47857463"/>
    <w:rsid w:val="4F23139B"/>
    <w:rsid w:val="526164BE"/>
    <w:rsid w:val="60F238C1"/>
    <w:rsid w:val="61001952"/>
    <w:rsid w:val="66D77783"/>
    <w:rsid w:val="73C62DDE"/>
    <w:rsid w:val="7F5C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2023-07-26T03:13:00Z</dcterms:created>
  <dc:creator>陈翔</dc:creator>
  <cp:lastModifiedBy>陈翔</cp:lastModifiedBy>
  <dcterms:modified xsi:type="dcterms:W3CDTF">2023-07-26T08:57:40Z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3C5BD5E64ECA4432B51739CD1BE6CC07_11</vt:lpwstr>
  </property>
</Properties>
</file>