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F95024">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40" w:lineRule="exact"/>
        <w:ind w:left="0" w:leftChars="0" w:right="0" w:firstLine="640" w:firstLineChars="200"/>
        <w:jc w:val="left"/>
        <w:textAlignment w:val="auto"/>
      </w:pPr>
      <w:r>
        <w:rPr>
          <w:rFonts w:ascii="仿宋_GB2312" w:eastAsia="仿宋_GB2312" w:cs="仿宋_GB2312" w:hAnsiTheme="minorHAnsi"/>
          <w:bCs/>
          <w:color w:val="000000"/>
          <w:kern w:val="2"/>
          <w:sz w:val="32"/>
          <w:szCs w:val="32"/>
          <w:lang w:val="en-US" w:eastAsia="zh-CN" w:bidi="ar"/>
        </w:rPr>
        <w:t>本报告依据《中华人民共和国政府信息公开条例》（国务院令第</w:t>
      </w:r>
      <w:r>
        <w:rPr>
          <w:rFonts w:hint="default" w:ascii="仿宋_GB2312" w:eastAsia="仿宋_GB2312" w:cs="仿宋_GB2312" w:hAnsiTheme="minorHAnsi"/>
          <w:bCs/>
          <w:color w:val="000000"/>
          <w:kern w:val="2"/>
          <w:sz w:val="32"/>
          <w:szCs w:val="32"/>
          <w:lang w:val="en-US" w:eastAsia="zh-CN" w:bidi="ar"/>
        </w:rPr>
        <w:t>711号，以下简称新《条例》）和《国务院办公厅政府信息与政务公开办公室关于印发中华人民共和国政府信息公开工作年度报告格式的通知》（国办公开办函〔2021〕30号）要求，由高安市司法局结合有关统计数据编制。本年度报告中所列数据的统计期限自2023年1月1日起至2023年12月31日止。全文包括总体情况、主动公开政府信息情况、收到和处理政府信息公开申请情况、政府信息公开行政复议行政诉讼情况、存在的主要问题及改进情况、其他需要报告的事项。如对本报告有任何疑问，请与高安市司法局联系（地址：江西省高安市人民政府D座8楼，电话：0795-5287124，邮编：330800）。</w:t>
      </w:r>
    </w:p>
    <w:p w14:paraId="04402760">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40" w:lineRule="exact"/>
        <w:ind w:left="0" w:right="0" w:firstLine="640" w:firstLineChars="200"/>
        <w:jc w:val="both"/>
        <w:textAlignment w:val="auto"/>
      </w:pPr>
      <w:r>
        <w:rPr>
          <w:rFonts w:ascii="黑体" w:hAnsi="宋体" w:eastAsia="黑体" w:cs="黑体"/>
          <w:b w:val="0"/>
          <w:bCs w:val="0"/>
          <w:color w:val="000000"/>
          <w:kern w:val="2"/>
          <w:sz w:val="32"/>
          <w:szCs w:val="32"/>
          <w:shd w:val="clear" w:fill="FFFFFF"/>
          <w:lang w:val="en-US" w:eastAsia="zh-CN" w:bidi="ar"/>
        </w:rPr>
        <w:t>一、总体情况</w:t>
      </w:r>
      <w:r>
        <w:rPr>
          <w:rFonts w:hint="eastAsia" w:ascii="黑体" w:hAnsi="宋体" w:eastAsia="黑体" w:cs="黑体"/>
          <w:b w:val="0"/>
          <w:bCs w:val="0"/>
          <w:color w:val="000000"/>
          <w:kern w:val="2"/>
          <w:sz w:val="32"/>
          <w:szCs w:val="32"/>
          <w:shd w:val="clear" w:fill="FFFFFF"/>
          <w:lang w:val="en-US" w:eastAsia="zh-CN" w:bidi="ar"/>
        </w:rPr>
        <w:t> </w:t>
      </w:r>
    </w:p>
    <w:p w14:paraId="43875A42">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540" w:lineRule="exact"/>
        <w:ind w:left="0" w:leftChars="0" w:right="0" w:firstLine="640" w:firstLineChars="200"/>
        <w:jc w:val="left"/>
        <w:textAlignment w:val="auto"/>
        <w:rPr>
          <w:rFonts w:hint="default" w:ascii="仿宋_GB2312" w:eastAsia="仿宋_GB2312" w:cs="仿宋_GB2312" w:hAnsiTheme="minorHAnsi"/>
          <w:bCs/>
          <w:color w:val="000000"/>
          <w:kern w:val="2"/>
          <w:sz w:val="32"/>
          <w:szCs w:val="32"/>
          <w:lang w:val="en-US" w:eastAsia="zh-CN" w:bidi="ar"/>
        </w:rPr>
      </w:pPr>
      <w:r>
        <w:rPr>
          <w:rFonts w:hint="default" w:ascii="仿宋_GB2312" w:eastAsia="仿宋_GB2312" w:cs="仿宋_GB2312" w:hAnsiTheme="minorHAnsi"/>
          <w:bCs/>
          <w:color w:val="000000"/>
          <w:kern w:val="2"/>
          <w:sz w:val="32"/>
          <w:szCs w:val="32"/>
          <w:lang w:val="en-US" w:eastAsia="zh-CN" w:bidi="ar"/>
        </w:rPr>
        <w:t>2023年高安市司法局坚持以习近平新时代中国特色社会主义思想为指导，深入贯彻党的二十大精神，严格落实《国务院办公厅印发〈关于全面推进政务公开工作的意见〉实施细则的通知》（国办发〔2016〕80号）和《国务院办公厅关于印发2020年政务公开工作要点的通知》（国办发〔2020〕17号）的要求。同时积极明确目标任务，紧紧围绕省委、省政府中心工作及社会群众关注关切，着力提升政府信息公开质量，推进拓宽政府信息公开渠道，不断增强政府信息公开实效。</w:t>
      </w:r>
    </w:p>
    <w:p w14:paraId="020B95E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3" w:firstLineChars="200"/>
        <w:jc w:val="left"/>
        <w:textAlignment w:val="auto"/>
        <w:rPr>
          <w:rFonts w:ascii="微软雅黑" w:hAnsi="微软雅黑" w:eastAsia="微软雅黑" w:cs="微软雅黑"/>
          <w:i w:val="0"/>
          <w:iCs w:val="0"/>
          <w:caps w:val="0"/>
          <w:color w:val="000000"/>
          <w:spacing w:val="0"/>
          <w:sz w:val="26"/>
          <w:szCs w:val="26"/>
        </w:rPr>
      </w:pPr>
      <w:r>
        <w:rPr>
          <w:rFonts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（一）主动公开。</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2023年，高安市司法局共发布政府信息公开92条，其中政务动态27条，社会公益事业与重点民生领域的公共法律服务14条，全流程发布重大决策预公开意见征集2条，并全部完成，“六稳”“六保”专项工作4条，重大决策跟踪反馈和执行效果评估2条，决策部署落实2条，本单位政策解读文件2篇，财政预决算2条，人事信息1条，机构职能2条，领导信息1条，发展规划3条，信息公开年度报告1条。</w:t>
      </w:r>
    </w:p>
    <w:p w14:paraId="5BED7C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3" w:firstLineChars="200"/>
        <w:jc w:val="left"/>
        <w:textAlignment w:val="auto"/>
        <w:rPr>
          <w:rFonts w:hint="eastAsia" w:ascii="微软雅黑" w:hAnsi="微软雅黑" w:eastAsia="微软雅黑" w:cs="微软雅黑"/>
          <w:i w:val="0"/>
          <w:iCs w:val="0"/>
          <w:caps w:val="0"/>
          <w:color w:val="000000"/>
          <w:spacing w:val="0"/>
          <w:sz w:val="26"/>
          <w:szCs w:val="26"/>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（二）依申请公开。</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2023年，高安市司法局没有依申请公开信息。</w:t>
      </w:r>
    </w:p>
    <w:p w14:paraId="1737747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3" w:firstLineChars="200"/>
        <w:jc w:val="left"/>
        <w:textAlignment w:val="auto"/>
        <w:rPr>
          <w:rFonts w:hint="eastAsia" w:ascii="微软雅黑" w:hAnsi="微软雅黑" w:eastAsia="微软雅黑" w:cs="微软雅黑"/>
          <w:i w:val="0"/>
          <w:iCs w:val="0"/>
          <w:caps w:val="0"/>
          <w:color w:val="000000"/>
          <w:spacing w:val="0"/>
          <w:sz w:val="26"/>
          <w:szCs w:val="26"/>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（三）政府信息管理。</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建立健全政府信息管理动态调整机制，严格落实公文属性源头认定机制，制定文件时同步明确公开属性，政策解读属性，坚持政务公开一把手负责制，局长任政务公开领导小组组长，分管副局长为副组长，各股室负责具体落实，建立了齐抓共管、狠抓落实的政务公开工作领导格局。我局已将2023年规范性文件相关数据在高安市人民政府政务公开。</w:t>
      </w:r>
    </w:p>
    <w:p w14:paraId="6507457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3" w:firstLineChars="200"/>
        <w:jc w:val="left"/>
        <w:textAlignment w:val="auto"/>
        <w:rPr>
          <w:rFonts w:hint="eastAsia" w:ascii="微软雅黑" w:hAnsi="微软雅黑" w:eastAsia="微软雅黑" w:cs="微软雅黑"/>
          <w:i w:val="0"/>
          <w:iCs w:val="0"/>
          <w:caps w:val="0"/>
          <w:color w:val="000000"/>
          <w:spacing w:val="0"/>
          <w:sz w:val="26"/>
          <w:szCs w:val="26"/>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（四）政府信息公开平台建设。</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坚持线上线下同步发声，全力打造政府信息公开平台宣传阵地。一方面，依托标语、横幅、现场集中宣传等传统方式，讲好司法行政故事，发好法治·声音；另一方面，充分利用高安市人民政府官方网站、微信公众号等网络新媒体手段，及时发布工作动态以及社会关心关注的相关内容，做到了公开透明，有力提升了公众安全感和群众满意度。</w:t>
      </w:r>
    </w:p>
    <w:p w14:paraId="3AFF7F8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3" w:firstLineChars="200"/>
        <w:jc w:val="both"/>
        <w:textAlignment w:val="auto"/>
        <w:rPr>
          <w:rFonts w:hint="eastAsia" w:ascii="微软雅黑" w:hAnsi="微软雅黑" w:eastAsia="微软雅黑" w:cs="微软雅黑"/>
          <w:i w:val="0"/>
          <w:iCs w:val="0"/>
          <w:caps w:val="0"/>
          <w:color w:val="000000"/>
          <w:spacing w:val="0"/>
          <w:sz w:val="26"/>
          <w:szCs w:val="26"/>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（五）监督保障。</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严格落实市政府公开办各项指示要求，结合年度政务公开第三方评估反馈问题整改，着力补短板、强弱项、建机制。</w:t>
      </w:r>
    </w:p>
    <w:p w14:paraId="5FFF2A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autoSpaceDE w:val="0"/>
        <w:autoSpaceDN/>
        <w:spacing w:before="0" w:beforeAutospacing="0" w:after="0" w:afterAutospacing="1" w:line="500" w:lineRule="exact"/>
        <w:ind w:left="0" w:leftChars="0" w:right="0" w:firstLine="640" w:firstLineChars="200"/>
        <w:jc w:val="both"/>
      </w:pPr>
      <w:r>
        <w:rPr>
          <w:rFonts w:hint="eastAsia" w:ascii="黑体" w:hAnsi="宋体" w:eastAsia="黑体" w:cs="黑体"/>
          <w:b w:val="0"/>
          <w:bCs w:val="0"/>
          <w:kern w:val="2"/>
          <w:sz w:val="32"/>
          <w:szCs w:val="32"/>
          <w:shd w:val="clear" w:fill="FFFFFF"/>
          <w:lang w:val="en-US" w:eastAsia="zh-CN" w:bidi="ar"/>
        </w:rPr>
        <w:t>二、主动公开政府信息情况</w:t>
      </w:r>
    </w:p>
    <w:tbl>
      <w:tblPr>
        <w:tblStyle w:val="8"/>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153168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14:paraId="2B84AC9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color w:val="000000"/>
                <w:kern w:val="0"/>
                <w:sz w:val="32"/>
                <w:szCs w:val="32"/>
                <w:lang w:val="en-US" w:eastAsia="zh-CN" w:bidi="ar"/>
              </w:rPr>
              <w:t>第二十条第（一）项</w:t>
            </w:r>
          </w:p>
        </w:tc>
      </w:tr>
      <w:tr w14:paraId="75B748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C2BCA4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ascii="楷体_GB2312" w:eastAsia="楷体_GB2312" w:cs="楷体_GB2312" w:hAnsiTheme="minorHAnsi"/>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C1B52E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本年</w:t>
            </w:r>
            <w:r>
              <w:rPr>
                <w:rFonts w:hint="default" w:ascii="楷体_GB2312" w:eastAsia="楷体_GB2312" w:cs="楷体_GB2312" w:hAnsiTheme="minorHAnsi"/>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1A7226A">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755097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现行有效件</w:t>
            </w:r>
            <w:r>
              <w:rPr>
                <w:rFonts w:hint="default" w:ascii="楷体_GB2312" w:eastAsia="楷体_GB2312" w:cs="楷体_GB2312" w:hAnsiTheme="minorHAnsi"/>
                <w:b/>
                <w:bCs/>
                <w:kern w:val="0"/>
                <w:sz w:val="32"/>
                <w:szCs w:val="32"/>
                <w:lang w:val="en-US" w:eastAsia="zh-CN" w:bidi="ar"/>
              </w:rPr>
              <w:t>数</w:t>
            </w:r>
          </w:p>
        </w:tc>
      </w:tr>
      <w:tr w14:paraId="564817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0D61B3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91E9BA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E357B5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2441297">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lang w:val="en-US" w:eastAsia="zh-CN" w:bidi="ar"/>
              </w:rPr>
              <w:t>0</w:t>
            </w:r>
          </w:p>
        </w:tc>
      </w:tr>
      <w:tr w14:paraId="6916A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46A5F4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E62E617">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93319E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lang w:val="en-US" w:eastAsia="zh-CN" w:bidi="ar"/>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B0571E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eastAsia" w:ascii="仿宋_GB2312" w:eastAsia="仿宋_GB2312" w:cs="仿宋_GB2312"/>
                <w:b w:val="0"/>
                <w:bCs w:val="0"/>
                <w:kern w:val="0"/>
                <w:sz w:val="32"/>
                <w:szCs w:val="32"/>
                <w:lang w:val="en-US" w:eastAsia="zh-CN" w:bidi="ar"/>
              </w:rPr>
              <w:t>8</w:t>
            </w:r>
          </w:p>
        </w:tc>
      </w:tr>
      <w:tr w14:paraId="7BBD8D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04C2A0B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第二十条第（五）项</w:t>
            </w:r>
          </w:p>
        </w:tc>
      </w:tr>
      <w:tr w14:paraId="55FD0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6315C5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D82345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本年处理决定数量</w:t>
            </w:r>
          </w:p>
        </w:tc>
      </w:tr>
      <w:tr w14:paraId="3DE9E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16988DA">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589E2B0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0</w:t>
            </w:r>
          </w:p>
        </w:tc>
      </w:tr>
      <w:tr w14:paraId="7B9D5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38B6FF0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第二十条第（六）项</w:t>
            </w:r>
          </w:p>
        </w:tc>
      </w:tr>
      <w:tr w14:paraId="73AEC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09CA54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275CEA9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本年处理决定数量</w:t>
            </w:r>
          </w:p>
        </w:tc>
      </w:tr>
      <w:tr w14:paraId="3B5041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627BF3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4295FBB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lang w:val="en-US" w:eastAsia="zh-CN" w:bidi="ar"/>
              </w:rPr>
              <w:t>0</w:t>
            </w:r>
          </w:p>
        </w:tc>
      </w:tr>
      <w:tr w14:paraId="0258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B70130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278FBF3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color w:val="000000"/>
                <w:kern w:val="0"/>
                <w:sz w:val="32"/>
                <w:szCs w:val="32"/>
                <w:lang w:val="en-US" w:eastAsia="zh-CN" w:bidi="ar"/>
              </w:rPr>
              <w:t>0</w:t>
            </w:r>
          </w:p>
        </w:tc>
      </w:tr>
      <w:tr w14:paraId="0000F5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16DB19BC">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第二十条第（八）项</w:t>
            </w:r>
          </w:p>
        </w:tc>
      </w:tr>
      <w:tr w14:paraId="31DE55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6EBF9FC">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75E7E572">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本年收费金额（单位：万元）</w:t>
            </w:r>
          </w:p>
        </w:tc>
      </w:tr>
      <w:tr w14:paraId="773C6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5"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21ADC8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3FBEE2D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b w:val="0"/>
                <w:bCs w:val="0"/>
                <w:kern w:val="2"/>
                <w:sz w:val="32"/>
                <w:szCs w:val="32"/>
                <w:lang w:val="en-US" w:eastAsia="zh-CN" w:bidi="ar"/>
              </w:rPr>
              <w:t>0</w:t>
            </w:r>
          </w:p>
        </w:tc>
      </w:tr>
    </w:tbl>
    <w:p w14:paraId="2C7281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黑体" w:hAnsi="宋体" w:eastAsia="黑体" w:cs="黑体"/>
          <w:b w:val="0"/>
          <w:bCs w:val="0"/>
          <w:kern w:val="2"/>
          <w:sz w:val="32"/>
          <w:szCs w:val="32"/>
          <w:shd w:val="clear" w:fill="FFFFFF"/>
          <w:lang w:val="en-US" w:eastAsia="zh-CN" w:bidi="ar"/>
        </w:rPr>
        <w:t>三、收到和处理政府信息公开申请情况</w:t>
      </w:r>
    </w:p>
    <w:tbl>
      <w:tblPr>
        <w:tblStyle w:val="8"/>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14:paraId="72C9DFD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1A6782DD">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6E1CB702">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申请人情况</w:t>
            </w:r>
          </w:p>
        </w:tc>
      </w:tr>
      <w:tr w14:paraId="6D76AD8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85" w:hRule="atLeast"/>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390E81B3">
            <w:pPr>
              <w:rPr>
                <w:rFonts w:hint="eastAsia" w:ascii="宋体"/>
                <w:sz w:val="24"/>
                <w:szCs w:val="24"/>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083B62E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自</w:t>
            </w:r>
          </w:p>
          <w:p w14:paraId="689C8D6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 </w:t>
            </w:r>
          </w:p>
          <w:p w14:paraId="62857E4C">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然</w:t>
            </w:r>
          </w:p>
          <w:p w14:paraId="4C13807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 </w:t>
            </w:r>
          </w:p>
          <w:p w14:paraId="2CC65CB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03B3C14">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6198570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总计</w:t>
            </w:r>
          </w:p>
        </w:tc>
      </w:tr>
      <w:tr w14:paraId="2E168CD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14:paraId="437ED687">
            <w:pPr>
              <w:rPr>
                <w:rFonts w:hint="eastAsia" w:ascii="宋体"/>
                <w:sz w:val="24"/>
                <w:szCs w:val="24"/>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5F7D02FD">
            <w:pPr>
              <w:rPr>
                <w:rFonts w:hint="eastAsia" w:ascii="宋体"/>
                <w:sz w:val="24"/>
                <w:szCs w:val="24"/>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A6D5A1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商业</w:t>
            </w:r>
          </w:p>
          <w:p w14:paraId="4E188724">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8327E0F">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科研</w:t>
            </w:r>
          </w:p>
          <w:p w14:paraId="107AC25A">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58BE61D9">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7241A0A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8F0583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楷体_GB2312" w:eastAsia="楷体_GB2312" w:cs="楷体_GB2312" w:hAnsiTheme="minorHAnsi"/>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14:paraId="34AD2859">
            <w:pPr>
              <w:rPr>
                <w:rFonts w:hint="eastAsia" w:ascii="宋体"/>
                <w:sz w:val="24"/>
                <w:szCs w:val="24"/>
              </w:rPr>
            </w:pPr>
          </w:p>
        </w:tc>
      </w:tr>
      <w:tr w14:paraId="30B0B9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E8F4F3D">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0ACD09CE">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6403A30">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4F02D0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9D13AB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1C973F1">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D5AEE7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201158C5">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r>
      <w:tr w14:paraId="2F9512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0950DB3">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DBACB93">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5B458AC">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5261F16C">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C5F2FC8">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7A6CA2A">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10EFCAB">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1E9500D">
            <w:pPr>
              <w:keepNext w:val="0"/>
              <w:keepLines w:val="0"/>
              <w:widowControl/>
              <w:suppressLineNumbers w:val="0"/>
              <w:autoSpaceDE w:val="0"/>
              <w:autoSpaceDN/>
              <w:spacing w:before="0" w:beforeAutospacing="0" w:after="0" w:afterAutospacing="0" w:line="400" w:lineRule="exact"/>
              <w:ind w:left="0" w:right="0" w:firstLine="0" w:firstLineChars="0"/>
              <w:jc w:val="center"/>
            </w:pPr>
            <w:r>
              <w:rPr>
                <w:rFonts w:hint="default" w:ascii="仿宋_GB2312" w:eastAsia="仿宋_GB2312" w:cs="仿宋_GB2312" w:hAnsiTheme="minorHAnsi"/>
                <w:kern w:val="0"/>
                <w:sz w:val="32"/>
                <w:szCs w:val="32"/>
                <w:lang w:val="en-US" w:eastAsia="zh-CN" w:bidi="ar"/>
              </w:rPr>
              <w:t>0</w:t>
            </w:r>
          </w:p>
        </w:tc>
      </w:tr>
      <w:tr w14:paraId="08592D7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7BBD5F">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27DDF022">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128685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65299F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2F0867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95B2FA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82944B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AEB5C4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183AA3E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511C206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D27E58F">
            <w:pPr>
              <w:rPr>
                <w:rFonts w:hint="eastAsia" w:ascii="宋体"/>
                <w:sz w:val="24"/>
                <w:szCs w:val="24"/>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59191BFD">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924CD2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1CC345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C47282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D133C4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3FF2B8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68C43B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33574B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01C4990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36BCB2">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56C56213">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8DD518C">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34821B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D52B96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B301D0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0647FF0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134722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E9312F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3C89650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7EF8154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CC688C9">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B9DB9D3">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0171C59">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23C305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EB5076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923745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E3BEC6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D1CED2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F4E3C6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CCF585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00E3B4C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29B6275">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551C734">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C33B4D3">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5FDE7BF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FB9DE5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7D47E5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7D33BD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3155F07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E28E7D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320256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11D2369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52A68BF">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9F798A6">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F1DEB30">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7DCE7FD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4A194D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412F9E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FF521B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62383A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01970F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752DC02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704982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4B63C48">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5A543DC4">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AA6D98A">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0DD404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01D637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7014042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559B5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076DE17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12E38D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E255B1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706CAD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061666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C3B4E7B">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54B777E">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C3E66E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0740FFF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F485FE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86D531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371821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EE7D0D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1809DD8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387872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7A551C7">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36F513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1D2E142">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C1C2ED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4B1CCE7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812AA9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5F9AA1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1DABD0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0A4592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E87F7E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22B32D7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3CE4AEAE">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8C41345">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318BF08E">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3EDA63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E6A976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470CCF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3E2854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A8A4B2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2E402CC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1449DF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2D5E472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5E8517">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41589E8">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5B9052AE">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620FB0B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7ACF376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CA94F9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2BD89BE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20C6F0D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6DAC433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24D50B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51D1A53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6C3DE969">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0D407601">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2B8CF70">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3F438B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769184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4F7E57C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1223E96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1B8475D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3119026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5B96F71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0D65932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C1D1103">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3A453E58">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1A6AEE8">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317440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3C235E7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2BC20DA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7FA1BDB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AE4443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A7D006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3EA4EE0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4A98E9F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73D095D6">
            <w:pPr>
              <w:rPr>
                <w:rFonts w:hint="eastAsia" w:ascii="宋体"/>
                <w:sz w:val="24"/>
                <w:szCs w:val="24"/>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14:paraId="7C2460D4">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0FE78AAE">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2D88979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15A337D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1ED901B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EE6AED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D0EA49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12DCF1F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F0502B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67EDF8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9B67D7B">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1D4457DA">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6162CFEB">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3AD95C4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659DDD5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038ECD2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3A4772B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6D3DEFF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0DC8789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0E69EDC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7B5FD65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15D1F421">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2C2603D">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7AA413A6">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4FD82BF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5C7499F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365A1D4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652EA33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5358607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4885099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4390B92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697294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342DBDC">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40B055E6">
            <w:pPr>
              <w:rPr>
                <w:rFonts w:hint="eastAsia" w:ascii="宋体"/>
                <w:sz w:val="24"/>
                <w:szCs w:val="24"/>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14:paraId="13870B96">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14:paraId="13C452C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14:paraId="20C40AE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14:paraId="6CC6619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14:paraId="5BA8304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14:paraId="401A780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14:paraId="7E70738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14:paraId="6765BBA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4F7EB5D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814F4AE">
            <w:pPr>
              <w:rPr>
                <w:rFonts w:hint="eastAsia" w:ascii="宋体"/>
                <w:sz w:val="24"/>
                <w:szCs w:val="24"/>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14:paraId="619D4D62">
            <w:pPr>
              <w:rPr>
                <w:rFonts w:hint="eastAsia" w:ascii="宋体"/>
                <w:sz w:val="24"/>
                <w:szCs w:val="24"/>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14:paraId="4EC81802">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14:paraId="0A31C42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14:paraId="19503F8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14:paraId="605C302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14:paraId="056F5A7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14:paraId="0893B89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14:paraId="59F6E42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14:paraId="398E27A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490F99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371"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3D13EDC">
            <w:pPr>
              <w:rPr>
                <w:rFonts w:hint="eastAsia" w:ascii="宋体"/>
                <w:sz w:val="24"/>
                <w:szCs w:val="24"/>
              </w:rPr>
            </w:pPr>
          </w:p>
        </w:tc>
        <w:tc>
          <w:tcPr>
            <w:tcW w:w="997" w:type="dxa"/>
            <w:vMerge w:val="restart"/>
            <w:tcBorders>
              <w:top w:val="nil"/>
              <w:left w:val="nil"/>
              <w:bottom w:val="single" w:color="auto" w:sz="4" w:space="0"/>
              <w:right w:val="single" w:color="auto" w:sz="4" w:space="0"/>
            </w:tcBorders>
            <w:shd w:val="clear" w:color="auto" w:fill="auto"/>
            <w:tcMar>
              <w:left w:w="57" w:type="dxa"/>
              <w:right w:w="57" w:type="dxa"/>
            </w:tcMar>
            <w:vAlign w:val="center"/>
          </w:tcPr>
          <w:p w14:paraId="075C4554">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（六）其他处理</w:t>
            </w: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1523522E">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238D633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4488F90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4655D97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21929F0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192143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3F9766E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30D0B5B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03C030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04AA43EE">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14:paraId="248A4B3F">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16CF6919">
            <w:pPr>
              <w:keepNext w:val="0"/>
              <w:keepLines w:val="0"/>
              <w:widowControl/>
              <w:suppressLineNumbers w:val="0"/>
              <w:autoSpaceDE w:val="0"/>
              <w:autoSpaceDN/>
              <w:spacing w:before="0" w:beforeAutospacing="0" w:after="0" w:afterAutospacing="0" w:line="400" w:lineRule="exact"/>
              <w:ind w:left="0" w:right="0" w:firstLine="0" w:firstLineChars="0"/>
              <w:jc w:val="both"/>
            </w:pPr>
            <w:r>
              <w:rPr>
                <w:rFonts w:hint="default" w:ascii="楷体_GB2312" w:eastAsia="楷体_GB2312" w:cs="楷体_GB2312" w:hAnsiTheme="minorHAnsi"/>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038372F7">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0788CB6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544140C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BA4733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3028DE5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1BB75B9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0F5B42E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6DAA90A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4E5585C6">
            <w:pPr>
              <w:rPr>
                <w:rFonts w:hint="eastAsia" w:ascii="宋体"/>
                <w:sz w:val="24"/>
                <w:szCs w:val="24"/>
              </w:rPr>
            </w:pPr>
          </w:p>
        </w:tc>
        <w:tc>
          <w:tcPr>
            <w:tcW w:w="997" w:type="dxa"/>
            <w:vMerge w:val="continue"/>
            <w:tcBorders>
              <w:top w:val="nil"/>
              <w:left w:val="nil"/>
              <w:bottom w:val="single" w:color="auto" w:sz="4" w:space="0"/>
              <w:right w:val="single" w:color="auto" w:sz="4" w:space="0"/>
            </w:tcBorders>
            <w:shd w:val="clear" w:color="auto" w:fill="auto"/>
            <w:tcMar>
              <w:left w:w="57" w:type="dxa"/>
              <w:right w:w="57" w:type="dxa"/>
            </w:tcMar>
            <w:vAlign w:val="center"/>
          </w:tcPr>
          <w:p w14:paraId="7218AED5">
            <w:pPr>
              <w:rPr>
                <w:rFonts w:hint="eastAsia" w:ascii="宋体"/>
                <w:sz w:val="24"/>
                <w:szCs w:val="24"/>
              </w:rPr>
            </w:pPr>
          </w:p>
        </w:tc>
        <w:tc>
          <w:tcPr>
            <w:tcW w:w="482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0469BFE8">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3.其他</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32C899D3">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50446E7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D9ABFE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C99EEA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1A8D42F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294C6D8">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5F64ABC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46EBA45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14:paraId="245A4279">
            <w:pPr>
              <w:rPr>
                <w:rFonts w:hint="eastAsia" w:ascii="宋体"/>
                <w:sz w:val="24"/>
                <w:szCs w:val="24"/>
              </w:rPr>
            </w:pPr>
          </w:p>
        </w:tc>
        <w:tc>
          <w:tcPr>
            <w:tcW w:w="5820" w:type="dxa"/>
            <w:gridSpan w:val="2"/>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E83FD80">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（七）总计</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18E9C6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4EBDF80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1BFF63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4D0D7B1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47B1417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19CB8C0">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3F63B036">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r w14:paraId="16C1D4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DB6DB72">
            <w:pPr>
              <w:keepNext w:val="0"/>
              <w:keepLines w:val="0"/>
              <w:widowControl/>
              <w:suppressLineNumbers w:val="0"/>
              <w:autoSpaceDE w:val="0"/>
              <w:autoSpaceDN/>
              <w:spacing w:before="0" w:beforeAutospacing="0" w:after="0" w:afterAutospacing="0" w:line="400" w:lineRule="exact"/>
              <w:ind w:left="0" w:right="0" w:firstLine="0" w:firstLineChars="0"/>
              <w:jc w:val="left"/>
            </w:pPr>
            <w:r>
              <w:rPr>
                <w:rFonts w:hint="default" w:ascii="楷体_GB2312" w:eastAsia="楷体_GB2312" w:cs="楷体_GB2312" w:hAnsiTheme="minorHAnsi"/>
                <w:b/>
                <w:bCs/>
                <w:kern w:val="0"/>
                <w:sz w:val="32"/>
                <w:szCs w:val="32"/>
                <w:lang w:val="en-US" w:eastAsia="zh-CN" w:bidi="ar"/>
              </w:rPr>
              <w:t>四、结转下年度继续办理</w:t>
            </w:r>
          </w:p>
        </w:tc>
        <w:tc>
          <w:tcPr>
            <w:tcW w:w="439"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6AAF7E7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3"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695F70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38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2D349FDF">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97"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09DD6EB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38"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3B46A30D">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50"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F26CFD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471" w:type="dxa"/>
            <w:tcBorders>
              <w:top w:val="single" w:color="auto" w:sz="4" w:space="0"/>
              <w:left w:val="nil"/>
              <w:bottom w:val="single" w:color="auto" w:sz="4" w:space="0"/>
              <w:right w:val="single" w:color="auto" w:sz="4" w:space="0"/>
            </w:tcBorders>
            <w:shd w:val="clear" w:color="auto" w:fill="auto"/>
            <w:tcMar>
              <w:left w:w="57" w:type="dxa"/>
              <w:right w:w="57" w:type="dxa"/>
            </w:tcMar>
            <w:vAlign w:val="center"/>
          </w:tcPr>
          <w:p w14:paraId="71FD77E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bl>
    <w:p w14:paraId="6AB0DAE7">
      <w:pPr>
        <w:keepNext w:val="0"/>
        <w:keepLines w:val="0"/>
        <w:widowControl w:val="0"/>
        <w:suppressLineNumbers w:val="0"/>
        <w:autoSpaceDE w:val="0"/>
        <w:autoSpaceDN/>
        <w:spacing w:before="0" w:beforeAutospacing="1" w:after="0" w:afterAutospacing="1"/>
        <w:ind w:left="0" w:leftChars="0" w:right="0" w:firstLine="640" w:firstLineChars="200"/>
        <w:jc w:val="left"/>
      </w:pPr>
      <w:r>
        <w:rPr>
          <w:rFonts w:hint="eastAsia" w:ascii="黑体" w:hAnsi="宋体" w:eastAsia="黑体" w:cs="黑体"/>
          <w:b w:val="0"/>
          <w:bCs w:val="0"/>
          <w:kern w:val="2"/>
          <w:sz w:val="32"/>
          <w:szCs w:val="32"/>
          <w:shd w:val="clear" w:fill="FFFFFF"/>
          <w:lang w:val="en-US" w:eastAsia="zh-CN" w:bidi="ar"/>
        </w:rPr>
        <w:t>四、政府信息公开行政复议、行政诉讼情况</w:t>
      </w:r>
    </w:p>
    <w:tbl>
      <w:tblPr>
        <w:tblStyle w:val="8"/>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5FBF277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554" w:hRule="atLeast"/>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13387764">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行政复议</w:t>
            </w:r>
          </w:p>
        </w:tc>
        <w:tc>
          <w:tcPr>
            <w:tcW w:w="6428"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1AD4523F">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行政诉讼</w:t>
            </w:r>
          </w:p>
        </w:tc>
      </w:tr>
      <w:tr w14:paraId="5BEBA42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34" w:hRule="atLeast"/>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5A82F9EB">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结果维持</w:t>
            </w:r>
          </w:p>
        </w:tc>
        <w:tc>
          <w:tcPr>
            <w:tcW w:w="642"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05AB885C">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结果</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纠正</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AD857D9">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其他</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结果</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9373590">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尚未</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审结</w:t>
            </w:r>
          </w:p>
        </w:tc>
        <w:tc>
          <w:tcPr>
            <w:tcW w:w="64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56FE1E9">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总计</w:t>
            </w:r>
          </w:p>
        </w:tc>
        <w:tc>
          <w:tcPr>
            <w:tcW w:w="3213"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12F7B33A">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未经复议直接起诉</w:t>
            </w:r>
          </w:p>
        </w:tc>
        <w:tc>
          <w:tcPr>
            <w:tcW w:w="321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27F033C9">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复议后起诉</w:t>
            </w:r>
          </w:p>
        </w:tc>
      </w:tr>
      <w:tr w14:paraId="2162679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406" w:hRule="atLeast"/>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AA4176F">
            <w:pPr>
              <w:rPr>
                <w:rFonts w:hint="eastAsia" w:ascii="宋体"/>
                <w:sz w:val="24"/>
                <w:szCs w:val="24"/>
              </w:rPr>
            </w:pPr>
          </w:p>
        </w:tc>
        <w:tc>
          <w:tcPr>
            <w:tcW w:w="642"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6D028712">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46D68AAA">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248C8BED">
            <w:pPr>
              <w:rPr>
                <w:rFonts w:hint="eastAsia" w:ascii="宋体"/>
                <w:sz w:val="24"/>
                <w:szCs w:val="24"/>
              </w:rPr>
            </w:pPr>
          </w:p>
        </w:tc>
        <w:tc>
          <w:tcPr>
            <w:tcW w:w="64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379D78D">
            <w:pPr>
              <w:rPr>
                <w:rFonts w:hint="eastAsia" w:ascii="宋体"/>
                <w:sz w:val="24"/>
                <w:szCs w:val="24"/>
              </w:rPr>
            </w:pP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49CB9039">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结果</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维持</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6FA4DBA5">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结果</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纠正</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8EE0B14">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其他</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结果</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23F6629D">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尚未</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审结</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3CEF1DC0">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总计</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312261D3">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结果</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维持</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3AEC8E08">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结果</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纠正</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1DB1F91">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其他</w:t>
            </w:r>
            <w:r>
              <w:rPr>
                <w:rFonts w:hint="default" w:ascii="楷体_GB2312" w:eastAsia="楷体_GB2312" w:cs="楷体_GB2312" w:hAnsiTheme="minorHAnsi"/>
                <w:b/>
                <w:bCs/>
                <w:color w:val="000000"/>
                <w:kern w:val="0"/>
                <w:sz w:val="32"/>
                <w:szCs w:val="32"/>
                <w:lang w:val="en-US" w:eastAsia="zh-CN" w:bidi="ar"/>
              </w:rPr>
              <w:br w:type="textWrapping"/>
            </w:r>
            <w:r>
              <w:rPr>
                <w:rFonts w:hint="default" w:ascii="楷体_GB2312" w:eastAsia="楷体_GB2312" w:cs="楷体_GB2312" w:hAnsiTheme="minorHAnsi"/>
                <w:b/>
                <w:bCs/>
                <w:color w:val="000000"/>
                <w:kern w:val="0"/>
                <w:sz w:val="32"/>
                <w:szCs w:val="32"/>
                <w:lang w:val="en-US" w:eastAsia="zh-CN" w:bidi="ar"/>
              </w:rPr>
              <w:t>结果</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0C9332D4">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kern w:val="0"/>
                <w:sz w:val="32"/>
                <w:szCs w:val="32"/>
                <w:lang w:val="en-US" w:eastAsia="zh-CN" w:bidi="ar"/>
              </w:rPr>
              <w:t>尚未</w:t>
            </w:r>
            <w:r>
              <w:rPr>
                <w:rFonts w:hint="default" w:ascii="楷体_GB2312" w:eastAsia="楷体_GB2312" w:cs="楷体_GB2312" w:hAnsiTheme="minorHAnsi"/>
                <w:b/>
                <w:bCs/>
                <w:kern w:val="0"/>
                <w:sz w:val="32"/>
                <w:szCs w:val="32"/>
                <w:lang w:val="en-US" w:eastAsia="zh-CN" w:bidi="ar"/>
              </w:rPr>
              <w:br w:type="textWrapping"/>
            </w:r>
            <w:r>
              <w:rPr>
                <w:rFonts w:hint="default" w:ascii="楷体_GB2312" w:eastAsia="楷体_GB2312" w:cs="楷体_GB2312" w:hAnsiTheme="minorHAnsi"/>
                <w:b/>
                <w:bCs/>
                <w:kern w:val="0"/>
                <w:sz w:val="32"/>
                <w:szCs w:val="32"/>
                <w:lang w:val="en-US" w:eastAsia="zh-CN" w:bidi="ar"/>
              </w:rPr>
              <w:t>审结</w:t>
            </w:r>
          </w:p>
        </w:tc>
        <w:tc>
          <w:tcPr>
            <w:tcW w:w="64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2CA06D24">
            <w:pPr>
              <w:keepNext w:val="0"/>
              <w:keepLines w:val="0"/>
              <w:widowControl/>
              <w:suppressLineNumbers w:val="0"/>
              <w:spacing w:before="0" w:beforeAutospacing="0" w:after="0" w:afterAutospacing="0"/>
              <w:ind w:left="0" w:right="0" w:firstLine="0" w:firstLineChars="0"/>
              <w:jc w:val="center"/>
            </w:pPr>
            <w:r>
              <w:rPr>
                <w:rFonts w:hint="default" w:ascii="楷体_GB2312" w:eastAsia="楷体_GB2312" w:cs="楷体_GB2312" w:hAnsiTheme="minorHAnsi"/>
                <w:b/>
                <w:bCs/>
                <w:color w:val="000000"/>
                <w:kern w:val="0"/>
                <w:sz w:val="32"/>
                <w:szCs w:val="32"/>
                <w:lang w:val="en-US" w:eastAsia="zh-CN" w:bidi="ar"/>
              </w:rPr>
              <w:t>总计</w:t>
            </w:r>
          </w:p>
        </w:tc>
      </w:tr>
      <w:tr w14:paraId="5C4499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97"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DE37AF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74555B41">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73C3BAF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3A9F0B9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0CA3D81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3681224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2" w:type="dxa"/>
            <w:tcBorders>
              <w:top w:val="nil"/>
              <w:left w:val="nil"/>
              <w:bottom w:val="single" w:color="auto" w:sz="8" w:space="0"/>
              <w:right w:val="single" w:color="auto" w:sz="8" w:space="0"/>
            </w:tcBorders>
            <w:shd w:val="clear" w:color="auto" w:fill="auto"/>
            <w:tcMar>
              <w:left w:w="108" w:type="dxa"/>
              <w:right w:w="108" w:type="dxa"/>
            </w:tcMar>
            <w:vAlign w:val="center"/>
          </w:tcPr>
          <w:p w14:paraId="5C72BA45">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5FD917D4">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7C701A49">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256FE3AC">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6C77029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75557D8A">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182952DE">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6927318B">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c>
          <w:tcPr>
            <w:tcW w:w="643" w:type="dxa"/>
            <w:tcBorders>
              <w:top w:val="nil"/>
              <w:left w:val="nil"/>
              <w:bottom w:val="single" w:color="auto" w:sz="8" w:space="0"/>
              <w:right w:val="single" w:color="auto" w:sz="8" w:space="0"/>
            </w:tcBorders>
            <w:shd w:val="clear" w:color="auto" w:fill="auto"/>
            <w:tcMar>
              <w:left w:w="108" w:type="dxa"/>
              <w:right w:w="108" w:type="dxa"/>
            </w:tcMar>
            <w:vAlign w:val="center"/>
          </w:tcPr>
          <w:p w14:paraId="2AE72E22">
            <w:pPr>
              <w:keepNext w:val="0"/>
              <w:keepLines w:val="0"/>
              <w:widowControl/>
              <w:suppressLineNumbers w:val="0"/>
              <w:autoSpaceDE w:val="0"/>
              <w:autoSpaceDN/>
              <w:spacing w:before="0" w:beforeAutospacing="0" w:after="0" w:afterAutospacing="0" w:line="400" w:lineRule="exact"/>
              <w:ind w:left="0" w:leftChars="0" w:right="0" w:rightChars="0" w:firstLine="0" w:firstLineChars="0"/>
              <w:jc w:val="center"/>
            </w:pPr>
            <w:r>
              <w:rPr>
                <w:rFonts w:hint="default" w:ascii="仿宋_GB2312" w:eastAsia="仿宋_GB2312" w:cs="仿宋_GB2312" w:hAnsiTheme="minorHAnsi"/>
                <w:kern w:val="0"/>
                <w:sz w:val="32"/>
                <w:szCs w:val="32"/>
                <w:lang w:val="en-US" w:eastAsia="zh-CN" w:bidi="ar"/>
              </w:rPr>
              <w:t>0</w:t>
            </w:r>
          </w:p>
        </w:tc>
      </w:tr>
    </w:tbl>
    <w:p w14:paraId="4EEE6009">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bidi w:val="0"/>
        <w:snapToGrid/>
        <w:spacing w:before="0" w:beforeAutospacing="0" w:after="0" w:afterAutospacing="0" w:line="520" w:lineRule="exact"/>
        <w:ind w:left="0" w:right="0" w:firstLine="640" w:firstLineChars="200"/>
        <w:jc w:val="both"/>
        <w:textAlignment w:val="auto"/>
      </w:pPr>
      <w:r>
        <w:rPr>
          <w:rFonts w:hint="eastAsia" w:ascii="黑体" w:hAnsi="宋体" w:eastAsia="黑体" w:cs="黑体"/>
          <w:b w:val="0"/>
          <w:bCs w:val="0"/>
          <w:color w:val="000000"/>
          <w:kern w:val="2"/>
          <w:sz w:val="32"/>
          <w:szCs w:val="32"/>
          <w:shd w:val="clear" w:fill="FFFFFF"/>
          <w:lang w:val="en-US" w:eastAsia="zh-CN" w:bidi="ar"/>
        </w:rPr>
        <w:t>五、存在的主要问题及改进情况</w:t>
      </w:r>
    </w:p>
    <w:p w14:paraId="0F3A85D7">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0" w:firstLineChars="200"/>
        <w:jc w:val="left"/>
        <w:textAlignment w:val="auto"/>
        <w:rPr>
          <w:rFonts w:ascii="微软雅黑" w:hAnsi="微软雅黑" w:eastAsia="微软雅黑" w:cs="微软雅黑"/>
          <w:i w:val="0"/>
          <w:iCs w:val="0"/>
          <w:caps w:val="0"/>
          <w:color w:val="000000"/>
          <w:spacing w:val="0"/>
          <w:sz w:val="26"/>
          <w:szCs w:val="26"/>
        </w:rPr>
      </w:pPr>
      <w:bookmarkStart w:id="0" w:name="_GoBack"/>
      <w:r>
        <w:rPr>
          <w:rFonts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202</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3年，高安市司法局在政府信息公开方面做了大量工作，但与新形势要求相比，还存在着一定的差距，尤其在政策解读、重大决策部署落实、规范性文件等领域政府信息还需要及时更新，公开形式的多样性仍需要进一步提高。针对上述问题，高安市司法局坚持问题和需求导向，完善措施加大政府信息公开工作力度，进一步增强信息公开实效。 </w:t>
      </w:r>
    </w:p>
    <w:p w14:paraId="2C48BCC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3" w:firstLineChars="200"/>
        <w:jc w:val="left"/>
        <w:textAlignment w:val="auto"/>
        <w:rPr>
          <w:rFonts w:hint="eastAsia" w:ascii="微软雅黑" w:hAnsi="微软雅黑" w:eastAsia="微软雅黑" w:cs="微软雅黑"/>
          <w:i w:val="0"/>
          <w:iCs w:val="0"/>
          <w:caps w:val="0"/>
          <w:color w:val="000000"/>
          <w:spacing w:val="0"/>
          <w:sz w:val="26"/>
          <w:szCs w:val="26"/>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一是完善政务公开机制。</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持续深入贯彻落实上级关于推进政务公开工作的部署要求，进一步创新思路，改进方法，不断健全完善政府信息公开制度。</w:t>
      </w:r>
    </w:p>
    <w:p w14:paraId="529DA69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00" w:lineRule="exact"/>
        <w:ind w:left="0" w:right="0" w:firstLine="643" w:firstLineChars="200"/>
        <w:jc w:val="left"/>
        <w:textAlignment w:val="auto"/>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pPr>
      <w:r>
        <w:rPr>
          <w:rFonts w:hint="default" w:ascii="仿宋_GB2312" w:hAnsi="微软雅黑" w:eastAsia="仿宋_GB2312" w:cs="仿宋_GB2312"/>
          <w:b/>
          <w:bCs/>
          <w:i w:val="0"/>
          <w:iCs w:val="0"/>
          <w:caps w:val="0"/>
          <w:color w:val="000000"/>
          <w:spacing w:val="0"/>
          <w:kern w:val="0"/>
          <w:sz w:val="32"/>
          <w:szCs w:val="32"/>
          <w:bdr w:val="none" w:color="auto" w:sz="0" w:space="0"/>
          <w:shd w:val="clear" w:fill="FFFFFF"/>
          <w:lang w:val="en-US" w:eastAsia="zh-CN" w:bidi="ar"/>
        </w:rPr>
        <w:t>二是强化政策回应解读。</w:t>
      </w:r>
      <w:r>
        <w:rPr>
          <w:rFonts w:hint="default"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注重以公众需求为导向，及时发布与群众生活密切相关的信息，以及公众关注度高的规范性文件，统筹运用传统媒体、新兴媒体、网络平台做好信息发布、政策解读等工作，增加信息公开量，增强公开的时效性</w:t>
      </w:r>
      <w:r>
        <w:rPr>
          <w:rFonts w:hint="eastAsia" w:ascii="仿宋_GB2312" w:hAnsi="微软雅黑" w:eastAsia="仿宋_GB2312" w:cs="仿宋_GB2312"/>
          <w:i w:val="0"/>
          <w:iCs w:val="0"/>
          <w:caps w:val="0"/>
          <w:color w:val="000000"/>
          <w:spacing w:val="0"/>
          <w:kern w:val="0"/>
          <w:sz w:val="32"/>
          <w:szCs w:val="32"/>
          <w:bdr w:val="none" w:color="auto" w:sz="0" w:space="0"/>
          <w:shd w:val="clear" w:fill="FFFFFF"/>
          <w:lang w:val="en-US" w:eastAsia="zh-CN" w:bidi="ar"/>
        </w:rPr>
        <w:t>。</w:t>
      </w:r>
    </w:p>
    <w:bookmarkEnd w:id="0"/>
    <w:p w14:paraId="50C0433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643"/>
        <w:jc w:val="left"/>
      </w:pPr>
      <w:r>
        <w:rPr>
          <w:rFonts w:hint="eastAsia" w:ascii="黑体" w:hAnsi="宋体" w:eastAsia="黑体" w:cs="黑体"/>
          <w:b w:val="0"/>
          <w:bCs w:val="0"/>
          <w:color w:val="000000"/>
          <w:kern w:val="2"/>
          <w:sz w:val="32"/>
          <w:szCs w:val="32"/>
          <w:shd w:val="clear" w:fill="FFFFFF"/>
          <w:lang w:val="en-US" w:eastAsia="zh-CN" w:bidi="ar"/>
        </w:rPr>
        <w:t>六、其他需要报告的事项</w:t>
      </w:r>
    </w:p>
    <w:p w14:paraId="38AF1F62">
      <w:pPr>
        <w:pStyle w:val="2"/>
        <w:keepNext/>
        <w:keepLines/>
        <w:pageBreakBefore w:val="0"/>
        <w:widowControl w:val="0"/>
        <w:suppressLineNumbers w:val="0"/>
        <w:kinsoku/>
        <w:wordWrap/>
        <w:overflowPunct/>
        <w:topLinePunct w:val="0"/>
        <w:autoSpaceDE w:val="0"/>
        <w:autoSpaceDN/>
        <w:bidi w:val="0"/>
        <w:snapToGrid/>
        <w:spacing w:before="0" w:beforeLines="0" w:beforeAutospacing="0" w:after="0" w:afterLines="0" w:afterAutospacing="0" w:line="520" w:lineRule="exact"/>
        <w:ind w:left="0" w:firstLine="640" w:firstLineChars="200"/>
        <w:textAlignment w:val="auto"/>
      </w:pPr>
      <w:r>
        <w:rPr>
          <w:rFonts w:hint="default" w:ascii="仿宋_GB2312" w:eastAsia="仿宋_GB2312" w:cs="仿宋_GB2312"/>
          <w:b w:val="0"/>
          <w:bCs/>
          <w:color w:val="000000"/>
          <w:kern w:val="2"/>
          <w:sz w:val="32"/>
          <w:szCs w:val="32"/>
        </w:rPr>
        <w:t>2023年度，本机关无收取信息处理费情况。</w:t>
      </w:r>
    </w:p>
    <w:p w14:paraId="59104849">
      <w:pPr>
        <w:keepNext w:val="0"/>
        <w:keepLines w:val="0"/>
        <w:widowControl/>
        <w:suppressLineNumbers w:val="0"/>
        <w:spacing w:before="0" w:beforeAutospacing="1" w:after="0" w:afterAutospacing="1"/>
        <w:ind w:left="0" w:right="0"/>
        <w:jc w:val="left"/>
      </w:pPr>
      <w:r>
        <w:rPr>
          <w:rFonts w:hint="default" w:ascii="仿宋_GB2312" w:eastAsia="仿宋_GB2312" w:cs="仿宋_GB2312" w:hAnsiTheme="minorHAnsi"/>
          <w:b w:val="0"/>
          <w:bCs/>
          <w:color w:val="000000"/>
          <w:kern w:val="2"/>
          <w:sz w:val="32"/>
          <w:szCs w:val="32"/>
          <w:lang w:val="en-US" w:eastAsia="zh-CN" w:bidi="ar"/>
        </w:rPr>
        <w:t> </w:t>
      </w:r>
    </w:p>
    <w:p w14:paraId="0471443F">
      <w:pPr>
        <w:pStyle w:val="2"/>
        <w:keepNext w:val="0"/>
        <w:keepLines w:val="0"/>
        <w:widowControl/>
        <w:suppressLineNumbers w:val="0"/>
      </w:pPr>
      <w:r>
        <w:rPr>
          <w:rFonts w:hint="eastAsia" w:ascii="Calibri" w:hAnsi="Calibri" w:eastAsia="宋体" w:cs="Times New Roman"/>
          <w:b/>
          <w:bCs w:val="0"/>
          <w:kern w:val="2"/>
          <w:sz w:val="32"/>
          <w:szCs w:val="32"/>
        </w:rPr>
        <w:t> </w:t>
      </w:r>
    </w:p>
    <w:p w14:paraId="5BBC41B1">
      <w:pPr>
        <w:keepNext w:val="0"/>
        <w:keepLines w:val="0"/>
        <w:widowControl/>
        <w:suppressLineNumbers w:val="0"/>
        <w:spacing w:before="0" w:beforeAutospacing="1" w:after="0" w:afterAutospacing="1" w:line="460" w:lineRule="atLeast"/>
        <w:ind w:left="0" w:right="0" w:firstLine="640"/>
        <w:jc w:val="right"/>
      </w:pPr>
      <w:r>
        <w:rPr>
          <w:rFonts w:hint="default" w:ascii="仿宋_GB2312" w:eastAsia="仿宋_GB2312" w:cs="仿宋_GB2312" w:hAnsiTheme="minorHAnsi"/>
          <w:bCs/>
          <w:color w:val="000000"/>
          <w:kern w:val="2"/>
          <w:sz w:val="32"/>
          <w:szCs w:val="32"/>
          <w:lang w:val="en-US" w:eastAsia="zh-CN" w:bidi="ar"/>
        </w:rPr>
        <w:t>                                 高安市司法局</w:t>
      </w:r>
    </w:p>
    <w:p w14:paraId="62C69763">
      <w:pPr>
        <w:keepNext w:val="0"/>
        <w:keepLines w:val="0"/>
        <w:widowControl w:val="0"/>
        <w:suppressLineNumbers w:val="0"/>
        <w:autoSpaceDE w:val="0"/>
        <w:autoSpaceDN/>
        <w:adjustRightInd w:val="0"/>
        <w:spacing w:before="0" w:beforeAutospacing="1" w:after="0" w:afterAutospacing="1" w:line="460" w:lineRule="exact"/>
        <w:ind w:left="0" w:leftChars="0" w:right="0" w:firstLine="640" w:firstLineChars="200"/>
        <w:jc w:val="right"/>
      </w:pPr>
      <w:r>
        <w:rPr>
          <w:rFonts w:hint="default" w:ascii="仿宋_GB2312" w:eastAsia="仿宋_GB2312" w:cs="仿宋_GB2312" w:hAnsiTheme="minorHAnsi"/>
          <w:bCs/>
          <w:color w:val="000000"/>
          <w:kern w:val="2"/>
          <w:sz w:val="32"/>
          <w:szCs w:val="32"/>
          <w:lang w:val="en-US" w:eastAsia="zh-CN" w:bidi="ar"/>
        </w:rPr>
        <w:t>2024年1月10日</w:t>
      </w:r>
    </w:p>
    <w:p w14:paraId="1E4FB88D">
      <w:pPr>
        <w:rPr>
          <w:rFonts w:hint="default"/>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C552ED-BE17-4592-84A0-D5E84D3B12E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B477CD54-B269-40F9-86BD-2EDD074574D9}"/>
  </w:font>
  <w:font w:name="仿宋_GB2312">
    <w:altName w:val="仿宋"/>
    <w:panose1 w:val="02010609030101010101"/>
    <w:charset w:val="86"/>
    <w:family w:val="auto"/>
    <w:pitch w:val="default"/>
    <w:sig w:usb0="00000000" w:usb1="00000000" w:usb2="00000000" w:usb3="00000000" w:csb0="00040000" w:csb1="00000000"/>
    <w:embedRegular r:id="rId3" w:fontKey="{C0675265-E951-4BE1-ABFF-40F6FBE50A16}"/>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embedRegular r:id="rId4" w:fontKey="{D99B7093-082A-4D83-B6D7-551542B705CF}"/>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embedRegular r:id="rId5" w:fontKey="{9C112A99-9610-4681-9A38-7D8D18C2459C}"/>
  </w:font>
  <w:font w:name="仿宋_GB2312">
    <w:altName w:val="仿宋"/>
    <w:panose1 w:val="00000000000000000000"/>
    <w:charset w:val="00"/>
    <w:family w:val="auto"/>
    <w:pitch w:val="default"/>
    <w:sig w:usb0="00000000" w:usb1="00000000" w:usb2="00000000" w:usb3="00000000" w:csb0="00000000" w:csb1="00000000"/>
    <w:embedRegular r:id="rId6" w:fontKey="{D5E91FC5-103F-4D7B-A054-657CA02FFA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B724C">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88C820">
                          <w:pPr>
                            <w:pStyle w:val="5"/>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988C820">
                    <w:pPr>
                      <w:pStyle w:val="5"/>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OTllZjJmNzgwMzlhYjM3MGY5YTFlMzViMmFkMGIifQ=="/>
  </w:docVars>
  <w:rsids>
    <w:rsidRoot w:val="5FAF1AA4"/>
    <w:rsid w:val="029B0B46"/>
    <w:rsid w:val="03A034CD"/>
    <w:rsid w:val="04F64B01"/>
    <w:rsid w:val="1385515C"/>
    <w:rsid w:val="2796260B"/>
    <w:rsid w:val="2BDE2358"/>
    <w:rsid w:val="2FFD1B47"/>
    <w:rsid w:val="353734C3"/>
    <w:rsid w:val="36683086"/>
    <w:rsid w:val="48607072"/>
    <w:rsid w:val="4F3A3ACF"/>
    <w:rsid w:val="4FD21BD9"/>
    <w:rsid w:val="55E86B1B"/>
    <w:rsid w:val="5B6B30BF"/>
    <w:rsid w:val="5FAC1BC8"/>
    <w:rsid w:val="5FAF1AA4"/>
    <w:rsid w:val="64344E02"/>
    <w:rsid w:val="6846417A"/>
    <w:rsid w:val="6C173E0D"/>
    <w:rsid w:val="6D3B3489"/>
    <w:rsid w:val="7C374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2">
    <w:name w:val="heading 3"/>
    <w:basedOn w:val="1"/>
    <w:next w:val="1"/>
    <w:autoRedefine/>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0"/>
    <w:pPr>
      <w:spacing w:after="120" w:line="560" w:lineRule="exact"/>
    </w:pPr>
  </w:style>
  <w:style w:type="paragraph" w:styleId="5">
    <w:name w:val="footer"/>
    <w:basedOn w:val="1"/>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2816</Words>
  <Characters>2939</Characters>
  <Lines>0</Lines>
  <Paragraphs>0</Paragraphs>
  <TotalTime>156</TotalTime>
  <ScaleCrop>false</ScaleCrop>
  <LinksUpToDate>false</LinksUpToDate>
  <CharactersWithSpaces>2940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2023-01-05T07:21:00Z</dcterms:created>
  <dc:creator>Administrator</dc:creator>
  <cp:lastModifiedBy>阿呆</cp:lastModifiedBy>
  <cp:lastPrinted>2024-01-10T05:17:00Z</cp:lastPrinted>
  <dcterms:modified xsi:type="dcterms:W3CDTF">2024-12-13T03:47:30Z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45A16CC2C31B499CB040C09D27705C53</vt:lpwstr>
  </property>
</Properties>
</file>