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lang w:val="en-US" w:eastAsia="zh-CN"/>
        </w:rPr>
      </w:pPr>
      <w:r>
        <w:rPr>
          <w:rFonts w:hint="eastAsia"/>
          <w:b/>
          <w:bCs/>
          <w:sz w:val="36"/>
          <w:szCs w:val="36"/>
          <w:lang w:val="en-US" w:eastAsia="zh-CN"/>
        </w:rPr>
        <w:t>高安高新技术产业园区管委会2021年政府信息公开工作年度报告</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本报告依据《中华人民共和国政府信息公开条例》（国务</w:t>
      </w:r>
      <w:bookmarkStart w:id="0" w:name="_GoBack"/>
      <w:bookmarkEnd w:id="0"/>
      <w:r>
        <w:rPr>
          <w:rFonts w:hint="eastAsia" w:ascii="宋体" w:hAnsi="宋体" w:eastAsia="宋体" w:cs="宋体"/>
          <w:sz w:val="28"/>
          <w:szCs w:val="28"/>
        </w:rPr>
        <w:t>院令第711号，以下简称新《条例》）和《国务院办公厅政府信息与政务公开办公室关于政府信息公开工作年度报告有关事项的通知》（国办公开办函〔20</w:t>
      </w:r>
      <w:r>
        <w:rPr>
          <w:rFonts w:hint="eastAsia" w:ascii="宋体" w:hAnsi="宋体" w:eastAsia="宋体" w:cs="宋体"/>
          <w:sz w:val="28"/>
          <w:szCs w:val="28"/>
          <w:lang w:val="en-US" w:eastAsia="zh-CN"/>
        </w:rPr>
        <w:t>21</w:t>
      </w:r>
      <w:r>
        <w:rPr>
          <w:rFonts w:hint="eastAsia" w:ascii="宋体" w:hAnsi="宋体" w:eastAsia="宋体" w:cs="宋体"/>
          <w:sz w:val="28"/>
          <w:szCs w:val="28"/>
        </w:rPr>
        <w:t>〕</w:t>
      </w:r>
      <w:r>
        <w:rPr>
          <w:rFonts w:hint="eastAsia" w:ascii="宋体" w:hAnsi="宋体" w:eastAsia="宋体" w:cs="宋体"/>
          <w:sz w:val="28"/>
          <w:szCs w:val="28"/>
          <w:lang w:val="en-US" w:eastAsia="zh-CN"/>
        </w:rPr>
        <w:t>3</w:t>
      </w:r>
      <w:r>
        <w:rPr>
          <w:rFonts w:hint="eastAsia" w:ascii="宋体" w:hAnsi="宋体" w:eastAsia="宋体" w:cs="宋体"/>
          <w:sz w:val="28"/>
          <w:szCs w:val="28"/>
        </w:rPr>
        <w:t>0号）要求，由高安高新园区管委会结合有关统计数据编制。本年度报告中所列数据的统计期限自202</w:t>
      </w:r>
      <w:r>
        <w:rPr>
          <w:rFonts w:hint="eastAsia" w:ascii="宋体" w:hAnsi="宋体" w:eastAsia="宋体" w:cs="宋体"/>
          <w:sz w:val="28"/>
          <w:szCs w:val="28"/>
          <w:lang w:val="en-US" w:eastAsia="zh-CN"/>
        </w:rPr>
        <w:t>1</w:t>
      </w:r>
      <w:r>
        <w:rPr>
          <w:rFonts w:hint="eastAsia" w:ascii="宋体" w:hAnsi="宋体" w:eastAsia="宋体" w:cs="宋体"/>
          <w:sz w:val="28"/>
          <w:szCs w:val="28"/>
        </w:rPr>
        <w:t>年1月1日起至202</w:t>
      </w:r>
      <w:r>
        <w:rPr>
          <w:rFonts w:hint="eastAsia" w:ascii="宋体" w:hAnsi="宋体" w:eastAsia="宋体" w:cs="宋体"/>
          <w:sz w:val="28"/>
          <w:szCs w:val="28"/>
          <w:lang w:val="en-US" w:eastAsia="zh-CN"/>
        </w:rPr>
        <w:t>1</w:t>
      </w:r>
      <w:r>
        <w:rPr>
          <w:rFonts w:hint="eastAsia" w:ascii="宋体" w:hAnsi="宋体" w:eastAsia="宋体" w:cs="宋体"/>
          <w:sz w:val="28"/>
          <w:szCs w:val="28"/>
        </w:rPr>
        <w:t>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 gaoan.gov.cn 下载。如对本报告有任何疑问，请与</w:t>
      </w:r>
      <w:r>
        <w:rPr>
          <w:rFonts w:hint="eastAsia" w:ascii="宋体" w:hAnsi="宋体" w:eastAsia="宋体" w:cs="宋体"/>
          <w:sz w:val="28"/>
          <w:szCs w:val="28"/>
          <w:lang w:val="en-US" w:eastAsia="zh-CN"/>
        </w:rPr>
        <w:t>熊斐</w:t>
      </w:r>
      <w:r>
        <w:rPr>
          <w:rFonts w:hint="eastAsia" w:ascii="宋体" w:hAnsi="宋体" w:eastAsia="宋体" w:cs="宋体"/>
          <w:sz w:val="28"/>
          <w:szCs w:val="28"/>
        </w:rPr>
        <w:t>联系（地址：高安高新技术产业园区管委会，电话：5266831邮编：330800）。</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一、总体情况：</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1</w:t>
      </w:r>
      <w:r>
        <w:rPr>
          <w:rFonts w:hint="eastAsia" w:ascii="宋体" w:hAnsi="宋体" w:eastAsia="宋体" w:cs="宋体"/>
          <w:sz w:val="28"/>
          <w:szCs w:val="28"/>
        </w:rPr>
        <w:t xml:space="preserve"> 年高新园区坚持以习近平新时代中国特色社会主义思想为指导，深入贯彻党的十九大精神，严格落实</w:t>
      </w:r>
      <w:r>
        <w:rPr>
          <w:rFonts w:hint="eastAsia" w:ascii="宋体" w:hAnsi="宋体" w:eastAsia="宋体" w:cs="宋体"/>
          <w:sz w:val="28"/>
          <w:szCs w:val="28"/>
          <w:lang w:val="en-US" w:eastAsia="zh-CN"/>
        </w:rPr>
        <w:t>上级有关文件</w:t>
      </w:r>
      <w:r>
        <w:rPr>
          <w:rFonts w:hint="eastAsia" w:ascii="宋体" w:hAnsi="宋体" w:eastAsia="宋体" w:cs="宋体"/>
          <w:sz w:val="28"/>
          <w:szCs w:val="28"/>
        </w:rPr>
        <w:t>要求。同时积极明确目标任务，紧紧围绕省委、省政府中心工作及社会群众关注关切，着力提升政府信息公开质量，推进拓宽政府信息公开渠道，不断增强政府信息公开实效。</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（一）主动公开</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1</w:t>
      </w:r>
      <w:r>
        <w:rPr>
          <w:rFonts w:hint="eastAsia" w:ascii="宋体" w:hAnsi="宋体" w:eastAsia="宋体" w:cs="宋体"/>
          <w:sz w:val="28"/>
          <w:szCs w:val="28"/>
        </w:rPr>
        <w:t xml:space="preserve"> 年，高新园区</w:t>
      </w:r>
      <w:r>
        <w:rPr>
          <w:rFonts w:hint="eastAsia" w:ascii="宋体" w:hAnsi="宋体" w:eastAsia="宋体" w:cs="宋体"/>
          <w:sz w:val="28"/>
          <w:szCs w:val="28"/>
          <w:lang w:val="en-US" w:eastAsia="zh-CN"/>
        </w:rPr>
        <w:t>部门文件25条，政策解读1条，意见反馈2条，草案全文2条，背景介绍1条，意见征集2条，会议开放9条，重大决策跟踪反馈和执行效果评估4条，决策部署落实2条，规划计划6条，主要领导信息3条，机构职能信息4条，</w:t>
      </w:r>
      <w:r>
        <w:rPr>
          <w:rFonts w:hint="eastAsia" w:ascii="宋体" w:hAnsi="宋体" w:eastAsia="宋体" w:cs="宋体"/>
          <w:sz w:val="28"/>
          <w:szCs w:val="28"/>
        </w:rPr>
        <w:t>公开政务信息</w:t>
      </w:r>
      <w:r>
        <w:rPr>
          <w:rFonts w:hint="eastAsia" w:ascii="宋体" w:hAnsi="宋体" w:eastAsia="宋体" w:cs="宋体"/>
          <w:sz w:val="28"/>
          <w:szCs w:val="28"/>
          <w:lang w:val="en-US" w:eastAsia="zh-CN"/>
        </w:rPr>
        <w:t>45</w:t>
      </w:r>
      <w:r>
        <w:rPr>
          <w:rFonts w:hint="eastAsia" w:ascii="宋体" w:hAnsi="宋体" w:eastAsia="宋体" w:cs="宋体"/>
          <w:sz w:val="28"/>
          <w:szCs w:val="28"/>
        </w:rPr>
        <w:t>条，</w:t>
      </w:r>
      <w:r>
        <w:rPr>
          <w:rFonts w:hint="eastAsia" w:ascii="宋体" w:hAnsi="宋体" w:eastAsia="宋体" w:cs="宋体"/>
          <w:sz w:val="28"/>
          <w:szCs w:val="28"/>
          <w:lang w:val="en-US" w:eastAsia="zh-CN"/>
        </w:rPr>
        <w:t>人事信息8条，部门预决算11条，建议提案办理7条，六稳六保专项工作7条及</w:t>
      </w:r>
      <w:r>
        <w:rPr>
          <w:rFonts w:hint="eastAsia" w:ascii="宋体" w:hAnsi="宋体" w:eastAsia="宋体" w:cs="宋体"/>
          <w:sz w:val="28"/>
          <w:szCs w:val="28"/>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年信息公开年度报告。</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（二）依申请公开</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按照“依法公开、真实公正、注重实效、有利监督”的原则，依据《条例》等高安市政府信息公开有关文件要求，高新园区严格遵循政府信息公开基本原则开展信息公开工作，及时完善了《高安高新园区技术产业园区管委会信息公开制度》，明确了高新园区管委会政府信息公开的工作内容、形式和公开、受理、回复的反馈机制，目前未收到要求公开的申请。</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（三）政府信息管理</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提高认识，强化组织领导，坚持规范化管理，基地高度重视政务信息公开工作，把政务公开工作作为“宣传服务窗口”，成立了政务信息公开领导小组，主要领导任组长，分管领导任副组长，各部、办、站、所、分局负责同志为成员，领导小组办公室设在党政办公室，确保每条公开的政务信息准确、迅速、有效。不断规范了信息发布审核机制，加快了规范性文件清理。</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（四）</w:t>
      </w:r>
      <w:r>
        <w:rPr>
          <w:rFonts w:hint="eastAsia" w:ascii="宋体" w:hAnsi="宋体" w:eastAsia="宋体" w:cs="宋体"/>
          <w:sz w:val="28"/>
          <w:szCs w:val="28"/>
          <w:lang w:val="en-US" w:eastAsia="zh-CN"/>
        </w:rPr>
        <w:t>政府信息公开</w:t>
      </w:r>
      <w:r>
        <w:rPr>
          <w:rFonts w:hint="eastAsia" w:ascii="宋体" w:hAnsi="宋体" w:eastAsia="宋体" w:cs="宋体"/>
          <w:sz w:val="28"/>
          <w:szCs w:val="28"/>
        </w:rPr>
        <w:t>平台建设</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高新园区采取多种方式对外宣传推介形象，加强信息资源的整合与共享，依托高安市人民政府网、《宜春日报》、高安高新技术园区官网，高安高新技术产业园区信息综合平台、等对外发声，让更多的企业，更多的人民群众了解我们的工作。</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（五）监督保障</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为提高依法公开水平，高新园区管委会在推进政府信息公开工作的过程中，严格依法管理，加强督促检查,强化监督，使政府信息公开工作制度化和规范化。进一步强化责任，严肃纪律，保证政府信息公开工作的连续性。积极贯彻实施信息督查检查制度,严格把握公开程序，边学习、边修改、边完善，广泛接受服务对象的监督，切实做好政府信息公开工作。</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二、主动公开政府信息情况</w:t>
      </w:r>
    </w:p>
    <w:tbl>
      <w:tblPr>
        <w:tblStyle w:val="3"/>
        <w:tblW w:w="8490" w:type="dxa"/>
        <w:tblCellSpacing w:w="0" w:type="dxa"/>
        <w:tblInd w:w="-3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710"/>
        <w:gridCol w:w="2460"/>
        <w:gridCol w:w="2025"/>
        <w:gridCol w:w="229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8490" w:type="dxa"/>
            <w:gridSpan w:val="4"/>
            <w:shd w:val="clear" w:color="auto" w:fill="auto"/>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第二十条第（一）项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710" w:type="dxa"/>
            <w:shd w:val="clear" w:color="auto" w:fill="auto"/>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信息内容</w:t>
            </w:r>
          </w:p>
        </w:tc>
        <w:tc>
          <w:tcPr>
            <w:tcW w:w="2460" w:type="dxa"/>
            <w:shd w:val="clear" w:color="auto" w:fill="auto"/>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本年新制作数量</w:t>
            </w:r>
          </w:p>
        </w:tc>
        <w:tc>
          <w:tcPr>
            <w:tcW w:w="2025" w:type="dxa"/>
            <w:shd w:val="clear" w:color="auto" w:fill="auto"/>
            <w:vAlign w:val="top"/>
          </w:tcPr>
          <w:p>
            <w:pPr>
              <w:pStyle w:val="2"/>
              <w:keepNext w:val="0"/>
              <w:keepLines w:val="0"/>
              <w:widowControl/>
              <w:suppressLineNumbers w:val="0"/>
              <w:spacing w:before="0" w:beforeAutospacing="0" w:after="0" w:afterAutospacing="0" w:line="27" w:lineRule="atLeast"/>
              <w:jc w:val="both"/>
              <w:rPr>
                <w:rFonts w:hint="default" w:ascii="宋体" w:hAnsi="宋体" w:eastAsia="宋体" w:cs="宋体"/>
                <w:sz w:val="28"/>
                <w:szCs w:val="28"/>
                <w:lang w:val="en-US" w:eastAsia="zh-CN"/>
              </w:rPr>
            </w:pPr>
            <w:r>
              <w:rPr>
                <w:rFonts w:hint="eastAsia" w:ascii="宋体" w:hAnsi="宋体" w:eastAsia="宋体" w:cs="宋体"/>
                <w:sz w:val="28"/>
                <w:szCs w:val="28"/>
              </w:rPr>
              <w:t>本年</w:t>
            </w:r>
            <w:r>
              <w:rPr>
                <w:rFonts w:hint="eastAsia" w:ascii="宋体" w:hAnsi="宋体" w:eastAsia="宋体" w:cs="宋体"/>
                <w:sz w:val="28"/>
                <w:szCs w:val="28"/>
                <w:lang w:val="en-US" w:eastAsia="zh-CN"/>
              </w:rPr>
              <w:t>废止件数</w:t>
            </w:r>
          </w:p>
        </w:tc>
        <w:tc>
          <w:tcPr>
            <w:tcW w:w="2295" w:type="dxa"/>
            <w:shd w:val="clear" w:color="auto" w:fill="auto"/>
            <w:vAlign w:val="top"/>
          </w:tcPr>
          <w:p>
            <w:pPr>
              <w:pStyle w:val="2"/>
              <w:keepNext w:val="0"/>
              <w:keepLines w:val="0"/>
              <w:widowControl/>
              <w:suppressLineNumbers w:val="0"/>
              <w:spacing w:before="0" w:beforeAutospacing="0" w:after="0" w:afterAutospacing="0" w:line="27" w:lineRule="atLeast"/>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现行有效件数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7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规    章</w:t>
            </w:r>
          </w:p>
        </w:tc>
        <w:tc>
          <w:tcPr>
            <w:tcW w:w="246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202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229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7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规范性文件（本单位制发的）</w:t>
            </w:r>
          </w:p>
        </w:tc>
        <w:tc>
          <w:tcPr>
            <w:tcW w:w="246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202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229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490" w:type="dxa"/>
            <w:gridSpan w:val="4"/>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第二十条第（五）项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7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信息内容</w:t>
            </w:r>
          </w:p>
        </w:tc>
        <w:tc>
          <w:tcPr>
            <w:tcW w:w="6780" w:type="dxa"/>
            <w:gridSpan w:val="3"/>
            <w:shd w:val="clear" w:color="auto" w:fill="auto"/>
            <w:vAlign w:val="center"/>
          </w:tcPr>
          <w:p>
            <w:pPr>
              <w:pStyle w:val="2"/>
              <w:keepNext w:val="0"/>
              <w:keepLines w:val="0"/>
              <w:widowControl/>
              <w:suppressLineNumbers w:val="0"/>
              <w:spacing w:before="0" w:beforeAutospacing="0" w:after="0" w:afterAutospacing="0" w:line="27" w:lineRule="atLeast"/>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本年处理决定数量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7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行政许可</w:t>
            </w:r>
          </w:p>
        </w:tc>
        <w:tc>
          <w:tcPr>
            <w:tcW w:w="6780" w:type="dxa"/>
            <w:gridSpan w:val="3"/>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490" w:type="dxa"/>
            <w:gridSpan w:val="4"/>
            <w:shd w:val="clear" w:color="auto" w:fill="auto"/>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第二十条第（六）项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7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信息内容</w:t>
            </w:r>
          </w:p>
        </w:tc>
        <w:tc>
          <w:tcPr>
            <w:tcW w:w="6780" w:type="dxa"/>
            <w:gridSpan w:val="3"/>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本年处理决定数量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7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行政处罚</w:t>
            </w:r>
          </w:p>
        </w:tc>
        <w:tc>
          <w:tcPr>
            <w:tcW w:w="6780" w:type="dxa"/>
            <w:gridSpan w:val="3"/>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17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行政强制</w:t>
            </w:r>
          </w:p>
        </w:tc>
        <w:tc>
          <w:tcPr>
            <w:tcW w:w="6780" w:type="dxa"/>
            <w:gridSpan w:val="3"/>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490" w:type="dxa"/>
            <w:gridSpan w:val="4"/>
            <w:shd w:val="clear" w:color="auto" w:fill="auto"/>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第二十条第（八）项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7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信息内容</w:t>
            </w:r>
          </w:p>
        </w:tc>
        <w:tc>
          <w:tcPr>
            <w:tcW w:w="6780" w:type="dxa"/>
            <w:gridSpan w:val="3"/>
            <w:shd w:val="clear" w:color="auto" w:fill="auto"/>
            <w:vAlign w:val="center"/>
          </w:tcPr>
          <w:p>
            <w:pPr>
              <w:pStyle w:val="2"/>
              <w:keepNext w:val="0"/>
              <w:keepLines w:val="0"/>
              <w:widowControl/>
              <w:suppressLineNumbers w:val="0"/>
              <w:spacing w:before="0" w:beforeAutospacing="0" w:after="0" w:afterAutospacing="0" w:line="27" w:lineRule="atLeast"/>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本年收费金额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7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行政事业性收费</w:t>
            </w:r>
          </w:p>
        </w:tc>
        <w:tc>
          <w:tcPr>
            <w:tcW w:w="6780" w:type="dxa"/>
            <w:gridSpan w:val="3"/>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0</w:t>
            </w:r>
          </w:p>
        </w:tc>
      </w:tr>
    </w:tbl>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三、收到和处理政府信息公开申请情况</w:t>
      </w:r>
    </w:p>
    <w:tbl>
      <w:tblPr>
        <w:tblStyle w:val="3"/>
        <w:tblW w:w="9195" w:type="dxa"/>
        <w:tblCellSpacing w:w="0" w:type="dxa"/>
        <w:tblInd w:w="-3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175"/>
        <w:gridCol w:w="1050"/>
        <w:gridCol w:w="1140"/>
        <w:gridCol w:w="975"/>
        <w:gridCol w:w="1080"/>
        <w:gridCol w:w="1110"/>
        <w:gridCol w:w="810"/>
        <w:gridCol w:w="85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175"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本列数据的勾稽关系为：第一项加第二项之和，等于第三项加第四项之和</w:t>
            </w:r>
          </w:p>
        </w:tc>
        <w:tc>
          <w:tcPr>
            <w:tcW w:w="7005" w:type="dxa"/>
            <w:gridSpan w:val="7"/>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申请人情况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自然人</w:t>
            </w:r>
          </w:p>
        </w:tc>
        <w:tc>
          <w:tcPr>
            <w:tcW w:w="5100" w:type="dxa"/>
            <w:gridSpan w:val="5"/>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法人或其他组织</w:t>
            </w:r>
          </w:p>
        </w:tc>
        <w:tc>
          <w:tcPr>
            <w:tcW w:w="855"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合计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商业企业</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科研</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机构</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社会公益组织</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法律服务机构</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w:t>
            </w:r>
          </w:p>
        </w:tc>
        <w:tc>
          <w:tcPr>
            <w:tcW w:w="855" w:type="dxa"/>
            <w:vMerge w:val="continue"/>
            <w:shd w:val="clear" w:color="auto" w:fill="auto"/>
            <w:vAlign w:val="center"/>
          </w:tcPr>
          <w:p>
            <w:pPr>
              <w:rPr>
                <w:rFonts w:hint="eastAsia" w:ascii="宋体" w:hAnsi="宋体" w:eastAsia="宋体" w:cs="宋体"/>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一 、本年新收政府信息公开申请数量</w:t>
            </w:r>
          </w:p>
        </w:tc>
        <w:tc>
          <w:tcPr>
            <w:tcW w:w="105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二 、上年结转政府信息公开申请数量</w:t>
            </w:r>
          </w:p>
        </w:tc>
        <w:tc>
          <w:tcPr>
            <w:tcW w:w="105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三 、本年度办理结果</w:t>
            </w:r>
          </w:p>
        </w:tc>
        <w:tc>
          <w:tcPr>
            <w:tcW w:w="2190" w:type="dxa"/>
            <w:gridSpan w:val="2"/>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（一）予以公开</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2190" w:type="dxa"/>
            <w:gridSpan w:val="2"/>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（二）部分公开（区分处理的，只记这一情形，不记其他情形）</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（三）不予公开</w:t>
            </w: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1. 属于国家秘密</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 其他法律行政法规禁止公开</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3. 危及“三安全一稳定”</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4. 保护第三方合法权益</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5. 属于三类内部事务信息</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6. 属于四类过程性信息</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7. 属于行政执法案卷</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8. 属于行政查询事项</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（四）无法提供</w:t>
            </w: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1. 本机关不掌握相关政府信息</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 没有现成信息需要另行制作</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3. 补正后申请内容仍不明确</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（五）不予处理</w:t>
            </w: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1. 信访投诉举报类申请</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 重复申请</w:t>
            </w:r>
          </w:p>
        </w:tc>
        <w:tc>
          <w:tcPr>
            <w:tcW w:w="975" w:type="dxa"/>
            <w:shd w:val="clear" w:color="auto" w:fill="auto"/>
            <w:vAlign w:val="center"/>
          </w:tcPr>
          <w:p>
            <w:pPr>
              <w:rPr>
                <w:rFonts w:hint="eastAsia" w:ascii="宋体" w:hAnsi="宋体" w:eastAsia="宋体" w:cs="宋体"/>
                <w:sz w:val="28"/>
                <w:szCs w:val="28"/>
              </w:rPr>
            </w:pPr>
          </w:p>
        </w:tc>
        <w:tc>
          <w:tcPr>
            <w:tcW w:w="1080" w:type="dxa"/>
            <w:shd w:val="clear" w:color="auto" w:fill="auto"/>
            <w:vAlign w:val="center"/>
          </w:tcPr>
          <w:p>
            <w:pPr>
              <w:rPr>
                <w:rFonts w:hint="eastAsia" w:ascii="宋体" w:hAnsi="宋体" w:eastAsia="宋体" w:cs="宋体"/>
                <w:sz w:val="28"/>
                <w:szCs w:val="28"/>
              </w:rPr>
            </w:pPr>
          </w:p>
        </w:tc>
        <w:tc>
          <w:tcPr>
            <w:tcW w:w="1110" w:type="dxa"/>
            <w:shd w:val="clear" w:color="auto" w:fill="auto"/>
            <w:vAlign w:val="center"/>
          </w:tcPr>
          <w:p>
            <w:pPr>
              <w:rPr>
                <w:rFonts w:hint="eastAsia" w:ascii="宋体" w:hAnsi="宋体" w:eastAsia="宋体" w:cs="宋体"/>
                <w:sz w:val="28"/>
                <w:szCs w:val="28"/>
              </w:rPr>
            </w:pPr>
          </w:p>
        </w:tc>
        <w:tc>
          <w:tcPr>
            <w:tcW w:w="810" w:type="dxa"/>
            <w:shd w:val="clear" w:color="auto" w:fill="auto"/>
            <w:vAlign w:val="center"/>
          </w:tcPr>
          <w:p>
            <w:pPr>
              <w:rPr>
                <w:rFonts w:hint="eastAsia" w:ascii="宋体" w:hAnsi="宋体" w:eastAsia="宋体" w:cs="宋体"/>
                <w:sz w:val="28"/>
                <w:szCs w:val="28"/>
              </w:rPr>
            </w:pPr>
          </w:p>
        </w:tc>
        <w:tc>
          <w:tcPr>
            <w:tcW w:w="855" w:type="dxa"/>
            <w:shd w:val="clear" w:color="auto" w:fill="auto"/>
            <w:vAlign w:val="center"/>
          </w:tcPr>
          <w:p>
            <w:pPr>
              <w:rPr>
                <w:rFonts w:hint="eastAsia" w:ascii="宋体" w:hAnsi="宋体" w:eastAsia="宋体" w:cs="宋体"/>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3. 要求提供公开出版物</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4. 无正当理由大量反复申请</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1050" w:type="dxa"/>
            <w:vMerge w:val="continue"/>
            <w:shd w:val="clear" w:color="auto" w:fill="auto"/>
            <w:vAlign w:val="center"/>
          </w:tcPr>
          <w:p>
            <w:pPr>
              <w:rPr>
                <w:rFonts w:hint="eastAsia" w:ascii="宋体" w:hAnsi="宋体" w:eastAsia="宋体" w:cs="宋体"/>
                <w:sz w:val="28"/>
                <w:szCs w:val="28"/>
              </w:rPr>
            </w:pPr>
          </w:p>
        </w:tc>
        <w:tc>
          <w:tcPr>
            <w:tcW w:w="114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5. 要求行政机关确认或重新出具已获取信息</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175" w:type="dxa"/>
            <w:vMerge w:val="continue"/>
            <w:shd w:val="clear" w:color="auto" w:fill="auto"/>
            <w:vAlign w:val="center"/>
          </w:tcPr>
          <w:p>
            <w:pPr>
              <w:rPr>
                <w:rFonts w:hint="eastAsia" w:ascii="宋体" w:hAnsi="宋体" w:eastAsia="宋体" w:cs="宋体"/>
                <w:sz w:val="28"/>
                <w:szCs w:val="28"/>
              </w:rPr>
            </w:pPr>
          </w:p>
        </w:tc>
        <w:tc>
          <w:tcPr>
            <w:tcW w:w="2190" w:type="dxa"/>
            <w:gridSpan w:val="2"/>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（六）其他处理</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175" w:type="dxa"/>
            <w:shd w:val="clear" w:color="auto" w:fill="auto"/>
            <w:vAlign w:val="center"/>
          </w:tcPr>
          <w:p>
            <w:pPr>
              <w:rPr>
                <w:rFonts w:hint="eastAsia" w:ascii="宋体" w:hAnsi="宋体" w:eastAsia="宋体" w:cs="宋体"/>
                <w:sz w:val="28"/>
                <w:szCs w:val="28"/>
              </w:rPr>
            </w:pPr>
          </w:p>
        </w:tc>
        <w:tc>
          <w:tcPr>
            <w:tcW w:w="2190" w:type="dxa"/>
            <w:gridSpan w:val="2"/>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（七）总计</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4365" w:type="dxa"/>
            <w:gridSpan w:val="3"/>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四、结转下年度继续办理</w:t>
            </w:r>
          </w:p>
        </w:tc>
        <w:tc>
          <w:tcPr>
            <w:tcW w:w="97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bl>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四、政府信息公开行政复议、行政诉讼情况</w:t>
      </w:r>
    </w:p>
    <w:tbl>
      <w:tblPr>
        <w:tblStyle w:val="3"/>
        <w:tblW w:w="8520" w:type="dxa"/>
        <w:tblCellSpacing w:w="0" w:type="dxa"/>
        <w:tblInd w:w="-3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09"/>
        <w:gridCol w:w="614"/>
        <w:gridCol w:w="569"/>
        <w:gridCol w:w="569"/>
        <w:gridCol w:w="569"/>
        <w:gridCol w:w="569"/>
        <w:gridCol w:w="569"/>
        <w:gridCol w:w="569"/>
        <w:gridCol w:w="569"/>
        <w:gridCol w:w="569"/>
        <w:gridCol w:w="569"/>
        <w:gridCol w:w="569"/>
        <w:gridCol w:w="569"/>
        <w:gridCol w:w="569"/>
        <w:gridCol w:w="5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2835" w:type="dxa"/>
            <w:gridSpan w:val="5"/>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行政复议</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（因政府信息公开被行政复议）</w:t>
            </w:r>
          </w:p>
        </w:tc>
        <w:tc>
          <w:tcPr>
            <w:tcW w:w="5685" w:type="dxa"/>
            <w:gridSpan w:val="10"/>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行政诉讼</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（因政府信息公开被行政诉讼）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10"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结果维护</w:t>
            </w:r>
          </w:p>
        </w:tc>
        <w:tc>
          <w:tcPr>
            <w:tcW w:w="615"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结果纠正</w:t>
            </w:r>
          </w:p>
        </w:tc>
        <w:tc>
          <w:tcPr>
            <w:tcW w:w="570"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其他结果</w:t>
            </w:r>
          </w:p>
        </w:tc>
        <w:tc>
          <w:tcPr>
            <w:tcW w:w="570"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尚未审结</w:t>
            </w:r>
          </w:p>
        </w:tc>
        <w:tc>
          <w:tcPr>
            <w:tcW w:w="570" w:type="dxa"/>
            <w:vMerge w:val="restart"/>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总计</w:t>
            </w:r>
          </w:p>
        </w:tc>
        <w:tc>
          <w:tcPr>
            <w:tcW w:w="2835" w:type="dxa"/>
            <w:gridSpan w:val="5"/>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未经复议直接起诉</w:t>
            </w:r>
          </w:p>
        </w:tc>
        <w:tc>
          <w:tcPr>
            <w:tcW w:w="2835" w:type="dxa"/>
            <w:gridSpan w:val="5"/>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复议后起诉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10" w:type="dxa"/>
            <w:vMerge w:val="continue"/>
            <w:shd w:val="clear" w:color="auto" w:fill="auto"/>
            <w:vAlign w:val="center"/>
          </w:tcPr>
          <w:p>
            <w:pPr>
              <w:rPr>
                <w:rFonts w:hint="eastAsia" w:ascii="宋体" w:hAnsi="宋体" w:eastAsia="宋体" w:cs="宋体"/>
                <w:sz w:val="28"/>
                <w:szCs w:val="28"/>
              </w:rPr>
            </w:pPr>
          </w:p>
        </w:tc>
        <w:tc>
          <w:tcPr>
            <w:tcW w:w="615" w:type="dxa"/>
            <w:vMerge w:val="continue"/>
            <w:shd w:val="clear" w:color="auto" w:fill="auto"/>
            <w:vAlign w:val="center"/>
          </w:tcPr>
          <w:p>
            <w:pPr>
              <w:rPr>
                <w:rFonts w:hint="eastAsia" w:ascii="宋体" w:hAnsi="宋体" w:eastAsia="宋体" w:cs="宋体"/>
                <w:sz w:val="28"/>
                <w:szCs w:val="28"/>
              </w:rPr>
            </w:pPr>
          </w:p>
        </w:tc>
        <w:tc>
          <w:tcPr>
            <w:tcW w:w="570" w:type="dxa"/>
            <w:vMerge w:val="continue"/>
            <w:shd w:val="clear" w:color="auto" w:fill="auto"/>
            <w:vAlign w:val="center"/>
          </w:tcPr>
          <w:p>
            <w:pPr>
              <w:rPr>
                <w:rFonts w:hint="eastAsia" w:ascii="宋体" w:hAnsi="宋体" w:eastAsia="宋体" w:cs="宋体"/>
                <w:sz w:val="28"/>
                <w:szCs w:val="28"/>
              </w:rPr>
            </w:pPr>
          </w:p>
        </w:tc>
        <w:tc>
          <w:tcPr>
            <w:tcW w:w="570" w:type="dxa"/>
            <w:vMerge w:val="continue"/>
            <w:shd w:val="clear" w:color="auto" w:fill="auto"/>
            <w:vAlign w:val="center"/>
          </w:tcPr>
          <w:p>
            <w:pPr>
              <w:rPr>
                <w:rFonts w:hint="eastAsia" w:ascii="宋体" w:hAnsi="宋体" w:eastAsia="宋体" w:cs="宋体"/>
                <w:sz w:val="28"/>
                <w:szCs w:val="28"/>
              </w:rPr>
            </w:pPr>
          </w:p>
        </w:tc>
        <w:tc>
          <w:tcPr>
            <w:tcW w:w="570" w:type="dxa"/>
            <w:vMerge w:val="continue"/>
            <w:shd w:val="clear" w:color="auto" w:fill="auto"/>
            <w:vAlign w:val="center"/>
          </w:tcPr>
          <w:p>
            <w:pPr>
              <w:rPr>
                <w:rFonts w:hint="eastAsia" w:ascii="宋体" w:hAnsi="宋体" w:eastAsia="宋体" w:cs="宋体"/>
                <w:sz w:val="28"/>
                <w:szCs w:val="28"/>
              </w:rPr>
            </w:pP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结果维护</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结果纠正</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其他结果</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尚未审结</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总计</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结果维护</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结果纠正</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其他结果</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尚未审结</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1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15"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shd w:val="clear" w:color="auto" w:fill="auto"/>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bl>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五、存在的主要问题及改进情况</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园区政府信息公开工作虽取得了新的进展，但也还存在一些问题：如，部分栏目内容不够丰富；信息更新还不够及时高效；推动政务公开和政府信息公开的力度不够；公开内容不具体，重点不突出；公开形式的便民性不足、覆盖面不广；信息发布的积极性和主动性不够等。结合以上不足，园区将采取以下措施完善信息公开工作：</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一是提高站位，深化认识。将政府信息公开工作作为一项长期化、日常化和制度化的工作，严格按照政务公开政务服务领导小组工作要求，进一步统一思想，深化认识，确保组织到位、措施到位、责任到位。</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是规范程序，严格发布。严格规范信息的收集、编制、审查、发布、监管等各环节程序，明确有关信息发布的职责分工，加强监督管理，并建立健全考核制度和责任追究制度，避免互相推诿、遗漏信息等情况的发生。</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三是加大培训，提升质量。加大教育培训力度，使干部职工在思想上充分重视信息公开，提高信息报送的积极性和主动性，提升信息质量。</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六、其他需要报告的事项</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无其他需要报告的事项。</w:t>
      </w:r>
    </w:p>
    <w:p>
      <w:pPr>
        <w:jc w:val="center"/>
        <w:rPr>
          <w:rFonts w:hint="eastAsia"/>
          <w:b/>
          <w:bCs/>
          <w:sz w:val="36"/>
          <w:szCs w:val="36"/>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A37394"/>
    <w:rsid w:val="0C791D3B"/>
    <w:rsid w:val="1E7233F7"/>
    <w:rsid w:val="3C283B97"/>
    <w:rsid w:val="3C957FC2"/>
    <w:rsid w:val="59295A90"/>
    <w:rsid w:val="59D75ED4"/>
    <w:rsid w:val="70266A9A"/>
    <w:rsid w:val="77F64F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283</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龚荟琴</cp:lastModifiedBy>
  <dcterms:modified xsi:type="dcterms:W3CDTF">2022-01-17T01:01:31Z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34A06D65FB174CF2BAEE7169B6DE2E79</vt:lpwstr>
  </property>
</Properties>
</file>